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Recommandations business : FinTrust</w:t>
      </w:r>
    </w:p>
    <w:p>
      <w:pPr/>
      <w:r>
        <w:t xml:space="preserve">Priorités d'action issues de l'analyse des transactions réussies (1er janvier au 31 mars 2026)</w:t>
      </w:r>
    </w:p>
    <w:p>
      <w:pPr>
        <w:pStyle w:val="Heading2"/>
      </w:pPr>
      <w:r>
        <w:t xml:space="preserve">1. Résumé exécutif</w:t>
      </w:r>
    </w:p>
    <w:p>
      <w:pPr/>
      <w:r>
        <w:t xml:space="preserve">L'analyse porte sur 1 500 clients et 10 856 transactions réussies, pour un volume de 510,8 M NGN. Sept recommandations en découlent, classées par priorité 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Réactiver les 199 clients « à risque »</w:t>
      </w:r>
      <w:r>
        <w:t xml:space="preserve"> : ils portent 109,0 M NGN, soit 21,4 % de la valeur.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Fidéliser les 314 Champions</w:t>
      </w:r>
      <w:r>
        <w:t xml:space="preserve"> : ils concentrent 36,2 % de la valeur (185,1 M NGN).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Renforcer le contrôle du risque</w:t>
      </w:r>
      <w:r>
        <w:t xml:space="preserve"> : 66 % des 645 anomalies ne sont pas signalées par la revue existante.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Réduire les échecs et annulations</w:t>
      </w:r>
      <w:r>
        <w:t xml:space="preserve"> : 9,5 % des transactions n'aboutissent pas (49,7 M NGN).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Faire passer les nouveaux clients à l'usage régulier</w:t>
      </w:r>
      <w:r>
        <w:t xml:space="preserve"> : 283 clients, panier moyen de 254 000 NGN.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Cibler par profil, et tester l'USSD et le segment SME</w:t>
      </w:r>
      <w:r>
        <w:t xml:space="preserve"> : les segments se ressemblent, les profils non.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Fiabiliser les données</w:t>
      </w:r>
      <w:r>
        <w:t xml:space="preserve"> : statut des comptes incohérent, fuseau horaire, absence d'indicateur de fraude confirmée.</w:t>
      </w:r>
    </w:p>
    <w:p>
      <w:pPr/>
      <w:r>
        <w:t xml:space="preserve">Le volume de transactions n'est pas du chiffre d'affaires : aucune marge ni aucun coût n'étant disponibles, ce rapport ne chiffre pas de retour sur investissement.</w:t>
      </w:r>
    </w:p>
    <w:p>
      <w:pPr>
        <w:pStyle w:val="Heading2"/>
      </w:pPr>
      <w:r>
        <w:t xml:space="preserve">2. Constats clés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Constat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Chiffre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que cela implique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Valeur concentrée</w:t>
            </w:r>
          </w:p>
        </w:tc>
        <w:tc>
          <w:tcPr>
            <w:tcW w:w="3120" w:type="dxa"/>
          </w:tcPr>
          <w:p>
            <w:pPr/>
            <w:r>
              <w:t xml:space="preserve">Champions : 20,9 % des clients, 36,2 % de la valeur</w:t>
            </w:r>
          </w:p>
        </w:tc>
        <w:tc>
          <w:tcPr>
            <w:tcW w:w="3120" w:type="dxa"/>
          </w:tcPr>
          <w:p>
            <w:pPr/>
            <w:r>
              <w:t xml:space="preserve">Protéger ce noyau en priorité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Clients en refroidissement</w:t>
            </w:r>
          </w:p>
        </w:tc>
        <w:tc>
          <w:tcPr>
            <w:tcW w:w="3120" w:type="dxa"/>
          </w:tcPr>
          <w:p>
            <w:pPr/>
            <w:r>
              <w:t xml:space="preserve">199 clients à risque, panier moyen de 547 936 NGN</w:t>
            </w:r>
          </w:p>
        </w:tc>
        <w:tc>
          <w:tcPr>
            <w:tcW w:w="3120" w:type="dxa"/>
          </w:tcPr>
          <w:p>
            <w:pPr/>
            <w:r>
              <w:t xml:space="preserve">Risque de perte d'une valeur proche de celle des Champions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Transactions non abouties</w:t>
            </w:r>
          </w:p>
        </w:tc>
        <w:tc>
          <w:tcPr>
            <w:tcW w:w="3120" w:type="dxa"/>
          </w:tcPr>
          <w:p>
            <w:pPr/>
            <w:r>
              <w:t xml:space="preserve">1 144 transactions (9,5 %), 49,7 M NGN</w:t>
            </w:r>
          </w:p>
        </w:tc>
        <w:tc>
          <w:tcPr>
            <w:tcW w:w="3120" w:type="dxa"/>
          </w:tcPr>
          <w:p>
            <w:pPr/>
            <w:r>
              <w:t xml:space="preserve">Perte d'usage et de confiance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Échecs très signalés</w:t>
            </w:r>
          </w:p>
        </w:tc>
        <w:tc>
          <w:tcPr>
            <w:tcW w:w="3120" w:type="dxa"/>
          </w:tcPr>
          <w:p>
            <w:pPr/>
            <w:r>
              <w:t xml:space="preserve">27,0 % des transactions échouées sont signalées, contre 19,2 % pour les réussies</w:t>
            </w:r>
          </w:p>
        </w:tc>
        <w:tc>
          <w:tcPr>
            <w:tcW w:w="3120" w:type="dxa"/>
          </w:tcPr>
          <w:p>
            <w:pPr/>
            <w:r>
              <w:t xml:space="preserve">Tentatives suspectes ou friction à examiner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Contrôle partiel</w:t>
            </w:r>
          </w:p>
        </w:tc>
        <w:tc>
          <w:tcPr>
            <w:tcW w:w="3120" w:type="dxa"/>
          </w:tcPr>
          <w:p>
            <w:pPr/>
            <w:r>
              <w:t xml:space="preserve">423 anomalies sur 645 non signalées</w:t>
            </w:r>
          </w:p>
        </w:tc>
        <w:tc>
          <w:tcPr>
            <w:tcW w:w="3120" w:type="dxa"/>
          </w:tcPr>
          <w:p>
            <w:pPr/>
            <w:r>
              <w:t xml:space="preserve">La revue ne suit pas l'ampleur des écarts de montant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Montant typique modeste</w:t>
            </w:r>
          </w:p>
        </w:tc>
        <w:tc>
          <w:tcPr>
            <w:tcW w:w="3120" w:type="dxa"/>
          </w:tcPr>
          <w:p>
            <w:pPr/>
            <w:r>
              <w:t xml:space="preserve">Médiane de 10 108 NGN, moyenne de 47 053 NGN</w:t>
            </w:r>
          </w:p>
        </w:tc>
        <w:tc>
          <w:tcPr>
            <w:tcW w:w="3120" w:type="dxa"/>
          </w:tcPr>
          <w:p>
            <w:pPr/>
            <w:r>
              <w:t xml:space="preserve">Peu de gros montants font la valeur : les surveiller de près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Segments homogènes</w:t>
            </w:r>
          </w:p>
        </w:tc>
        <w:tc>
          <w:tcPr>
            <w:tcW w:w="3120" w:type="dxa"/>
          </w:tcPr>
          <w:p>
            <w:pPr/>
            <w:r>
              <w:t xml:space="preserve">Paniers moyens de 331 500 à 355 000 NGN selon le segment</w:t>
            </w:r>
          </w:p>
        </w:tc>
        <w:tc>
          <w:tcPr>
            <w:tcW w:w="3120" w:type="dxa"/>
          </w:tcPr>
          <w:p>
            <w:pPr/>
            <w:r>
              <w:t xml:space="preserve">Le segment seul ne suffit pas à cibler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Activité stable</w:t>
            </w:r>
          </w:p>
        </w:tc>
        <w:tc>
          <w:tcPr>
            <w:tcW w:w="3120" w:type="dxa"/>
          </w:tcPr>
          <w:p>
            <w:pPr/>
            <w:r>
              <w:t xml:space="preserve">Environ 120 transactions par jour chaque mois</w:t>
            </w:r>
          </w:p>
        </w:tc>
        <w:tc>
          <w:tcPr>
            <w:tcW w:w="3120" w:type="dxa"/>
          </w:tcPr>
          <w:p>
            <w:pPr/>
            <w:r>
              <w:t xml:space="preserve">Base saine pour mesurer l'effet des actions</w:t>
            </w:r>
          </w:p>
        </w:tc>
      </w:tr>
    </w:tbl>
    <w:p>
      <w:pPr>
        <w:pStyle w:val="Heading2"/>
      </w:pPr>
      <w:r>
        <w:t xml:space="preserve">3. Recommandations détaillées</w:t>
      </w:r>
    </w:p>
    <w:p>
      <w:pPr>
        <w:pStyle w:val="Heading3"/>
      </w:pPr>
      <w:r>
        <w:t xml:space="preserve">Recommandation 1 : réactiver les clients « à risque » (priorité haute)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Constat</w:t>
      </w:r>
      <w:r>
        <w:t xml:space="preserve"> : 199 clients (13,3 %), 109,0 M NGN. Leur panier moyen est comparable à celui des Champions, mais leur dernière transaction remonte à au moins 8 jours.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Actions</w:t>
      </w:r>
      <w:r>
        <w:t xml:space="preserve"> :</w:t>
      </w:r>
    </w:p>
    <w:p>
      <w:pPr>
        <w:pStyle w:val="ListParagraph"/>
        <w:numPr>
          <w:ilvl w:val="1"/>
          <w:numId w:val="4"/>
        </w:numPr>
      </w:pPr>
      <w:r>
        <w:t xml:space="preserve">Classer ces clients par ancienneté de la dernière transaction : ceux inactifs depuis 17 jours ou plus passent en premier.</w:t>
      </w:r>
    </w:p>
    <w:p>
      <w:pPr>
        <w:pStyle w:val="ListParagraph"/>
        <w:numPr>
          <w:ilvl w:val="1"/>
          <w:numId w:val="4"/>
        </w:numPr>
      </w:pPr>
      <w:r>
        <w:t xml:space="preserve">Envoyer une offre ou un rappel personnalisé via leur canal préféré (</w:t>
      </w:r>
      <w:r>
        <w:rPr>
          <w:rStyle w:val="CodeChar"/>
        </w:rPr>
        <w:t xml:space="preserve">Preferred_Channel</w:t>
      </w:r>
      <w:r>
        <w:t xml:space="preserve">).</w:t>
      </w:r>
    </w:p>
    <w:p>
      <w:pPr>
        <w:pStyle w:val="ListParagraph"/>
        <w:numPr>
          <w:ilvl w:val="1"/>
          <w:numId w:val="4"/>
        </w:numPr>
      </w:pPr>
      <w:r>
        <w:t xml:space="preserve">Faire appeler par un conseiller les plus gros montants.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Indicateur</w:t>
      </w:r>
      <w:r>
        <w:t xml:space="preserve"> : part de ces clients ayant refait une transaction réussie sous 30 jours.</w:t>
      </w:r>
    </w:p>
    <w:p>
      <w:pPr>
        <w:pStyle w:val="Heading3"/>
      </w:pPr>
      <w:r>
        <w:t xml:space="preserve">Recommandation 2 : fidéliser les Champions (priorité haute)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Constat</w:t>
      </w:r>
      <w:r>
        <w:t xml:space="preserve"> : 314 clients, 185,1 M NGN, panier moyen de 589 541 NGN.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Actions</w:t>
      </w:r>
      <w:r>
        <w:t xml:space="preserve"> :</w:t>
      </w:r>
    </w:p>
    <w:p>
      <w:pPr>
        <w:pStyle w:val="ListParagraph"/>
        <w:numPr>
          <w:ilvl w:val="1"/>
          <w:numId w:val="6"/>
        </w:numPr>
      </w:pPr>
      <w:r>
        <w:t xml:space="preserve">Offre dédiée : avantages tarifaires, plafonds relevés, service prioritaire.</w:t>
      </w:r>
    </w:p>
    <w:p>
      <w:pPr>
        <w:pStyle w:val="ListParagraph"/>
        <w:numPr>
          <w:ilvl w:val="1"/>
          <w:numId w:val="6"/>
        </w:numPr>
      </w:pPr>
      <w:r>
        <w:t xml:space="preserve">Alerte automatique quand un Champion passe à un score de récence inférieur à 3.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Indicateur</w:t>
      </w:r>
      <w:r>
        <w:t xml:space="preserve"> : part de Champions qui basculent en « à risque » d'un trimestre à l'autre (objectif : la réduire).</w:t>
      </w:r>
    </w:p>
    <w:p>
      <w:pPr>
        <w:pStyle w:val="Heading3"/>
      </w:pPr>
      <w:r>
        <w:t xml:space="preserve">Recommandation 3 : transformer les nouveaux clients en clients réguliers (priorité moyenne)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Constat</w:t>
      </w:r>
      <w:r>
        <w:t xml:space="preserve"> : 283 clients récents à faible fréquence, panier moyen de 254 114 NGN. Ils représentent 71,9 M NGN.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Actions</w:t>
      </w:r>
      <w:r>
        <w:t xml:space="preserve"> : parcours d'accueil, rappel après la première semaine, incitation à la deuxième puis à la troisième transaction.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Indicateur</w:t>
      </w:r>
      <w:r>
        <w:t xml:space="preserve"> : nombre moyen de transactions par client au cours des 30 premiers jours.</w:t>
      </w:r>
    </w:p>
    <w:p>
      <w:pPr>
        <w:pStyle w:val="Heading3"/>
      </w:pPr>
      <w:r>
        <w:t xml:space="preserve">Recommandation 4 : réduire les échecs et les annulations (priorité haute)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Constat</w:t>
      </w:r>
      <w:r>
        <w:t xml:space="preserve"> : 630 échecs (5,3 %), 326 annulations, 188 en attente. Les échecs sont les plus signalés (27,0 %).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Actions</w:t>
      </w:r>
      <w:r>
        <w:t xml:space="preserve"> :</w:t>
      </w:r>
    </w:p>
    <w:p>
      <w:pPr>
        <w:pStyle w:val="ListParagraph"/>
        <w:numPr>
          <w:ilvl w:val="1"/>
          <w:numId w:val="9"/>
        </w:numPr>
      </w:pPr>
      <w:r>
        <w:t xml:space="preserve">Décomposer les échecs par canal, type d'appareil et type de transaction (analyse à réaliser avec les colonnes </w:t>
      </w:r>
      <w:r>
        <w:rPr>
          <w:rStyle w:val="CodeChar"/>
        </w:rPr>
        <w:t xml:space="preserve">Channel</w:t>
      </w:r>
      <w:r>
        <w:t xml:space="preserve">, </w:t>
      </w:r>
      <w:r>
        <w:rPr>
          <w:rStyle w:val="CodeChar"/>
        </w:rPr>
        <w:t xml:space="preserve">Device_Type</w:t>
      </w:r>
      <w:r>
        <w:t xml:space="preserve"> et </w:t>
      </w:r>
      <w:r>
        <w:rPr>
          <w:rStyle w:val="CodeChar"/>
        </w:rPr>
        <w:t xml:space="preserve">Transaction_Type</w:t>
      </w:r>
      <w:r>
        <w:t xml:space="preserve">).</w:t>
      </w:r>
    </w:p>
    <w:p>
      <w:pPr>
        <w:pStyle w:val="ListParagraph"/>
        <w:numPr>
          <w:ilvl w:val="1"/>
          <w:numId w:val="9"/>
        </w:numPr>
      </w:pPr>
      <w:r>
        <w:t xml:space="preserve">Corriger les causes techniques, simplifier le parcours de nouvelle tentative.</w:t>
      </w:r>
    </w:p>
    <w:p>
      <w:pPr>
        <w:pStyle w:val="ListParagraph"/>
        <w:numPr>
          <w:ilvl w:val="1"/>
          <w:numId w:val="9"/>
        </w:numPr>
      </w:pPr>
      <w:r>
        <w:t xml:space="preserve">Surveiller les clients qui enchaînent les échecs : ce peut être un signal de fraude.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Indicateur</w:t>
      </w:r>
      <w:r>
        <w:t xml:space="preserve"> : taux de réussite (90,5 % aujourd'hui), avec un objectif à fixer avec les équipes techniques.</w:t>
      </w:r>
    </w:p>
    <w:p>
      <w:pPr>
        <w:pStyle w:val="Heading3"/>
      </w:pPr>
      <w:r>
        <w:t xml:space="preserve">Recommandation 5 : renforcer le contrôle du risque (priorité haute)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Constat</w:t>
      </w:r>
      <w:r>
        <w:t xml:space="preserve"> : 645 anomalies sur trois mois, soit environ 7 par jour. Les 189 de niveau Moyen ou Élevé représentent environ 2 par jour, un volume gérable. Quatre cas sont de niveau Élevé et non signalés.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Actions</w:t>
      </w:r>
      <w:r>
        <w:t xml:space="preserve"> :</w:t>
      </w:r>
    </w:p>
    <w:p>
      <w:pPr>
        <w:pStyle w:val="ListParagraph"/>
        <w:numPr>
          <w:ilvl w:val="1"/>
          <w:numId w:val="11"/>
        </w:numPr>
      </w:pPr>
      <w:r>
        <w:t xml:space="preserve">Traiter d'abord les 4 transactions Élevé non signalées (dont FT-T001211, un dépôt de 572 230 NGN à 1 h 49), puis les transactions diurnes à plus de 8,5 fois la moyenne du client.</w:t>
      </w:r>
    </w:p>
    <w:p>
      <w:pPr>
        <w:pStyle w:val="ListParagraph"/>
        <w:numPr>
          <w:ilvl w:val="1"/>
          <w:numId w:val="11"/>
        </w:numPr>
      </w:pPr>
      <w:r>
        <w:t xml:space="preserve">Abandonner la règle de nuit seule : 24,2 % des anomalies sont nocturnes contre 25,2 % de l'ensemble des transactions, elle ne distingue donc rien.</w:t>
      </w:r>
    </w:p>
    <w:p>
      <w:pPr>
        <w:pStyle w:val="ListParagraph"/>
        <w:numPr>
          <w:ilvl w:val="1"/>
          <w:numId w:val="11"/>
        </w:numPr>
      </w:pPr>
      <w:r>
        <w:t xml:space="preserve">Ajouter le montant au score de risque : 69 % de la valeur des anomalies est classée « Faible ».</w:t>
      </w:r>
    </w:p>
    <w:p>
      <w:pPr>
        <w:pStyle w:val="ListParagraph"/>
        <w:numPr>
          <w:ilvl w:val="1"/>
          <w:numId w:val="11"/>
        </w:numPr>
      </w:pPr>
      <w:r>
        <w:t xml:space="preserve">Comprendre pourquoi le signalement existant ne monte pas avec l'ampleur du dépassement, et recalibrer ses règles.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Indicateur</w:t>
      </w:r>
      <w:r>
        <w:t xml:space="preserve"> : part des anomalies de niveau Moyen ou Élevé revues sous 48 heures ; part des anomalies non signalées (66 % aujourd'hui).</w:t>
      </w:r>
    </w:p>
    <w:p>
      <w:pPr>
        <w:pStyle w:val="Heading3"/>
      </w:pPr>
      <w:r>
        <w:t xml:space="preserve">Recommandation 6 : cibler par profil, tester l'USSD et le segment SME (priorité moyenne)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Constat</w:t>
      </w:r>
      <w:r>
        <w:t xml:space="preserve"> : les profils varient peu d'un segment à l'autre, mais l'USSD (219 clients) a le panier moyen le plus bas (324 024 NGN), le moins de Champions (17,8 %) et le plus de clients à réactiver (21,9 %). Le segment SME compte 24,1 % de clients à réactiver.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Actions</w:t>
      </w:r>
      <w:r>
        <w:t xml:space="preserve"> :</w:t>
      </w:r>
    </w:p>
    <w:p>
      <w:pPr>
        <w:pStyle w:val="ListParagraph"/>
        <w:numPr>
          <w:ilvl w:val="1"/>
          <w:numId w:val="13"/>
        </w:numPr>
      </w:pPr>
      <w:r>
        <w:t xml:space="preserve">Construire les campagnes à partir du profil RFM, pas du segment.</w:t>
      </w:r>
    </w:p>
    <w:p>
      <w:pPr>
        <w:pStyle w:val="ListParagraph"/>
        <w:numPr>
          <w:ilvl w:val="1"/>
          <w:numId w:val="13"/>
        </w:numPr>
      </w:pPr>
      <w:r>
        <w:t xml:space="preserve">Lancer un pilote d'incitation à l'usage de l'application mobile pour un échantillon de clients USSD, avant tout déploiement large.</w:t>
      </w:r>
    </w:p>
    <w:p>
      <w:pPr>
        <w:pStyle w:val="ListParagraph"/>
        <w:numPr>
          <w:ilvl w:val="1"/>
          <w:numId w:val="13"/>
        </w:numPr>
      </w:pPr>
      <w:r>
        <w:t xml:space="preserve">Faire contacter les clients SME à réactiver par un conseiller dédié.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Indicateur</w:t>
      </w:r>
      <w:r>
        <w:t xml:space="preserve"> : évolution du panier moyen et de la fréquence des clients USSD du pilote, comparés à un groupe témoin.</w:t>
      </w:r>
    </w:p>
    <w:p>
      <w:pPr>
        <w:pStyle w:val="Heading3"/>
      </w:pPr>
      <w:r>
        <w:t xml:space="preserve">Recommandation 7 : fiabiliser les données (priorité moyenne)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Constat</w:t>
      </w:r>
      <w:r>
        <w:t xml:space="preserve"> : les comptes « Dormant » (107) sont aussi actifs que les comptes actifs, et les comptes « Restricted » (26) affichent la fréquence et le montant moyens les plus élevés (405 538 NGN). Les heures ne sont pas converties au fuseau du Nigeria. Aucune fraude confirmée n'est enregistrée.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Actions</w:t>
      </w:r>
      <w:r>
        <w:t xml:space="preserve"> :</w:t>
      </w:r>
    </w:p>
    <w:p>
      <w:pPr>
        <w:pStyle w:val="ListParagraph"/>
        <w:numPr>
          <w:ilvl w:val="1"/>
          <w:numId w:val="15"/>
        </w:numPr>
      </w:pPr>
      <w:r>
        <w:t xml:space="preserve">Contrôler la date de mise à jour de </w:t>
      </w:r>
      <w:r>
        <w:rPr>
          <w:rStyle w:val="CodeChar"/>
        </w:rPr>
        <w:t xml:space="preserve">Account_Status</w:t>
      </w:r>
      <w:r>
        <w:t xml:space="preserve">.</w:t>
      </w:r>
    </w:p>
    <w:p>
      <w:pPr>
        <w:pStyle w:val="ListParagraph"/>
        <w:numPr>
          <w:ilvl w:val="1"/>
          <w:numId w:val="15"/>
        </w:numPr>
      </w:pPr>
      <w:r>
        <w:t xml:space="preserve">Examiner l'activité des 26 comptes restreints.</w:t>
      </w:r>
    </w:p>
    <w:p>
      <w:pPr>
        <w:pStyle w:val="ListParagraph"/>
        <w:numPr>
          <w:ilvl w:val="1"/>
          <w:numId w:val="15"/>
        </w:numPr>
      </w:pPr>
      <w:r>
        <w:t xml:space="preserve">Ajouter un indicateur de fraude confirmée pour mesurer la précision de la détection.</w:t>
      </w:r>
    </w:p>
    <w:p>
      <w:pPr>
        <w:pStyle w:val="ListParagraph"/>
        <w:numPr>
          <w:ilvl w:val="1"/>
          <w:numId w:val="15"/>
        </w:numPr>
      </w:pPr>
      <w:r>
        <w:t xml:space="preserve">Étendre l'analyse à au moins 12 mois pour fiabiliser la récence.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Indicateur</w:t>
      </w:r>
      <w:r>
        <w:t xml:space="preserve"> : cohérence entre statut du compte et activité observée.</w:t>
      </w:r>
    </w:p>
    <w:p>
      <w:pPr>
        <w:pStyle w:val="Heading2"/>
      </w:pPr>
      <w:r>
        <w:t xml:space="preserve">4. Plan d'action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Horizon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Équipe suggérée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 à 30 jours</w:t>
            </w:r>
          </w:p>
        </w:tc>
        <w:tc>
          <w:tcPr>
            <w:tcW w:w="3120" w:type="dxa"/>
          </w:tcPr>
          <w:p>
            <w:pPr/>
            <w:r>
              <w:t xml:space="preserve">Examiner les 4 anomalies Élevé non signalées et les transactions diurnes à plus de 8,5 fois la moyenne</w:t>
            </w:r>
          </w:p>
        </w:tc>
        <w:tc>
          <w:tcPr>
            <w:tcW w:w="3120" w:type="dxa"/>
          </w:tcPr>
          <w:p>
            <w:pPr/>
            <w:r>
              <w:t xml:space="preserve">Risque et conformité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 à 30 jours</w:t>
            </w:r>
          </w:p>
        </w:tc>
        <w:tc>
          <w:tcPr>
            <w:tcW w:w="3120" w:type="dxa"/>
          </w:tcPr>
          <w:p>
            <w:pPr/>
            <w:r>
              <w:t xml:space="preserve">Campagne de réactivation des clients « à risque », en commençant par les inactifs depuis 17 jours ou plus</w:t>
            </w:r>
          </w:p>
        </w:tc>
        <w:tc>
          <w:tcPr>
            <w:tcW w:w="3120" w:type="dxa"/>
          </w:tcPr>
          <w:p>
            <w:pPr/>
            <w:r>
              <w:t xml:space="preserve">Marketing et CRM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 à 30 jours</w:t>
            </w:r>
          </w:p>
        </w:tc>
        <w:tc>
          <w:tcPr>
            <w:tcW w:w="3120" w:type="dxa"/>
          </w:tcPr>
          <w:p>
            <w:pPr/>
            <w:r>
              <w:t xml:space="preserve">Vérifier les comptes restreints et le champ </w:t>
            </w:r>
            <w:r>
              <w:rPr>
                <w:rStyle w:val="CodeChar"/>
              </w:rPr>
              <w:t xml:space="preserve">Account_Status</w:t>
            </w:r>
          </w:p>
        </w:tc>
        <w:tc>
          <w:tcPr>
            <w:tcW w:w="3120" w:type="dxa"/>
          </w:tcPr>
          <w:p>
            <w:pPr/>
            <w:r>
              <w:t xml:space="preserve">Data et opérations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30 à 90 jours</w:t>
            </w:r>
          </w:p>
        </w:tc>
        <w:tc>
          <w:tcPr>
            <w:tcW w:w="3120" w:type="dxa"/>
          </w:tcPr>
          <w:p>
            <w:pPr/>
            <w:r>
              <w:t xml:space="preserve">Analyser les échecs par canal, appareil et type de transaction</w:t>
            </w:r>
          </w:p>
        </w:tc>
        <w:tc>
          <w:tcPr>
            <w:tcW w:w="3120" w:type="dxa"/>
          </w:tcPr>
          <w:p>
            <w:pPr/>
            <w:r>
              <w:t xml:space="preserve">Produit et technique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30 à 90 jours</w:t>
            </w:r>
          </w:p>
        </w:tc>
        <w:tc>
          <w:tcPr>
            <w:tcW w:w="3120" w:type="dxa"/>
          </w:tcPr>
          <w:p>
            <w:pPr/>
            <w:r>
              <w:t xml:space="preserve">Mettre à jour le score de risque (montant, international, nuit) et recalibrer le signalement</w:t>
            </w:r>
          </w:p>
        </w:tc>
        <w:tc>
          <w:tcPr>
            <w:tcW w:w="3120" w:type="dxa"/>
          </w:tcPr>
          <w:p>
            <w:pPr/>
            <w:r>
              <w:t xml:space="preserve">Risque et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30 à 90 jours</w:t>
            </w:r>
          </w:p>
        </w:tc>
        <w:tc>
          <w:tcPr>
            <w:tcW w:w="3120" w:type="dxa"/>
          </w:tcPr>
          <w:p>
            <w:pPr/>
            <w:r>
              <w:t xml:space="preserve">Parcours d'accueil des nouveaux clients et programme Champions</w:t>
            </w:r>
          </w:p>
        </w:tc>
        <w:tc>
          <w:tcPr>
            <w:tcW w:w="3120" w:type="dxa"/>
          </w:tcPr>
          <w:p>
            <w:pPr/>
            <w:r>
              <w:t xml:space="preserve">Marketing et produit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à 6 mois</w:t>
            </w:r>
          </w:p>
        </w:tc>
        <w:tc>
          <w:tcPr>
            <w:tcW w:w="3120" w:type="dxa"/>
          </w:tcPr>
          <w:p>
            <w:pPr/>
            <w:r>
              <w:t xml:space="preserve">Pilote USSD vers application mobile, avec groupe témoin</w:t>
            </w:r>
          </w:p>
        </w:tc>
        <w:tc>
          <w:tcPr>
            <w:tcW w:w="3120" w:type="dxa"/>
          </w:tcPr>
          <w:p>
            <w:pPr/>
            <w:r>
              <w:t xml:space="preserve">Produit et digital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à 6 mois</w:t>
            </w:r>
          </w:p>
        </w:tc>
        <w:tc>
          <w:tcPr>
            <w:tcW w:w="3120" w:type="dxa"/>
          </w:tcPr>
          <w:p>
            <w:pPr/>
            <w:r>
              <w:t xml:space="preserve">Recalculer la segmentation sur 12 mois avec seuils fixes de récence et de fréquence</w:t>
            </w:r>
          </w:p>
        </w:tc>
        <w:tc>
          <w:tcPr>
            <w:tcW w:w="3120" w:type="dxa"/>
          </w:tcPr>
          <w:p>
            <w:pPr/>
            <w:r>
              <w:t xml:space="preserve">Data</w:t>
            </w:r>
          </w:p>
        </w:tc>
      </w:tr>
    </w:tbl>
    <w:p>
      <w:pPr>
        <w:pStyle w:val="Heading2"/>
      </w:pPr>
      <w:r>
        <w:t xml:space="preserve">5. Indicateurs de suivi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Indicateur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Valeur de départ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Sens souhaité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 de Champions</w:t>
            </w:r>
          </w:p>
        </w:tc>
        <w:tc>
          <w:tcPr>
            <w:tcW w:w="3120" w:type="dxa"/>
          </w:tcPr>
          <w:p>
            <w:pPr/>
            <w:r>
              <w:t xml:space="preserve">20,9 % des clients</w:t>
            </w:r>
          </w:p>
        </w:tc>
        <w:tc>
          <w:tcPr>
            <w:tcW w:w="3120" w:type="dxa"/>
          </w:tcPr>
          <w:p>
            <w:pPr/>
            <w:r>
              <w:t xml:space="preserve">Hausse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 de clients « à risque »</w:t>
            </w:r>
          </w:p>
        </w:tc>
        <w:tc>
          <w:tcPr>
            <w:tcW w:w="3120" w:type="dxa"/>
          </w:tcPr>
          <w:p>
            <w:pPr/>
            <w:r>
              <w:t xml:space="preserve">13,3 % des clients</w:t>
            </w:r>
          </w:p>
        </w:tc>
        <w:tc>
          <w:tcPr>
            <w:tcW w:w="3120" w:type="dxa"/>
          </w:tcPr>
          <w:p>
            <w:pPr/>
            <w:r>
              <w:t xml:space="preserve">Baisse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Taux de réussite des transactions</w:t>
            </w:r>
          </w:p>
        </w:tc>
        <w:tc>
          <w:tcPr>
            <w:tcW w:w="3120" w:type="dxa"/>
          </w:tcPr>
          <w:p>
            <w:pPr/>
            <w:r>
              <w:t xml:space="preserve">90,5 %</w:t>
            </w:r>
          </w:p>
        </w:tc>
        <w:tc>
          <w:tcPr>
            <w:tcW w:w="3120" w:type="dxa"/>
          </w:tcPr>
          <w:p>
            <w:pPr/>
            <w:r>
              <w:t xml:space="preserve">Hausse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Taux de signalement pour revue (transactions réussies)</w:t>
            </w:r>
          </w:p>
        </w:tc>
        <w:tc>
          <w:tcPr>
            <w:tcW w:w="3120" w:type="dxa"/>
          </w:tcPr>
          <w:p>
            <w:pPr/>
            <w:r>
              <w:t xml:space="preserve">19,2 %</w:t>
            </w:r>
          </w:p>
        </w:tc>
        <w:tc>
          <w:tcPr>
            <w:tcW w:w="3120" w:type="dxa"/>
          </w:tcPr>
          <w:p>
            <w:pPr/>
            <w:r>
              <w:t xml:space="preserve">À surveiller, pas une cible en soi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Anomalies non signalées</w:t>
            </w:r>
          </w:p>
        </w:tc>
        <w:tc>
          <w:tcPr>
            <w:tcW w:w="3120" w:type="dxa"/>
          </w:tcPr>
          <w:p>
            <w:pPr/>
            <w:r>
              <w:t xml:space="preserve">65,6 %</w:t>
            </w:r>
          </w:p>
        </w:tc>
        <w:tc>
          <w:tcPr>
            <w:tcW w:w="3120" w:type="dxa"/>
          </w:tcPr>
          <w:p>
            <w:pPr/>
            <w:r>
              <w:t xml:space="preserve">Baisse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Volume quotidien (mars, transactions réussies)</w:t>
            </w:r>
          </w:p>
        </w:tc>
        <w:tc>
          <w:tcPr>
            <w:tcW w:w="3120" w:type="dxa"/>
          </w:tcPr>
          <w:p>
            <w:pPr/>
            <w:r>
              <w:t xml:space="preserve">5,79 M NGN</w:t>
            </w:r>
          </w:p>
        </w:tc>
        <w:tc>
          <w:tcPr>
            <w:tcW w:w="3120" w:type="dxa"/>
          </w:tcPr>
          <w:p>
            <w:pPr/>
            <w:r>
              <w:t xml:space="preserve">Hausse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Transactions par jour</w:t>
            </w:r>
          </w:p>
        </w:tc>
        <w:tc>
          <w:tcPr>
            <w:tcW w:w="3120" w:type="dxa"/>
          </w:tcPr>
          <w:p>
            <w:pPr/>
            <w:r>
              <w:t xml:space="preserve">Environ 121</w:t>
            </w:r>
          </w:p>
        </w:tc>
        <w:tc>
          <w:tcPr>
            <w:tcW w:w="3120" w:type="dxa"/>
          </w:tcPr>
          <w:p>
            <w:pPr/>
            <w:r>
              <w:t xml:space="preserve">Hausse</w:t>
            </w:r>
          </w:p>
        </w:tc>
      </w:tr>
    </w:tbl>
    <w:p>
      <w:pPr>
        <w:pStyle w:val="Heading2"/>
      </w:pPr>
      <w:r>
        <w:t xml:space="preserve">6. Hypothèses et limites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Volume et chiffre d'affaires</w:t>
      </w:r>
      <w:r>
        <w:t xml:space="preserve"> : les montants sont des volumes de transactions. Sans marges ni coûts, aucun retour sur investissement n'est calculé.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Période courte</w:t>
      </w:r>
      <w:r>
        <w:t xml:space="preserve"> : trois mois seulement, ce qui limite la lecture de la récence et des tendances.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Signalement et fraude</w:t>
      </w:r>
      <w:r>
        <w:t xml:space="preserve"> : l'indicateur de revue ne désigne pas une fraude confirmée.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Libellés RFM</w:t>
      </w:r>
      <w:r>
        <w:t xml:space="preserve"> : les profils reposent sur des quartiles aux bornes qui se chevauchent. Le libellé « Perdus » correspond à une inactivité d'au moins 17 jours, ce qui est faible.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Objectifs chiffrés</w:t>
      </w:r>
      <w:r>
        <w:t xml:space="preserve"> : aucun objectif n'est imposé ici ; ils doivent être fixés avec les équipes concernées.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Transactions en attente</w:t>
      </w:r>
      <w:r>
        <w:t xml:space="preserve"> : 188 transactions exclues pourraient évoluer en réussies ou en échecs.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Recommandations business  FinTrust</dc:title>
  <dc:description>Claude Docs node/802b040f-a681@1 docx-w6</dc:description>
  <cp:revision>1</cp:revision>
</cp:coreProperties>
</file>