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Testing and Validation Evidence: FinTrust Analysis</w:t>
      </w:r>
    </w:p>
    <w:p>
      <w:pPr/>
      <w:r>
        <w:t xml:space="preserve">Checks performed on the SQL and Python analyses of the FinTrust customer and transaction data (1 January to 31 March 2026)</w:t>
      </w:r>
    </w:p>
    <w:p>
      <w:pPr>
        <w:pStyle w:val="Heading2"/>
      </w:pPr>
      <w:r>
        <w:t xml:space="preserve">1. Purpose and summary</w:t>
      </w:r>
    </w:p>
    <w:p>
      <w:pPr/>
      <w:r>
        <w:t xml:space="preserve">This document records how the results of the analysis were checked: data quality tests, reconciliation of totals, a cross-check between the SQL and Python methods, and the issues found and corrected along the way.</w:t>
      </w:r>
    </w:p>
    <w:p>
      <w:pPr>
        <w:pStyle w:val="ListParagraph"/>
        <w:numPr>
          <w:ilvl w:val="0"/>
          <w:numId w:val="2"/>
        </w:numPr>
      </w:pPr>
      <w:r>
        <w:rPr>
          <w:b/>
        </w:rPr>
        <w:t xml:space="preserve">All reconciliation checks passed</w:t>
      </w:r>
      <w:r>
        <w:t xml:space="preserve">: customer counts, volumes and anomaly totals agree across SQL outputs, Python outputs and the breakdown tables.</w:t>
      </w:r>
    </w:p>
    <w:p>
      <w:pPr>
        <w:pStyle w:val="ListParagraph"/>
        <w:numPr>
          <w:ilvl w:val="0"/>
          <w:numId w:val="2"/>
        </w:numPr>
      </w:pPr>
      <w:r>
        <w:rPr>
          <w:b/>
        </w:rPr>
        <w:t xml:space="preserve">The SQL and Python methods agree</w:t>
      </w:r>
      <w:r>
        <w:t xml:space="preserve"> once the difference in scope is accounted for: SQL included every transaction, Python keeps only successful ones. The gap in volume (49.7 M NGN) equals the volume of non-successful transactions to the naira.</w:t>
      </w:r>
    </w:p>
    <w:p>
      <w:pPr>
        <w:pStyle w:val="ListParagraph"/>
        <w:numPr>
          <w:ilvl w:val="0"/>
          <w:numId w:val="2"/>
        </w:numPr>
      </w:pPr>
      <w:r>
        <w:rPr>
          <w:b/>
        </w:rPr>
        <w:t xml:space="preserve">Seven issues were found and corrected</w:t>
      </w:r>
      <w:r>
        <w:t xml:space="preserve"> during the work (section 5).</w:t>
      </w:r>
    </w:p>
    <w:p>
      <w:pPr>
        <w:pStyle w:val="ListParagraph"/>
        <w:numPr>
          <w:ilvl w:val="0"/>
          <w:numId w:val="2"/>
        </w:numPr>
      </w:pPr>
      <w:r>
        <w:rPr>
          <w:b/>
        </w:rPr>
        <w:t xml:space="preserve">Some things are not validated</w:t>
      </w:r>
      <w:r>
        <w:t xml:space="preserve">: there are no automated unit tests, and the anomaly rules have not been tested against confirmed fraud (section 6).</w:t>
      </w:r>
    </w:p>
    <w:p>
      <w:pPr>
        <w:pStyle w:val="Heading2"/>
      </w:pPr>
      <w:r>
        <w:t xml:space="preserve">2. Data quality checks</w:t>
      </w:r>
    </w:p>
    <w:p>
      <w:pPr/>
      <w:r>
        <w:t xml:space="preserve">Run in Python on the full files (1,500 customers, 12,000 transactions).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Check</w:t>
            </w:r>
          </w:p>
        </w:tc>
        <w:tc>
          <w:tcPr>
            <w:tcW w:w="3120" w:type="dxa"/>
            <w:shd w:val="clear" w:color="auto" w:fill="F2F2F2"/>
          </w:tcPr>
          <w:p>
            <w:pPr/>
            <w:r>
              <w:t xml:space="preserve">Result</w:t>
            </w:r>
          </w:p>
        </w:tc>
        <w:tc>
          <w:tcPr>
            <w:tcW w:w="3120" w:type="dxa"/>
            <w:shd w:val="clear" w:color="auto" w:fill="F2F2F2"/>
          </w:tcPr>
          <w:p>
            <w:pPr/>
            <w:r>
              <w:t xml:space="preserve">Evidence</w:t>
            </w:r>
          </w:p>
        </w:tc>
      </w:tr>
      <w:tr>
        <w:tc>
          <w:tcPr>
            <w:tcW w:w="3120" w:type="dxa"/>
          </w:tcPr>
          <w:p>
            <w:pPr/>
            <w:r>
              <w:t xml:space="preserve">Files read with correct structure</w:t>
            </w:r>
          </w:p>
        </w:tc>
        <w:tc>
          <w:tcPr>
            <w:tcW w:w="3120" w:type="dxa"/>
          </w:tcPr>
          <w:p>
            <w:pPr/>
            <w:r>
              <w:t xml:space="preserve">Passed after fix</w:t>
            </w:r>
          </w:p>
        </w:tc>
        <w:tc>
          <w:tcPr>
            <w:tcW w:w="3120" w:type="dxa"/>
          </w:tcPr>
          <w:p>
            <w:pPr/>
            <w:r>
              <w:t xml:space="preserve">Shapes of (1500, 12) and (12000, 11) once separator and decimal were set</w:t>
            </w:r>
          </w:p>
        </w:tc>
      </w:tr>
      <w:tr>
        <w:tc>
          <w:tcPr>
            <w:tcW w:w="3120" w:type="dxa"/>
          </w:tcPr>
          <w:p>
            <w:pPr/>
            <w:r>
              <w:t xml:space="preserve">Invalid dates</w:t>
            </w:r>
          </w:p>
        </w:tc>
        <w:tc>
          <w:tcPr>
            <w:tcW w:w="3120" w:type="dxa"/>
          </w:tcPr>
          <w:p>
            <w:pPr/>
            <w:r>
              <w:t xml:space="preserve">0</w:t>
            </w:r>
          </w:p>
        </w:tc>
        <w:tc>
          <w:tcPr>
            <w:tcW w:w="3120" w:type="dxa"/>
          </w:tcPr>
          <w:p>
            <w:pPr/>
            <w:r>
              <w:t xml:space="preserve">Every date converted with the day/month/year format</w:t>
            </w:r>
          </w:p>
        </w:tc>
      </w:tr>
      <w:tr>
        <w:tc>
          <w:tcPr>
            <w:tcW w:w="3120" w:type="dxa"/>
          </w:tcPr>
          <w:p>
            <w:pPr/>
            <w:r>
              <w:t xml:space="preserve">Period</w:t>
            </w:r>
          </w:p>
        </w:tc>
        <w:tc>
          <w:tcPr>
            <w:tcW w:w="3120" w:type="dxa"/>
          </w:tcPr>
          <w:p>
            <w:pPr/>
            <w:r>
              <w:t xml:space="preserve">Passed</w:t>
            </w:r>
          </w:p>
        </w:tc>
        <w:tc>
          <w:tcPr>
            <w:tcW w:w="3120" w:type="dxa"/>
          </w:tcPr>
          <w:p>
            <w:pPr/>
            <w:r>
              <w:t xml:space="preserve">1 January 2026 00:00 to 31 March 2026 23:59</w:t>
            </w:r>
          </w:p>
        </w:tc>
      </w:tr>
      <w:tr>
        <w:tc>
          <w:tcPr>
            <w:tcW w:w="3120" w:type="dxa"/>
          </w:tcPr>
          <w:p>
            <w:pPr/>
            <w:r>
              <w:t xml:space="preserve">Amount type</w:t>
            </w:r>
          </w:p>
        </w:tc>
        <w:tc>
          <w:tcPr>
            <w:tcW w:w="3120" w:type="dxa"/>
          </w:tcPr>
          <w:p>
            <w:pPr/>
            <w:r>
              <w:t xml:space="preserve">Passed</w:t>
            </w:r>
          </w:p>
        </w:tc>
        <w:tc>
          <w:tcPr>
            <w:tcW w:w="3120" w:type="dxa"/>
          </w:tcPr>
          <w:p>
            <w:pPr/>
            <w:r>
              <w:t xml:space="preserve">Amount_NGN read as float64</w:t>
            </w:r>
          </w:p>
        </w:tc>
      </w:tr>
      <w:tr>
        <w:tc>
          <w:tcPr>
            <w:tcW w:w="3120" w:type="dxa"/>
          </w:tcPr>
          <w:p>
            <w:pPr/>
            <w:r>
              <w:t xml:space="preserve">Duplicate Transaction_ID</w:t>
            </w:r>
          </w:p>
        </w:tc>
        <w:tc>
          <w:tcPr>
            <w:tcW w:w="3120" w:type="dxa"/>
          </w:tcPr>
          <w:p>
            <w:pPr/>
            <w:r>
              <w:t xml:space="preserve">0</w:t>
            </w:r>
          </w:p>
        </w:tc>
        <w:tc>
          <w:tcPr>
            <w:tcW w:w="3120" w:type="dxa"/>
          </w:tcPr>
          <w:p>
            <w:pPr/>
            <w:r>
              <w:t xml:space="preserve">Duplicate count printed in the quality cell</w:t>
            </w:r>
          </w:p>
        </w:tc>
      </w:tr>
      <w:tr>
        <w:tc>
          <w:tcPr>
            <w:tcW w:w="3120" w:type="dxa"/>
          </w:tcPr>
          <w:p>
            <w:pPr/>
            <w:r>
              <w:t xml:space="preserve">Missing amounts</w:t>
            </w:r>
          </w:p>
        </w:tc>
        <w:tc>
          <w:tcPr>
            <w:tcW w:w="3120" w:type="dxa"/>
          </w:tcPr>
          <w:p>
            <w:pPr/>
            <w:r>
              <w:t xml:space="preserve">0</w:t>
            </w:r>
          </w:p>
        </w:tc>
        <w:tc>
          <w:tcPr>
            <w:tcW w:w="3120" w:type="dxa"/>
          </w:tcPr>
          <w:p>
            <w:pPr/>
            <w:r>
              <w:t xml:space="preserve">Missing count printed in the quality cell</w:t>
            </w:r>
          </w:p>
        </w:tc>
      </w:tr>
      <w:tr>
        <w:tc>
          <w:tcPr>
            <w:tcW w:w="3120" w:type="dxa"/>
          </w:tcPr>
          <w:p>
            <w:pPr/>
            <w:r>
              <w:t xml:space="preserve">Transactions without a matching customer</w:t>
            </w:r>
          </w:p>
        </w:tc>
        <w:tc>
          <w:tcPr>
            <w:tcW w:w="3120" w:type="dxa"/>
          </w:tcPr>
          <w:p>
            <w:pPr/>
            <w:r>
              <w:t xml:space="preserve">0</w:t>
            </w:r>
          </w:p>
        </w:tc>
        <w:tc>
          <w:tcPr>
            <w:tcW w:w="3120" w:type="dxa"/>
          </w:tcPr>
          <w:p>
            <w:pPr/>
            <w:r>
              <w:t xml:space="preserve">Customer_ID lookup against the customer file</w:t>
            </w:r>
          </w:p>
        </w:tc>
      </w:tr>
      <w:tr>
        <w:tc>
          <w:tcPr>
            <w:tcW w:w="3120" w:type="dxa"/>
          </w:tcPr>
          <w:p>
            <w:pPr/>
            <w:r>
              <w:t xml:space="preserve">Customers with at least one transaction</w:t>
            </w:r>
          </w:p>
        </w:tc>
        <w:tc>
          <w:tcPr>
            <w:tcW w:w="3120" w:type="dxa"/>
          </w:tcPr>
          <w:p>
            <w:pPr/>
            <w:r>
              <w:t xml:space="preserve">1,500 of 1,500</w:t>
            </w:r>
          </w:p>
        </w:tc>
        <w:tc>
          <w:tcPr>
            <w:tcW w:w="3120" w:type="dxa"/>
          </w:tcPr>
          <w:p>
            <w:pPr/>
            <w:r>
              <w:t xml:space="preserve">Customer count after grouping</w:t>
            </w:r>
          </w:p>
        </w:tc>
      </w:tr>
      <w:tr>
        <w:tc>
          <w:tcPr>
            <w:tcW w:w="3120" w:type="dxa"/>
          </w:tcPr>
          <w:p>
            <w:pPr/>
            <w:r>
              <w:t xml:space="preserve">Status values</w:t>
            </w:r>
          </w:p>
        </w:tc>
        <w:tc>
          <w:tcPr>
            <w:tcW w:w="3120" w:type="dxa"/>
          </w:tcPr>
          <w:p>
            <w:pPr/>
            <w:r>
              <w:t xml:space="preserve">Passed</w:t>
            </w:r>
          </w:p>
        </w:tc>
        <w:tc>
          <w:tcPr>
            <w:tcW w:w="3120" w:type="dxa"/>
          </w:tcPr>
          <w:p>
            <w:pPr/>
            <w:r>
              <w:t xml:space="preserve">Successful 10,856, Failed 630, Reversed 326, Pending 188</w:t>
            </w:r>
          </w:p>
        </w:tc>
      </w:tr>
    </w:tbl>
    <w:p>
      <w:pPr>
        <w:pStyle w:val="Heading2"/>
      </w:pPr>
      <w:r>
        <w:t xml:space="preserve">3. Reconciliation checks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Check</w:t>
            </w:r>
          </w:p>
        </w:tc>
        <w:tc>
          <w:tcPr>
            <w:tcW w:w="2340" w:type="dxa"/>
            <w:shd w:val="clear" w:color="auto" w:fill="F2F2F2"/>
          </w:tcPr>
          <w:p>
            <w:pPr/>
            <w:r>
              <w:t xml:space="preserve">Expected</w:t>
            </w:r>
          </w:p>
        </w:tc>
        <w:tc>
          <w:tcPr>
            <w:tcW w:w="2340" w:type="dxa"/>
            <w:shd w:val="clear" w:color="auto" w:fill="F2F2F2"/>
          </w:tcPr>
          <w:p>
            <w:pPr/>
            <w:r>
              <w:t xml:space="preserve">Observed</w:t>
            </w:r>
          </w:p>
        </w:tc>
        <w:tc>
          <w:tcPr>
            <w:tcW w:w="2340" w:type="dxa"/>
            <w:shd w:val="clear" w:color="auto" w:fill="F2F2F2"/>
          </w:tcPr>
          <w:p>
            <w:pPr/>
            <w:r>
              <w:t xml:space="preserve">Result</w:t>
            </w:r>
          </w:p>
        </w:tc>
      </w:tr>
      <w:tr>
        <w:tc>
          <w:tcPr>
            <w:tcW w:w="2340" w:type="dxa"/>
          </w:tcPr>
          <w:p>
            <w:pPr/>
            <w:r>
              <w:t xml:space="preserve">Status counts add up</w:t>
            </w:r>
          </w:p>
        </w:tc>
        <w:tc>
          <w:tcPr>
            <w:tcW w:w="2340" w:type="dxa"/>
          </w:tcPr>
          <w:p>
            <w:pPr/>
            <w:r>
              <w:t xml:space="preserve">12,000</w:t>
            </w:r>
          </w:p>
        </w:tc>
        <w:tc>
          <w:tcPr>
            <w:tcW w:w="2340" w:type="dxa"/>
          </w:tcPr>
          <w:p>
            <w:pPr/>
            <w:r>
              <w:t xml:space="preserve">10,856 + 630 + 326 + 188 = 12,000</w:t>
            </w:r>
          </w:p>
        </w:tc>
        <w:tc>
          <w:tcPr>
            <w:tcW w:w="2340" w:type="dxa"/>
          </w:tcPr>
          <w:p>
            <w:pPr/>
            <w:r>
              <w:t xml:space="preserve">Passed</w:t>
            </w:r>
          </w:p>
        </w:tc>
      </w:tr>
      <w:tr>
        <w:tc>
          <w:tcPr>
            <w:tcW w:w="2340" w:type="dxa"/>
          </w:tcPr>
          <w:p>
            <w:pPr/>
            <w:r>
              <w:t xml:space="preserve">Customers in SQL RFM file</w:t>
            </w:r>
          </w:p>
        </w:tc>
        <w:tc>
          <w:tcPr>
            <w:tcW w:w="2340" w:type="dxa"/>
          </w:tcPr>
          <w:p>
            <w:pPr/>
            <w:r>
              <w:t xml:space="preserve">1,500 unique</w:t>
            </w:r>
          </w:p>
        </w:tc>
        <w:tc>
          <w:tcPr>
            <w:tcW w:w="2340" w:type="dxa"/>
          </w:tcPr>
          <w:p>
            <w:pPr/>
            <w:r>
              <w:t xml:space="preserve">1,500 rows, 1,500 unique IDs</w:t>
            </w:r>
          </w:p>
        </w:tc>
        <w:tc>
          <w:tcPr>
            <w:tcW w:w="2340" w:type="dxa"/>
          </w:tcPr>
          <w:p>
            <w:pPr/>
            <w:r>
              <w:t xml:space="preserve">Passed</w:t>
            </w:r>
          </w:p>
        </w:tc>
      </w:tr>
      <w:tr>
        <w:tc>
          <w:tcPr>
            <w:tcW w:w="2340" w:type="dxa"/>
          </w:tcPr>
          <w:p>
            <w:pPr/>
            <w:r>
              <w:t xml:space="preserve">SQL RFM files consistent</w:t>
            </w:r>
          </w:p>
        </w:tc>
        <w:tc>
          <w:tcPr>
            <w:tcW w:w="2340" w:type="dxa"/>
          </w:tcPr>
          <w:p>
            <w:pPr/>
            <w:r>
              <w:t xml:space="preserve">Same customers and total</w:t>
            </w:r>
          </w:p>
        </w:tc>
        <w:tc>
          <w:tcPr>
            <w:tcW w:w="2340" w:type="dxa"/>
          </w:tcPr>
          <w:p>
            <w:pPr/>
            <w:r>
              <w:t xml:space="preserve">Same ID set, 560,477,354.85 NGN in both</w:t>
            </w:r>
          </w:p>
        </w:tc>
        <w:tc>
          <w:tcPr>
            <w:tcW w:w="2340" w:type="dxa"/>
          </w:tcPr>
          <w:p>
            <w:pPr/>
            <w:r>
              <w:t xml:space="preserve">Passed</w:t>
            </w:r>
          </w:p>
        </w:tc>
      </w:tr>
      <w:tr>
        <w:tc>
          <w:tcPr>
            <w:tcW w:w="2340" w:type="dxa"/>
          </w:tcPr>
          <w:p>
            <w:pPr/>
            <w:r>
              <w:t xml:space="preserve">SQL scores balanced</w:t>
            </w:r>
          </w:p>
        </w:tc>
        <w:tc>
          <w:tcPr>
            <w:tcW w:w="2340" w:type="dxa"/>
          </w:tcPr>
          <w:p>
            <w:pPr/>
            <w:r>
              <w:t xml:space="preserve">375 customers per score</w:t>
            </w:r>
          </w:p>
        </w:tc>
        <w:tc>
          <w:tcPr>
            <w:tcW w:w="2340" w:type="dxa"/>
          </w:tcPr>
          <w:p>
            <w:pPr/>
            <w:r>
              <w:t xml:space="preserve">375 for each recency, frequency and monetary score</w:t>
            </w:r>
          </w:p>
        </w:tc>
        <w:tc>
          <w:tcPr>
            <w:tcW w:w="2340" w:type="dxa"/>
          </w:tcPr>
          <w:p>
            <w:pPr/>
            <w:r>
              <w:t xml:space="preserve">Passed</w:t>
            </w:r>
          </w:p>
        </w:tc>
      </w:tr>
      <w:tr>
        <w:tc>
          <w:tcPr>
            <w:tcW w:w="2340" w:type="dxa"/>
          </w:tcPr>
          <w:p>
            <w:pPr/>
            <w:r>
              <w:t xml:space="preserve">SQL total versus Python volume (all transactions)</w:t>
            </w:r>
          </w:p>
        </w:tc>
        <w:tc>
          <w:tcPr>
            <w:tcW w:w="2340" w:type="dxa"/>
          </w:tcPr>
          <w:p>
            <w:pPr/>
            <w:r>
              <w:t xml:space="preserve">About 560,477,400</w:t>
            </w:r>
          </w:p>
        </w:tc>
        <w:tc>
          <w:tcPr>
            <w:tcW w:w="2340" w:type="dxa"/>
          </w:tcPr>
          <w:p>
            <w:pPr/>
            <w:r>
              <w:t xml:space="preserve">560,477,354.85 (Python shown to 7 digits)</w:t>
            </w:r>
          </w:p>
        </w:tc>
        <w:tc>
          <w:tcPr>
            <w:tcW w:w="2340" w:type="dxa"/>
          </w:tcPr>
          <w:p>
            <w:pPr/>
            <w:r>
              <w:t xml:space="preserve">Passed</w:t>
            </w:r>
          </w:p>
        </w:tc>
      </w:tr>
      <w:tr>
        <w:tc>
          <w:tcPr>
            <w:tcW w:w="2340" w:type="dxa"/>
          </w:tcPr>
          <w:p>
            <w:pPr/>
            <w:r>
              <w:t xml:space="preserve">Python profiles add up</w:t>
            </w:r>
          </w:p>
        </w:tc>
        <w:tc>
          <w:tcPr>
            <w:tcW w:w="2340" w:type="dxa"/>
          </w:tcPr>
          <w:p>
            <w:pPr/>
            <w:r>
              <w:t xml:space="preserve">1,500 customers, 510.8 M NGN</w:t>
            </w:r>
          </w:p>
        </w:tc>
        <w:tc>
          <w:tcPr>
            <w:tcW w:w="2340" w:type="dxa"/>
          </w:tcPr>
          <w:p>
            <w:pPr/>
            <w:r>
              <w:t xml:space="preserve">1,500 customers, 510,807,441.46 NGN</w:t>
            </w:r>
          </w:p>
        </w:tc>
        <w:tc>
          <w:tcPr>
            <w:tcW w:w="2340" w:type="dxa"/>
          </w:tcPr>
          <w:p>
            <w:pPr/>
            <w:r>
              <w:t xml:space="preserve">Passed</w:t>
            </w:r>
          </w:p>
        </w:tc>
      </w:tr>
      <w:tr>
        <w:tc>
          <w:tcPr>
            <w:tcW w:w="2340" w:type="dxa"/>
          </w:tcPr>
          <w:p>
            <w:pPr/>
            <w:r>
              <w:t xml:space="preserve">Segment table</w:t>
            </w:r>
          </w:p>
        </w:tc>
        <w:tc>
          <w:tcPr>
            <w:tcW w:w="2340" w:type="dxa"/>
          </w:tcPr>
          <w:p>
            <w:pPr/>
            <w:r>
              <w:t xml:space="preserve">Same totals as profiles</w:t>
            </w:r>
          </w:p>
        </w:tc>
        <w:tc>
          <w:tcPr>
            <w:tcW w:w="2340" w:type="dxa"/>
          </w:tcPr>
          <w:p>
            <w:pPr/>
            <w:r>
              <w:t xml:space="preserve">1,500 customers, 510,807,441.46 NGN</w:t>
            </w:r>
          </w:p>
        </w:tc>
        <w:tc>
          <w:tcPr>
            <w:tcW w:w="2340" w:type="dxa"/>
          </w:tcPr>
          <w:p>
            <w:pPr/>
            <w:r>
              <w:t xml:space="preserve">Passed</w:t>
            </w:r>
          </w:p>
        </w:tc>
      </w:tr>
      <w:tr>
        <w:tc>
          <w:tcPr>
            <w:tcW w:w="2340" w:type="dxa"/>
          </w:tcPr>
          <w:p>
            <w:pPr/>
            <w:r>
              <w:t xml:space="preserve">Channel table</w:t>
            </w:r>
          </w:p>
        </w:tc>
        <w:tc>
          <w:tcPr>
            <w:tcW w:w="2340" w:type="dxa"/>
          </w:tcPr>
          <w:p>
            <w:pPr/>
            <w:r>
              <w:t xml:space="preserve">Same totals as profiles</w:t>
            </w:r>
          </w:p>
        </w:tc>
        <w:tc>
          <w:tcPr>
            <w:tcW w:w="2340" w:type="dxa"/>
          </w:tcPr>
          <w:p>
            <w:pPr/>
            <w:r>
              <w:t xml:space="preserve">1,500 customers, 510,807,441.46 NGN</w:t>
            </w:r>
          </w:p>
        </w:tc>
        <w:tc>
          <w:tcPr>
            <w:tcW w:w="2340" w:type="dxa"/>
          </w:tcPr>
          <w:p>
            <w:pPr/>
            <w:r>
              <w:t xml:space="preserve">Passed</w:t>
            </w:r>
          </w:p>
        </w:tc>
      </w:tr>
      <w:tr>
        <w:tc>
          <w:tcPr>
            <w:tcW w:w="2340" w:type="dxa"/>
          </w:tcPr>
          <w:p>
            <w:pPr/>
            <w:r>
              <w:t xml:space="preserve">Successful volume matches the summary</w:t>
            </w:r>
          </w:p>
        </w:tc>
        <w:tc>
          <w:tcPr>
            <w:tcW w:w="2340" w:type="dxa"/>
          </w:tcPr>
          <w:p>
            <w:pPr/>
            <w:r>
              <w:t xml:space="preserve">510,807,400</w:t>
            </w:r>
          </w:p>
        </w:tc>
        <w:tc>
          <w:tcPr>
            <w:tcW w:w="2340" w:type="dxa"/>
          </w:tcPr>
          <w:p>
            <w:pPr/>
            <w:r>
              <w:t xml:space="preserve">510,807,441.46</w:t>
            </w:r>
          </w:p>
        </w:tc>
        <w:tc>
          <w:tcPr>
            <w:tcW w:w="2340" w:type="dxa"/>
          </w:tcPr>
          <w:p>
            <w:pPr/>
            <w:r>
              <w:t xml:space="preserve">Passed</w:t>
            </w:r>
          </w:p>
        </w:tc>
      </w:tr>
      <w:tr>
        <w:tc>
          <w:tcPr>
            <w:tcW w:w="2340" w:type="dxa"/>
          </w:tcPr>
          <w:p>
            <w:pPr/>
            <w:r>
              <w:t xml:space="preserve">Volume by status adds up</w:t>
            </w:r>
          </w:p>
        </w:tc>
        <w:tc>
          <w:tcPr>
            <w:tcW w:w="2340" w:type="dxa"/>
          </w:tcPr>
          <w:p>
            <w:pPr/>
            <w:r>
              <w:t xml:space="preserve">About 560,477,400</w:t>
            </w:r>
          </w:p>
        </w:tc>
        <w:tc>
          <w:tcPr>
            <w:tcW w:w="2340" w:type="dxa"/>
          </w:tcPr>
          <w:p>
            <w:pPr/>
            <w:r>
              <w:t xml:space="preserve">560,477,314 (rounded inputs)</w:t>
            </w:r>
          </w:p>
        </w:tc>
        <w:tc>
          <w:tcPr>
            <w:tcW w:w="2340" w:type="dxa"/>
          </w:tcPr>
          <w:p>
            <w:pPr/>
            <w:r>
              <w:t xml:space="preserve">Passed</w:t>
            </w:r>
          </w:p>
        </w:tc>
      </w:tr>
      <w:tr>
        <w:tc>
          <w:tcPr>
            <w:tcW w:w="2340" w:type="dxa"/>
          </w:tcPr>
          <w:p>
            <w:pPr/>
            <w:r>
              <w:t xml:space="preserve">SQL anomaly file</w:t>
            </w:r>
          </w:p>
        </w:tc>
        <w:tc>
          <w:tcPr>
            <w:tcW w:w="2340" w:type="dxa"/>
          </w:tcPr>
          <w:p>
            <w:pPr/>
            <w:r>
              <w:t xml:space="preserve">750 distinct transactions</w:t>
            </w:r>
          </w:p>
        </w:tc>
        <w:tc>
          <w:tcPr>
            <w:tcW w:w="2340" w:type="dxa"/>
          </w:tcPr>
          <w:p>
            <w:pPr/>
            <w:r>
              <w:t xml:space="preserve">750 rows, 750 unique IDs</w:t>
            </w:r>
          </w:p>
        </w:tc>
        <w:tc>
          <w:tcPr>
            <w:tcW w:w="2340" w:type="dxa"/>
          </w:tcPr>
          <w:p>
            <w:pPr/>
            <w:r>
              <w:t xml:space="preserve">Passed</w:t>
            </w:r>
          </w:p>
        </w:tc>
      </w:tr>
      <w:tr>
        <w:tc>
          <w:tcPr>
            <w:tcW w:w="2340" w:type="dxa"/>
          </w:tcPr>
          <w:p>
            <w:pPr/>
            <w:r>
              <w:t xml:space="preserve">Python anomalies on all transactions versus SQL</w:t>
            </w:r>
          </w:p>
        </w:tc>
        <w:tc>
          <w:tcPr>
            <w:tcW w:w="2340" w:type="dxa"/>
          </w:tcPr>
          <w:p>
            <w:pPr/>
            <w:r>
              <w:t xml:space="preserve">750 and 184,512,474 NGN</w:t>
            </w:r>
          </w:p>
        </w:tc>
        <w:tc>
          <w:tcPr>
            <w:tcW w:w="2340" w:type="dxa"/>
          </w:tcPr>
          <w:p>
            <w:pPr/>
            <w:r>
              <w:t xml:space="preserve">750 and 184,512,474 NGN</w:t>
            </w:r>
          </w:p>
        </w:tc>
        <w:tc>
          <w:tcPr>
            <w:tcW w:w="2340" w:type="dxa"/>
          </w:tcPr>
          <w:p>
            <w:pPr/>
            <w:r>
              <w:t xml:space="preserve">Passed</w:t>
            </w:r>
          </w:p>
        </w:tc>
      </w:tr>
      <w:tr>
        <w:tc>
          <w:tcPr>
            <w:tcW w:w="2340" w:type="dxa"/>
          </w:tcPr>
          <w:p>
            <w:pPr/>
            <w:r>
              <w:t xml:space="preserve">Anomalies by type add up</w:t>
            </w:r>
          </w:p>
        </w:tc>
        <w:tc>
          <w:tcPr>
            <w:tcW w:w="2340" w:type="dxa"/>
          </w:tcPr>
          <w:p>
            <w:pPr/>
            <w:r>
              <w:t xml:space="preserve">645 and 156.8 M NGN</w:t>
            </w:r>
          </w:p>
        </w:tc>
        <w:tc>
          <w:tcPr>
            <w:tcW w:w="2340" w:type="dxa"/>
          </w:tcPr>
          <w:p>
            <w:pPr/>
            <w:r>
              <w:t xml:space="preserve">645 and 156,820,593.21 NGN</w:t>
            </w:r>
          </w:p>
        </w:tc>
        <w:tc>
          <w:tcPr>
            <w:tcW w:w="2340" w:type="dxa"/>
          </w:tcPr>
          <w:p>
            <w:pPr/>
            <w:r>
              <w:t xml:space="preserve">Passed</w:t>
            </w:r>
          </w:p>
        </w:tc>
      </w:tr>
      <w:tr>
        <w:tc>
          <w:tcPr>
            <w:tcW w:w="2340" w:type="dxa"/>
          </w:tcPr>
          <w:p>
            <w:pPr/>
            <w:r>
              <w:t xml:space="preserve">Anomalies by risk level add up</w:t>
            </w:r>
          </w:p>
        </w:tc>
        <w:tc>
          <w:tcPr>
            <w:tcW w:w="2340" w:type="dxa"/>
          </w:tcPr>
          <w:p>
            <w:pPr/>
            <w:r>
              <w:t xml:space="preserve">645 and 156.8 M NGN</w:t>
            </w:r>
          </w:p>
        </w:tc>
        <w:tc>
          <w:tcPr>
            <w:tcW w:w="2340" w:type="dxa"/>
          </w:tcPr>
          <w:p>
            <w:pPr/>
            <w:r>
              <w:t xml:space="preserve">645 and 156,820,593.21 NGN</w:t>
            </w:r>
          </w:p>
        </w:tc>
        <w:tc>
          <w:tcPr>
            <w:tcW w:w="2340" w:type="dxa"/>
          </w:tcPr>
          <w:p>
            <w:pPr/>
            <w:r>
              <w:t xml:space="preserve">Passed</w:t>
            </w:r>
          </w:p>
        </w:tc>
      </w:tr>
      <w:tr>
        <w:tc>
          <w:tcPr>
            <w:tcW w:w="2340" w:type="dxa"/>
          </w:tcPr>
          <w:p>
            <w:pPr/>
            <w:r>
              <w:t xml:space="preserve">Flag cross-table adds up</w:t>
            </w:r>
          </w:p>
        </w:tc>
        <w:tc>
          <w:tcPr>
            <w:tcW w:w="2340" w:type="dxa"/>
          </w:tcPr>
          <w:p>
            <w:pPr/>
            <w:r>
              <w:t xml:space="preserve">645</w:t>
            </w:r>
          </w:p>
        </w:tc>
        <w:tc>
          <w:tcPr>
            <w:tcW w:w="2340" w:type="dxa"/>
          </w:tcPr>
          <w:p>
            <w:pPr/>
            <w:r>
              <w:t xml:space="preserve">316 + 140 + 103 + 79 + 4 + 3 = 645</w:t>
            </w:r>
          </w:p>
        </w:tc>
        <w:tc>
          <w:tcPr>
            <w:tcW w:w="2340" w:type="dxa"/>
          </w:tcPr>
          <w:p>
            <w:pPr/>
            <w:r>
              <w:t xml:space="preserve">Passed</w:t>
            </w:r>
          </w:p>
        </w:tc>
      </w:tr>
      <w:tr>
        <w:tc>
          <w:tcPr>
            <w:tcW w:w="2340" w:type="dxa"/>
          </w:tcPr>
          <w:p>
            <w:pPr/>
            <w:r>
              <w:t xml:space="preserve">Monthly transactions add up</w:t>
            </w:r>
          </w:p>
        </w:tc>
        <w:tc>
          <w:tcPr>
            <w:tcW w:w="2340" w:type="dxa"/>
          </w:tcPr>
          <w:p>
            <w:pPr/>
            <w:r>
              <w:t xml:space="preserve">10,856</w:t>
            </w:r>
          </w:p>
        </w:tc>
        <w:tc>
          <w:tcPr>
            <w:tcW w:w="2340" w:type="dxa"/>
          </w:tcPr>
          <w:p>
            <w:pPr/>
            <w:r>
              <w:t xml:space="preserve">3,720 + 3,394 + 3,742 = 10,856</w:t>
            </w:r>
          </w:p>
        </w:tc>
        <w:tc>
          <w:tcPr>
            <w:tcW w:w="2340" w:type="dxa"/>
          </w:tcPr>
          <w:p>
            <w:pPr/>
            <w:r>
              <w:t xml:space="preserve">Passed (March by difference)</w:t>
            </w:r>
          </w:p>
        </w:tc>
      </w:tr>
    </w:tbl>
    <w:p>
      <w:pPr>
        <w:pStyle w:val="Heading2"/>
      </w:pPr>
      <w:r>
        <w:t xml:space="preserve">4. Cross-check between SQL and Python</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Metric</w:t>
            </w:r>
          </w:p>
        </w:tc>
        <w:tc>
          <w:tcPr>
            <w:tcW w:w="2340" w:type="dxa"/>
            <w:shd w:val="clear" w:color="auto" w:fill="F2F2F2"/>
          </w:tcPr>
          <w:p>
            <w:pPr/>
            <w:r>
              <w:t xml:space="preserve">SQL (all transactions)</w:t>
            </w:r>
          </w:p>
        </w:tc>
        <w:tc>
          <w:tcPr>
            <w:tcW w:w="2340" w:type="dxa"/>
            <w:shd w:val="clear" w:color="auto" w:fill="F2F2F2"/>
          </w:tcPr>
          <w:p>
            <w:pPr/>
            <w:r>
              <w:t xml:space="preserve">Python (successful only)</w:t>
            </w:r>
          </w:p>
        </w:tc>
        <w:tc>
          <w:tcPr>
            <w:tcW w:w="2340" w:type="dxa"/>
            <w:shd w:val="clear" w:color="auto" w:fill="F2F2F2"/>
          </w:tcPr>
          <w:p>
            <w:pPr/>
            <w:r>
              <w:t xml:space="preserve">Explanation</w:t>
            </w:r>
          </w:p>
        </w:tc>
      </w:tr>
      <w:tr>
        <w:tc>
          <w:tcPr>
            <w:tcW w:w="2340" w:type="dxa"/>
          </w:tcPr>
          <w:p>
            <w:pPr/>
            <w:r>
              <w:t xml:space="preserve">Total volume</w:t>
            </w:r>
          </w:p>
        </w:tc>
        <w:tc>
          <w:tcPr>
            <w:tcW w:w="2340" w:type="dxa"/>
          </w:tcPr>
          <w:p>
            <w:pPr/>
            <w:r>
              <w:t xml:space="preserve">560,477,355 NGN</w:t>
            </w:r>
          </w:p>
        </w:tc>
        <w:tc>
          <w:tcPr>
            <w:tcW w:w="2340" w:type="dxa"/>
          </w:tcPr>
          <w:p>
            <w:pPr/>
            <w:r>
              <w:t xml:space="preserve">510,807,441 NGN</w:t>
            </w:r>
          </w:p>
        </w:tc>
        <w:tc>
          <w:tcPr>
            <w:tcW w:w="2340" w:type="dxa"/>
          </w:tcPr>
          <w:p>
            <w:pPr/>
            <w:r>
              <w:t xml:space="preserve">Difference of 49,669,913 NGN, equal to the volume of failed, reversed and pending transactions</w:t>
            </w:r>
          </w:p>
        </w:tc>
      </w:tr>
      <w:tr>
        <w:tc>
          <w:tcPr>
            <w:tcW w:w="2340" w:type="dxa"/>
          </w:tcPr>
          <w:p>
            <w:pPr/>
            <w:r>
              <w:t xml:space="preserve">Anomalies</w:t>
            </w:r>
          </w:p>
        </w:tc>
        <w:tc>
          <w:tcPr>
            <w:tcW w:w="2340" w:type="dxa"/>
          </w:tcPr>
          <w:p>
            <w:pPr/>
            <w:r>
              <w:t xml:space="preserve">750</w:t>
            </w:r>
          </w:p>
        </w:tc>
        <w:tc>
          <w:tcPr>
            <w:tcW w:w="2340" w:type="dxa"/>
          </w:tcPr>
          <w:p>
            <w:pPr/>
            <w:r>
              <w:t xml:space="preserve">645</w:t>
            </w:r>
          </w:p>
        </w:tc>
        <w:tc>
          <w:tcPr>
            <w:tcW w:w="2340" w:type="dxa"/>
          </w:tcPr>
          <w:p>
            <w:pPr/>
            <w:r>
              <w:t xml:space="preserve">Thresholds recalculated without non-successful transactions</w:t>
            </w:r>
          </w:p>
        </w:tc>
      </w:tr>
      <w:tr>
        <w:tc>
          <w:tcPr>
            <w:tcW w:w="2340" w:type="dxa"/>
          </w:tcPr>
          <w:p>
            <w:pPr/>
            <w:r>
              <w:t xml:space="preserve">Anomaly volume</w:t>
            </w:r>
          </w:p>
        </w:tc>
        <w:tc>
          <w:tcPr>
            <w:tcW w:w="2340" w:type="dxa"/>
          </w:tcPr>
          <w:p>
            <w:pPr/>
            <w:r>
              <w:t xml:space="preserve">184.5 M NGN</w:t>
            </w:r>
          </w:p>
        </w:tc>
        <w:tc>
          <w:tcPr>
            <w:tcW w:w="2340" w:type="dxa"/>
          </w:tcPr>
          <w:p>
            <w:pPr/>
            <w:r>
              <w:t xml:space="preserve">156.8 M NGN</w:t>
            </w:r>
          </w:p>
        </w:tc>
        <w:tc>
          <w:tcPr>
            <w:tcW w:w="2340" w:type="dxa"/>
          </w:tcPr>
          <w:p>
            <w:pPr/>
            <w:r>
              <w:t xml:space="preserve">Same cause</w:t>
            </w:r>
          </w:p>
        </w:tc>
      </w:tr>
      <w:tr>
        <w:tc>
          <w:tcPr>
            <w:tcW w:w="2340" w:type="dxa"/>
          </w:tcPr>
          <w:p>
            <w:pPr/>
            <w:r>
              <w:t xml:space="preserve">Anomalies flagged for review</w:t>
            </w:r>
          </w:p>
        </w:tc>
        <w:tc>
          <w:tcPr>
            <w:tcW w:w="2340" w:type="dxa"/>
          </w:tcPr>
          <w:p>
            <w:pPr/>
            <w:r>
              <w:t xml:space="preserve">34.5%</w:t>
            </w:r>
          </w:p>
        </w:tc>
        <w:tc>
          <w:tcPr>
            <w:tcW w:w="2340" w:type="dxa"/>
          </w:tcPr>
          <w:p>
            <w:pPr/>
            <w:r>
              <w:t xml:space="preserve">34.4%</w:t>
            </w:r>
          </w:p>
        </w:tc>
        <w:tc>
          <w:tcPr>
            <w:tcW w:w="2340" w:type="dxa"/>
          </w:tcPr>
          <w:p>
            <w:pPr/>
            <w:r>
              <w:t xml:space="preserve">Stable, as expected</w:t>
            </w:r>
          </w:p>
        </w:tc>
      </w:tr>
      <w:tr>
        <w:tc>
          <w:tcPr>
            <w:tcW w:w="2340" w:type="dxa"/>
          </w:tcPr>
          <w:p>
            <w:pPr/>
            <w:r>
              <w:t xml:space="preserve">Champions</w:t>
            </w:r>
          </w:p>
        </w:tc>
        <w:tc>
          <w:tcPr>
            <w:tcW w:w="2340" w:type="dxa"/>
          </w:tcPr>
          <w:p>
            <w:pPr/>
            <w:r>
              <w:t xml:space="preserve">318 customers</w:t>
            </w:r>
          </w:p>
        </w:tc>
        <w:tc>
          <w:tcPr>
            <w:tcW w:w="2340" w:type="dxa"/>
          </w:tcPr>
          <w:p>
            <w:pPr/>
            <w:r>
              <w:t xml:space="preserve">314 customers</w:t>
            </w:r>
          </w:p>
        </w:tc>
        <w:tc>
          <w:tcPr>
            <w:tcW w:w="2340" w:type="dxa"/>
          </w:tcPr>
          <w:p>
            <w:pPr/>
            <w:r>
              <w:t xml:space="preserve">Frequency and recency recalculated</w:t>
            </w:r>
          </w:p>
        </w:tc>
      </w:tr>
      <w:tr>
        <w:tc>
          <w:tcPr>
            <w:tcW w:w="2340" w:type="dxa"/>
          </w:tcPr>
          <w:p>
            <w:pPr/>
            <w:r>
              <w:t xml:space="preserve">Spike factor of FT-T001211</w:t>
            </w:r>
          </w:p>
        </w:tc>
        <w:tc>
          <w:tcPr>
            <w:tcW w:w="2340" w:type="dxa"/>
          </w:tcPr>
          <w:p>
            <w:pPr/>
            <w:r>
              <w:t xml:space="preserve">10.31</w:t>
            </w:r>
          </w:p>
        </w:tc>
        <w:tc>
          <w:tcPr>
            <w:tcW w:w="2340" w:type="dxa"/>
          </w:tcPr>
          <w:p>
            <w:pPr/>
            <w:r>
              <w:t xml:space="preserve">9.67</w:t>
            </w:r>
          </w:p>
        </w:tc>
        <w:tc>
          <w:tcPr>
            <w:tcW w:w="2340" w:type="dxa"/>
          </w:tcPr>
          <w:p>
            <w:pPr/>
            <w:r>
              <w:t xml:space="preserve">The customer's average is computed on a different set of transactions</w:t>
            </w:r>
          </w:p>
        </w:tc>
      </w:tr>
    </w:tbl>
    <w:p>
      <w:pPr/>
      <w:r>
        <w:t xml:space="preserve">The fact that the same anomaly rule reproduces exactly 750 anomalies and 184,512,474 NGN when applied to all transactions in Python shows that the SQL and Python implementations of the rule are equivalent. This also settled an earlier doubt: the SQL export of 750 rows was not truncated by a row limit.</w:t>
      </w:r>
    </w:p>
    <w:p>
      <w:pPr>
        <w:pStyle w:val="Heading2"/>
      </w:pPr>
      <w:r>
        <w:t xml:space="preserve">5. Issues found and corrected</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Issue</w:t>
            </w:r>
          </w:p>
        </w:tc>
        <w:tc>
          <w:tcPr>
            <w:tcW w:w="3120" w:type="dxa"/>
            <w:shd w:val="clear" w:color="auto" w:fill="F2F2F2"/>
          </w:tcPr>
          <w:p>
            <w:pPr/>
            <w:r>
              <w:t xml:space="preserve">How it was detected</w:t>
            </w:r>
          </w:p>
        </w:tc>
        <w:tc>
          <w:tcPr>
            <w:tcW w:w="3120" w:type="dxa"/>
            <w:shd w:val="clear" w:color="auto" w:fill="F2F2F2"/>
          </w:tcPr>
          <w:p>
            <w:pPr/>
            <w:r>
              <w:t xml:space="preserve">Correction</w:t>
            </w:r>
          </w:p>
        </w:tc>
      </w:tr>
      <w:tr>
        <w:tc>
          <w:tcPr>
            <w:tcW w:w="3120" w:type="dxa"/>
          </w:tcPr>
          <w:p>
            <w:pPr/>
            <w:r>
              <w:t xml:space="preserve">Original RFM query sorted recency in the opposite direction to frequency and monetary</w:t>
            </w:r>
          </w:p>
        </w:tc>
        <w:tc>
          <w:tcPr>
            <w:tcW w:w="3120" w:type="dxa"/>
          </w:tcPr>
          <w:p>
            <w:pPr/>
            <w:r>
              <w:t xml:space="preserve">Query review</w:t>
            </w:r>
          </w:p>
        </w:tc>
        <w:tc>
          <w:tcPr>
            <w:tcW w:w="3120" w:type="dxa"/>
          </w:tcPr>
          <w:p>
            <w:pPr/>
            <w:r>
              <w:t xml:space="preserve">All scores sorted ascending, so 4 is best on each dimension</w:t>
            </w:r>
          </w:p>
        </w:tc>
      </w:tr>
      <w:tr>
        <w:tc>
          <w:tcPr>
            <w:tcW w:w="3120" w:type="dxa"/>
          </w:tcPr>
          <w:p>
            <w:pPr/>
            <w:r>
              <w:t xml:space="preserve">Ties in quartiles split arbitrarily</w:t>
            </w:r>
          </w:p>
        </w:tc>
        <w:tc>
          <w:tcPr>
            <w:tcW w:w="3120" w:type="dxa"/>
          </w:tcPr>
          <w:p>
            <w:pPr/>
            <w:r>
              <w:t xml:space="preserve">Query review and score ranges</w:t>
            </w:r>
          </w:p>
        </w:tc>
        <w:tc>
          <w:tcPr>
            <w:tcW w:w="3120" w:type="dxa"/>
          </w:tcPr>
          <w:p>
            <w:pPr/>
            <w:r>
              <w:t xml:space="preserve">Tie-break on customer ID in SQL, and rank by order of appearance in Python</w:t>
            </w:r>
          </w:p>
        </w:tc>
      </w:tr>
      <w:tr>
        <w:tc>
          <w:tcPr>
            <w:tcW w:w="3120" w:type="dxa"/>
          </w:tcPr>
          <w:p>
            <w:pPr/>
            <w:r>
              <w:t xml:space="preserve">Table name error (42P01)</w:t>
            </w:r>
          </w:p>
        </w:tc>
        <w:tc>
          <w:tcPr>
            <w:tcW w:w="3120" w:type="dxa"/>
          </w:tcPr>
          <w:p>
            <w:pPr/>
            <w:r>
              <w:t xml:space="preserve">Database error message</w:t>
            </w:r>
          </w:p>
        </w:tc>
        <w:tc>
          <w:tcPr>
            <w:tcW w:w="3120" w:type="dxa"/>
          </w:tcPr>
          <w:p>
            <w:pPr/>
            <w:r>
              <w:t xml:space="preserve">Tables found through information_schema</w:t>
            </w:r>
          </w:p>
        </w:tc>
      </w:tr>
      <w:tr>
        <w:tc>
          <w:tcPr>
            <w:tcW w:w="3120" w:type="dxa"/>
          </w:tcPr>
          <w:p>
            <w:pPr/>
            <w:r>
              <w:t xml:space="preserve">Column names differed from the script</w:t>
            </w:r>
          </w:p>
        </w:tc>
        <w:tc>
          <w:tcPr>
            <w:tcW w:w="3120" w:type="dxa"/>
          </w:tcPr>
          <w:p>
            <w:pPr/>
            <w:r>
              <w:t xml:space="preserve">Column listing</w:t>
            </w:r>
          </w:p>
        </w:tc>
        <w:tc>
          <w:tcPr>
            <w:tcW w:w="3120" w:type="dxa"/>
          </w:tcPr>
          <w:p>
            <w:pPr/>
            <w:r>
              <w:t xml:space="preserve">Query and script rewritten with the real columns</w:t>
            </w:r>
          </w:p>
        </w:tc>
      </w:tr>
      <w:tr>
        <w:tc>
          <w:tcPr>
            <w:tcW w:w="3120" w:type="dxa"/>
          </w:tcPr>
          <w:p>
            <w:pPr/>
            <w:r>
              <w:t xml:space="preserve">Intermediate result referenced outside its query</w:t>
            </w:r>
          </w:p>
        </w:tc>
        <w:tc>
          <w:tcPr>
            <w:tcW w:w="3120" w:type="dxa"/>
          </w:tcPr>
          <w:p>
            <w:pPr/>
            <w:r>
              <w:t xml:space="preserve">Error on rfm_profiles</w:t>
            </w:r>
          </w:p>
        </w:tc>
        <w:tc>
          <w:tcPr>
            <w:tcW w:w="3120" w:type="dxa"/>
          </w:tcPr>
          <w:p>
            <w:pPr/>
            <w:r>
              <w:t xml:space="preserve">Full query supplied, with a view as an option</w:t>
            </w:r>
          </w:p>
        </w:tc>
      </w:tr>
      <w:tr>
        <w:tc>
          <w:tcPr>
            <w:tcW w:w="3120" w:type="dxa"/>
          </w:tcPr>
          <w:p>
            <w:pPr/>
            <w:r>
              <w:t xml:space="preserve">CSV read as a single column</w:t>
            </w:r>
          </w:p>
        </w:tc>
        <w:tc>
          <w:tcPr>
            <w:tcW w:w="3120" w:type="dxa"/>
          </w:tcPr>
          <w:p>
            <w:pPr/>
            <w:r>
              <w:t xml:space="preserve">Shape of (1500, 1)</w:t>
            </w:r>
          </w:p>
        </w:tc>
        <w:tc>
          <w:tcPr>
            <w:tcW w:w="3120" w:type="dxa"/>
          </w:tcPr>
          <w:p>
            <w:pPr/>
            <w:r>
              <w:t xml:space="preserve">Separator set to semicolon and decimal to comma</w:t>
            </w:r>
          </w:p>
        </w:tc>
      </w:tr>
      <w:tr>
        <w:tc>
          <w:tcPr>
            <w:tcW w:w="3120" w:type="dxa"/>
          </w:tcPr>
          <w:p>
            <w:pPr/>
            <w:r>
              <w:t xml:space="preserve">Non-successful transactions included</w:t>
            </w:r>
          </w:p>
        </w:tc>
        <w:tc>
          <w:tcPr>
            <w:tcW w:w="3120" w:type="dxa"/>
          </w:tcPr>
          <w:p>
            <w:pPr/>
            <w:r>
              <w:t xml:space="preserve">Status distribution</w:t>
            </w:r>
          </w:p>
        </w:tc>
        <w:tc>
          <w:tcPr>
            <w:tcW w:w="3120" w:type="dxa"/>
          </w:tcPr>
          <w:p>
            <w:pPr/>
            <w:r>
              <w:t xml:space="preserve">Python analysis restricted to successful transactions</w:t>
            </w:r>
          </w:p>
        </w:tc>
      </w:tr>
      <w:tr>
        <w:tc>
          <w:tcPr>
            <w:tcW w:w="3120" w:type="dxa"/>
          </w:tcPr>
          <w:p>
            <w:pPr/>
            <w:r>
              <w:t xml:space="preserve">Recency measured from the current date (193 to 278 days)</w:t>
            </w:r>
          </w:p>
        </w:tc>
        <w:tc>
          <w:tcPr>
            <w:tcW w:w="3120" w:type="dxa"/>
          </w:tcPr>
          <w:p>
            <w:pPr/>
            <w:r>
              <w:t xml:space="preserve">Days since last transaction</w:t>
            </w:r>
          </w:p>
        </w:tc>
        <w:tc>
          <w:tcPr>
            <w:tcW w:w="3120" w:type="dxa"/>
          </w:tcPr>
          <w:p>
            <w:pPr/>
            <w:r>
              <w:t xml:space="preserve">Recency anchored on 31 March 2026 (0 to 85 days)</w:t>
            </w:r>
          </w:p>
        </w:tc>
      </w:tr>
    </w:tbl>
    <w:p>
      <w:pPr>
        <w:pStyle w:val="Heading2"/>
      </w:pPr>
      <w:r>
        <w:t xml:space="preserve">6. What is not validated</w:t>
      </w:r>
    </w:p>
    <w:p>
      <w:pPr>
        <w:pStyle w:val="ListParagraph"/>
        <w:numPr>
          <w:ilvl w:val="0"/>
          <w:numId w:val="3"/>
        </w:numPr>
      </w:pPr>
      <w:r>
        <w:rPr>
          <w:b/>
        </w:rPr>
        <w:t xml:space="preserve">No automated tests.</w:t>
      </w:r>
      <w:r>
        <w:t xml:space="preserve"> Results are checked by reconciliation and cross-comparison, not by unit tests or an independent re-implementation of every metric.</w:t>
      </w:r>
    </w:p>
    <w:p>
      <w:pPr>
        <w:pStyle w:val="ListParagraph"/>
        <w:numPr>
          <w:ilvl w:val="0"/>
          <w:numId w:val="3"/>
        </w:numPr>
      </w:pPr>
      <w:r>
        <w:rPr>
          <w:b/>
        </w:rPr>
        <w:t xml:space="preserve">How the checks were done.</w:t>
      </w:r>
      <w:r>
        <w:t xml:space="preserve"> The SQL result files were read and tested directly. The Python outputs were produced in the VS Code notebook (Python 3.12.10) and checked from the displayed tables: totals and breakdowns were recomputed from those figures, but the notebook was not re-run on the raw files for this document.</w:t>
      </w:r>
    </w:p>
    <w:p>
      <w:pPr>
        <w:pStyle w:val="ListParagraph"/>
        <w:numPr>
          <w:ilvl w:val="0"/>
          <w:numId w:val="3"/>
        </w:numPr>
      </w:pPr>
      <w:r>
        <w:rPr>
          <w:b/>
        </w:rPr>
        <w:t xml:space="preserve">Anomaly accuracy.</w:t>
      </w:r>
      <w:r>
        <w:t xml:space="preserve"> There is no confirmed-fraud indicator, so precision and recall of the anomaly rule and the risk score are unknown. The review flag only shows that a transaction was sent for review.</w:t>
      </w:r>
    </w:p>
    <w:p>
      <w:pPr>
        <w:pStyle w:val="ListParagraph"/>
        <w:numPr>
          <w:ilvl w:val="0"/>
          <w:numId w:val="3"/>
        </w:numPr>
      </w:pPr>
      <w:r>
        <w:rPr>
          <w:b/>
        </w:rPr>
        <w:t xml:space="preserve">Pending transactions.</w:t>
      </w:r>
      <w:r>
        <w:t xml:space="preserve"> The 188 pending transactions are excluded and may later change status.</w:t>
      </w:r>
    </w:p>
    <w:p>
      <w:pPr>
        <w:pStyle w:val="ListParagraph"/>
        <w:numPr>
          <w:ilvl w:val="0"/>
          <w:numId w:val="3"/>
        </w:numPr>
      </w:pPr>
      <w:r>
        <w:rPr>
          <w:b/>
        </w:rPr>
        <w:t xml:space="preserve">Derived figures.</w:t>
      </w:r>
      <w:r>
        <w:t xml:space="preserve"> March volume is obtained by subtracting January and February from the total. Percentages in the reports were computed from displayed outputs, and some inputs were shown to 7 significant digits.</w:t>
      </w:r>
    </w:p>
    <w:p>
      <w:pPr>
        <w:pStyle w:val="ListParagraph"/>
        <w:numPr>
          <w:ilvl w:val="0"/>
          <w:numId w:val="3"/>
        </w:numPr>
      </w:pPr>
      <w:r>
        <w:rPr>
          <w:b/>
        </w:rPr>
        <w:t xml:space="preserve">Time zone.</w:t>
      </w:r>
      <w:r>
        <w:t xml:space="preserve"> Times are used as stored, with no conversion to the Nigerian time zone.</w:t>
      </w:r>
    </w:p>
    <w:p>
      <w:pPr>
        <w:pStyle w:val="ListParagraph"/>
        <w:numPr>
          <w:ilvl w:val="0"/>
          <w:numId w:val="3"/>
        </w:numPr>
      </w:pPr>
      <w:r>
        <w:rPr>
          <w:b/>
        </w:rPr>
        <w:t xml:space="preserve">Quartile profiles.</w:t>
      </w:r>
      <w:r>
        <w:t xml:space="preserve"> Profile boundaries overlap and are relative to the three-month window.</w:t>
      </w:r>
    </w:p>
    <w:p>
      <w:pPr>
        <w:pStyle w:val="Heading2"/>
      </w:pPr>
      <w:r>
        <w:t xml:space="preserve">7. Reproducibility</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Item</w:t>
            </w:r>
          </w:p>
        </w:tc>
        <w:tc>
          <w:tcPr>
            <w:tcW w:w="4680" w:type="dxa"/>
            <w:shd w:val="clear" w:color="auto" w:fill="F2F2F2"/>
          </w:tcPr>
          <w:p>
            <w:pPr/>
            <w:r>
              <w:t xml:space="preserve">Detail</w:t>
            </w:r>
          </w:p>
        </w:tc>
      </w:tr>
      <w:tr>
        <w:tc>
          <w:tcPr>
            <w:tcW w:w="4680" w:type="dxa"/>
          </w:tcPr>
          <w:p>
            <w:pPr/>
            <w:r>
              <w:t xml:space="preserve">Environment</w:t>
            </w:r>
          </w:p>
        </w:tc>
        <w:tc>
          <w:tcPr>
            <w:tcW w:w="4680" w:type="dxa"/>
          </w:tcPr>
          <w:p>
            <w:pPr/>
            <w:r>
              <w:t xml:space="preserve">VS Code with a Jupyter notebook, Python 3.12.10</w:t>
            </w:r>
          </w:p>
        </w:tc>
      </w:tr>
      <w:tr>
        <w:tc>
          <w:tcPr>
            <w:tcW w:w="4680" w:type="dxa"/>
          </w:tcPr>
          <w:p>
            <w:pPr/>
            <w:r>
              <w:t xml:space="preserve">Libraries</w:t>
            </w:r>
          </w:p>
        </w:tc>
        <w:tc>
          <w:tcPr>
            <w:tcW w:w="4680" w:type="dxa"/>
          </w:tcPr>
          <w:p>
            <w:pPr/>
            <w:r>
              <w:t xml:space="preserve">pandas and openpyxl; the pandas version can be recorded with pd.</w:t>
            </w:r>
            <w:r>
              <w:rPr>
                <w:b/>
              </w:rPr>
              <w:t xml:space="preserve">version</w:t>
            </w:r>
          </w:p>
        </w:tc>
      </w:tr>
      <w:tr>
        <w:tc>
          <w:tcPr>
            <w:tcW w:w="4680" w:type="dxa"/>
          </w:tcPr>
          <w:p>
            <w:pPr/>
            <w:r>
              <w:t xml:space="preserve">Input files</w:t>
            </w:r>
          </w:p>
        </w:tc>
        <w:tc>
          <w:tcPr>
            <w:tcW w:w="4680" w:type="dxa"/>
          </w:tcPr>
          <w:p>
            <w:pPr/>
            <w:r>
              <w:t xml:space="preserve">FinTrust_Customer_Data.csv and FinTrust_Transaction_Data.csv (semicolon separator, decimal comma)</w:t>
            </w:r>
          </w:p>
        </w:tc>
      </w:tr>
      <w:tr>
        <w:tc>
          <w:tcPr>
            <w:tcW w:w="4680" w:type="dxa"/>
          </w:tcPr>
          <w:p>
            <w:pPr/>
            <w:r>
              <w:t xml:space="preserve">Filter</w:t>
            </w:r>
          </w:p>
        </w:tc>
        <w:tc>
          <w:tcPr>
            <w:tcW w:w="4680" w:type="dxa"/>
          </w:tcPr>
          <w:p>
            <w:pPr/>
            <w:r>
              <w:t xml:space="preserve">Transaction_Status equal to Successful</w:t>
            </w:r>
          </w:p>
        </w:tc>
      </w:tr>
      <w:tr>
        <w:tc>
          <w:tcPr>
            <w:tcW w:w="4680" w:type="dxa"/>
          </w:tcPr>
          <w:p>
            <w:pPr/>
            <w:r>
              <w:t xml:space="preserve">Recency reference date</w:t>
            </w:r>
          </w:p>
        </w:tc>
        <w:tc>
          <w:tcPr>
            <w:tcW w:w="4680" w:type="dxa"/>
          </w:tcPr>
          <w:p>
            <w:pPr/>
            <w:r>
              <w:t xml:space="preserve">31 March 2026</w:t>
            </w:r>
          </w:p>
        </w:tc>
      </w:tr>
      <w:tr>
        <w:tc>
          <w:tcPr>
            <w:tcW w:w="4680" w:type="dxa"/>
          </w:tcPr>
          <w:p>
            <w:pPr/>
            <w:r>
              <w:t xml:space="preserve">Anomaly rule</w:t>
            </w:r>
          </w:p>
        </w:tc>
        <w:tc>
          <w:tcPr>
            <w:tcW w:w="4680" w:type="dxa"/>
          </w:tcPr>
          <w:p>
            <w:pPr/>
            <w:r>
              <w:t xml:space="preserve">Amount above customer mean plus 2 standard deviations, at least 5 transactions</w:t>
            </w:r>
          </w:p>
        </w:tc>
      </w:tr>
      <w:tr>
        <w:tc>
          <w:tcPr>
            <w:tcW w:w="4680" w:type="dxa"/>
          </w:tcPr>
          <w:p>
            <w:pPr/>
            <w:r>
              <w:t xml:space="preserve">Night hours</w:t>
            </w:r>
          </w:p>
        </w:tc>
        <w:tc>
          <w:tcPr>
            <w:tcW w:w="4680" w:type="dxa"/>
          </w:tcPr>
          <w:p>
            <w:pPr/>
            <w:r>
              <w:t xml:space="preserve">23:00 to 04:59</w:t>
            </w:r>
          </w:p>
        </w:tc>
      </w:tr>
      <w:tr>
        <w:tc>
          <w:tcPr>
            <w:tcW w:w="4680" w:type="dxa"/>
          </w:tcPr>
          <w:p>
            <w:pPr/>
            <w:r>
              <w:t xml:space="preserve">Outputs</w:t>
            </w:r>
          </w:p>
        </w:tc>
        <w:tc>
          <w:tcPr>
            <w:tcW w:w="4680" w:type="dxa"/>
          </w:tcPr>
          <w:p>
            <w:pPr/>
            <w:r>
              <w:t xml:space="preserve">rfm_python_reussies.csv, anomalies_python_reussies.csv and the Excel workbook of results</w:t>
            </w:r>
          </w:p>
        </w:tc>
      </w:tr>
    </w:tbl>
    <w:p>
      <w:pPr>
        <w:pStyle w:val="Heading2"/>
      </w:pPr>
      <w:r>
        <w:t xml:space="preserve">8. Recommended next validation steps</w:t>
      </w:r>
    </w:p>
    <w:p>
      <w:pPr>
        <w:pStyle w:val="ListParagraph"/>
        <w:numPr>
          <w:ilvl w:val="0"/>
          <w:numId w:val="4"/>
        </w:numPr>
      </w:pPr>
      <w:r>
        <w:t xml:space="preserve">Add a notebook cell that asserts the reconciliation checks above, so they run automatically after each change.</w:t>
      </w:r>
    </w:p>
    <w:p>
      <w:pPr>
        <w:pStyle w:val="ListParagraph"/>
        <w:numPr>
          <w:ilvl w:val="0"/>
          <w:numId w:val="4"/>
        </w:numPr>
      </w:pPr>
      <w:r>
        <w:t xml:space="preserve">Export the report tables directly from the notebook, to avoid retyping figures.</w:t>
      </w:r>
    </w:p>
    <w:p>
      <w:pPr>
        <w:pStyle w:val="ListParagraph"/>
        <w:numPr>
          <w:ilvl w:val="0"/>
          <w:numId w:val="4"/>
        </w:numPr>
      </w:pPr>
      <w:r>
        <w:t xml:space="preserve">Obtain confirmed-fraud labels, or sample the flagged and unflagged anomalies manually, to estimate the precision of the rules.</w:t>
      </w:r>
    </w:p>
    <w:p>
      <w:pPr>
        <w:pStyle w:val="ListParagraph"/>
        <w:numPr>
          <w:ilvl w:val="0"/>
          <w:numId w:val="4"/>
        </w:numPr>
      </w:pPr>
      <w:r>
        <w:t xml:space="preserve">Compare the Python profiles with fixed-threshold profiles to test how stable the segmentation is.</w:t>
      </w:r>
    </w:p>
    <w:p>
      <w:pPr>
        <w:pStyle w:val="ListParagraph"/>
        <w:numPr>
          <w:ilvl w:val="0"/>
          <w:numId w:val="4"/>
        </w:numPr>
      </w:pPr>
      <w:r>
        <w:t xml:space="preserve">Repeat the analysis on a longer period to test whether the findings hold.</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Testing and Validation Evidence FinTrust Analysis</dc:title>
  <dc:description>Claude Docs node/144a4624-23b7@1 docx-w6</dc:description>
  <cp:revision>1</cp:revision>
</cp:coreProperties>
</file>