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Rapport d'analyse des résultats : segmentation RFM et anomalies FinTrust</w:t>
      </w:r>
    </w:p>
    <w:p>
      <w:pPr/>
      <w:r>
        <w:t xml:space="preserve">Bilan chiffré des quatre exports de requêtes (1 500 clients, 750 transactions atypiques)</w:t>
      </w:r>
    </w:p>
    <w:p>
      <w:pPr>
        <w:pStyle w:val="Heading2"/>
      </w:pPr>
      <w:r>
        <w:t xml:space="preserve">1. Synthèse</w:t>
      </w:r>
    </w:p>
    <w:p>
      <w:pPr>
        <w:pStyle w:val="ListParagraph"/>
        <w:numPr>
          <w:ilvl w:val="0"/>
          <w:numId w:val="2"/>
        </w:numPr>
      </w:pPr>
      <w:r>
        <w:t xml:space="preserve">La base compte </w:t>
      </w:r>
      <w:r>
        <w:rPr>
          <w:b/>
        </w:rPr>
        <w:t xml:space="preserve">1 500 clients</w:t>
      </w:r>
      <w:r>
        <w:t xml:space="preserve">, tous avec au moins une transaction, pour un volume total de </w:t>
      </w:r>
      <w:r>
        <w:rPr>
          <w:b/>
        </w:rPr>
        <w:t xml:space="preserve">560,5 M NGN</w:t>
      </w:r>
      <w:r>
        <w:t xml:space="preserve"> entre le 5 janvier et le 31 mars 2026.</w:t>
      </w:r>
    </w:p>
    <w:p>
      <w:pPr>
        <w:pStyle w:val="ListParagraph"/>
        <w:numPr>
          <w:ilvl w:val="0"/>
          <w:numId w:val="2"/>
        </w:numPr>
      </w:pPr>
      <w:r>
        <w:t xml:space="preserve">Les </w:t>
      </w:r>
      <w:r>
        <w:rPr>
          <w:b/>
        </w:rPr>
        <w:t xml:space="preserve">Champions</w:t>
      </w:r>
      <w:r>
        <w:t xml:space="preserve"> (318 clients, 21 %) génèrent </w:t>
      </w:r>
      <w:r>
        <w:rPr>
          <w:b/>
        </w:rPr>
        <w:t xml:space="preserve">36 %</w:t>
      </w:r>
      <w:r>
        <w:t xml:space="preserve"> de la valeur. Les clients </w:t>
      </w:r>
      <w:r>
        <w:rPr>
          <w:b/>
        </w:rPr>
        <w:t xml:space="preserve">À risque (forte valeur)</w:t>
      </w:r>
      <w:r>
        <w:t xml:space="preserve"> (191 clients, 13 %) en représentent </w:t>
      </w:r>
      <w:r>
        <w:rPr>
          <w:b/>
        </w:rPr>
        <w:t xml:space="preserve">20 %</w:t>
      </w:r>
      <w:r>
        <w:t xml:space="preserve"> (114,8 M NGN) : c'est la priorité commerciale.</w:t>
      </w:r>
    </w:p>
    <w:p>
      <w:pPr>
        <w:pStyle w:val="ListParagraph"/>
        <w:numPr>
          <w:ilvl w:val="0"/>
          <w:numId w:val="2"/>
        </w:numPr>
      </w:pPr>
      <w:r>
        <w:t xml:space="preserve">Les profils diffèrent peu d'un </w:t>
      </w:r>
      <w:r>
        <w:rPr>
          <w:rStyle w:val="CodeChar"/>
        </w:rPr>
        <w:t xml:space="preserve">customer_segment</w:t>
      </w:r>
      <w:r>
        <w:t xml:space="preserve"> ou d'un </w:t>
      </w:r>
      <w:r>
        <w:rPr>
          <w:rStyle w:val="CodeChar"/>
        </w:rPr>
        <w:t xml:space="preserve">preferred_channel</w:t>
      </w:r>
      <w:r>
        <w:t xml:space="preserve"> à l'autre. Les écarts observés sont de quelques points seulement.</w:t>
      </w:r>
    </w:p>
    <w:p>
      <w:pPr>
        <w:pStyle w:val="ListParagraph"/>
        <w:numPr>
          <w:ilvl w:val="0"/>
          <w:numId w:val="2"/>
        </w:numPr>
      </w:pPr>
      <w:r>
        <w:t xml:space="preserve">La détection d'anomalies remonte </w:t>
      </w:r>
      <w:r>
        <w:rPr>
          <w:b/>
        </w:rPr>
        <w:t xml:space="preserve">750 transactions</w:t>
      </w:r>
      <w:r>
        <w:t xml:space="preserve"> (184,5 M NGN) chez 739 clients. Le signalement existant (</w:t>
      </w:r>
      <w:r>
        <w:rPr>
          <w:rStyle w:val="CodeChar"/>
        </w:rPr>
        <w:t xml:space="preserve">risk_review_flag</w:t>
      </w:r>
      <w:r>
        <w:t xml:space="preserve">) ne suit pas l'ampleur des écarts : 95 transactions classées « High Risk » n'ont pas été signalées.</w:t>
      </w:r>
    </w:p>
    <w:p>
      <w:pPr>
        <w:pStyle w:val="ListParagraph"/>
        <w:numPr>
          <w:ilvl w:val="0"/>
          <w:numId w:val="2"/>
        </w:numPr>
      </w:pPr>
      <w:r>
        <w:t xml:space="preserve">Deux points méthodologiques faussent la lecture de la récence : la date de référence et la courte période d'observation (section 5).</w:t>
      </w:r>
    </w:p>
    <w:p>
      <w:pPr>
        <w:pStyle w:val="Heading2"/>
      </w:pPr>
      <w:r>
        <w:t xml:space="preserve">2. Données analysées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Fichier</w:t>
            </w:r>
          </w:p>
        </w:tc>
        <w:tc>
          <w:tcPr>
            <w:tcW w:w="3120" w:type="dxa"/>
            <w:shd w:val="clear" w:color="auto" w:fill="F2F2F2"/>
          </w:tcPr>
          <w:p>
            <w:pPr/>
            <w:r>
              <w:t xml:space="preserve">Contenu</w:t>
            </w:r>
          </w:p>
        </w:tc>
        <w:tc>
          <w:tcPr>
            <w:tcW w:w="3120" w:type="dxa"/>
            <w:shd w:val="clear" w:color="auto" w:fill="F2F2F2"/>
          </w:tcPr>
          <w:p>
            <w:pPr/>
            <w:r>
              <w:t xml:space="preserve">Lignes</w:t>
            </w:r>
          </w:p>
        </w:tc>
      </w:tr>
      <w:tr>
        <w:tc>
          <w:tcPr>
            <w:tcW w:w="3120" w:type="dxa"/>
          </w:tcPr>
          <w:p>
            <w:pPr/>
            <w:r>
              <w:t xml:space="preserve">Segmentation RFM</w:t>
            </w:r>
          </w:p>
        </w:tc>
        <w:tc>
          <w:tcPr>
            <w:tcW w:w="3120" w:type="dxa"/>
          </w:tcPr>
          <w:p>
            <w:pPr/>
            <w:r>
              <w:t xml:space="preserve">Scores R, F, M par client</w:t>
            </w:r>
          </w:p>
        </w:tc>
        <w:tc>
          <w:tcPr>
            <w:tcW w:w="3120" w:type="dxa"/>
          </w:tcPr>
          <w:p>
            <w:pPr/>
            <w:r>
              <w:t xml:space="preserve">1 500</w:t>
            </w:r>
          </w:p>
        </w:tc>
      </w:tr>
      <w:tr>
        <w:tc>
          <w:tcPr>
            <w:tcW w:w="3120" w:type="dxa"/>
          </w:tcPr>
          <w:p>
            <w:pPr/>
            <w:r>
              <w:t xml:space="preserve">Segmentation RFM Completed</w:t>
            </w:r>
          </w:p>
        </w:tc>
        <w:tc>
          <w:tcPr>
            <w:tcW w:w="3120" w:type="dxa"/>
          </w:tcPr>
          <w:p>
            <w:pPr/>
            <w:r>
              <w:t xml:space="preserve">Scores et profil par client</w:t>
            </w:r>
          </w:p>
        </w:tc>
        <w:tc>
          <w:tcPr>
            <w:tcW w:w="3120" w:type="dxa"/>
          </w:tcPr>
          <w:p>
            <w:pPr/>
            <w:r>
              <w:t xml:space="preserve">1 500</w:t>
            </w:r>
          </w:p>
        </w:tc>
      </w:tr>
      <w:tr>
        <w:tc>
          <w:tcPr>
            <w:tcW w:w="3120" w:type="dxa"/>
          </w:tcPr>
          <w:p>
            <w:pPr/>
            <w:r>
              <w:t xml:space="preserve">Segmentation par customer_segment</w:t>
            </w:r>
          </w:p>
        </w:tc>
        <w:tc>
          <w:tcPr>
            <w:tcW w:w="3120" w:type="dxa"/>
          </w:tcPr>
          <w:p>
            <w:pPr/>
            <w:r>
              <w:t xml:space="preserve">Profils par segment</w:t>
            </w:r>
          </w:p>
        </w:tc>
        <w:tc>
          <w:tcPr>
            <w:tcW w:w="3120" w:type="dxa"/>
          </w:tcPr>
          <w:p>
            <w:pPr/>
            <w:r>
              <w:t xml:space="preserve">24</w:t>
            </w:r>
          </w:p>
        </w:tc>
      </w:tr>
      <w:tr>
        <w:tc>
          <w:tcPr>
            <w:tcW w:w="3120" w:type="dxa"/>
          </w:tcPr>
          <w:p>
            <w:pPr/>
            <w:r>
              <w:t xml:space="preserve">Détection de montants anormaux</w:t>
            </w:r>
          </w:p>
        </w:tc>
        <w:tc>
          <w:tcPr>
            <w:tcW w:w="3120" w:type="dxa"/>
          </w:tcPr>
          <w:p>
            <w:pPr/>
            <w:r>
              <w:t xml:space="preserve">Transactions au-dessus de la moyenne + 2 écarts-types</w:t>
            </w:r>
          </w:p>
        </w:tc>
        <w:tc>
          <w:tcPr>
            <w:tcW w:w="3120" w:type="dxa"/>
          </w:tcPr>
          <w:p>
            <w:pPr/>
            <w:r>
              <w:t xml:space="preserve">750</w:t>
            </w:r>
          </w:p>
        </w:tc>
      </w:tr>
    </w:tbl>
    <w:p>
      <w:pPr>
        <w:pStyle w:val="Heading2"/>
      </w:pPr>
      <w:r>
        <w:t xml:space="preserve">3. Profil de la clientèle</w:t>
      </w:r>
    </w:p>
    <w:p>
      <w:pPr>
        <w:pStyle w:val="ListParagraph"/>
        <w:numPr>
          <w:ilvl w:val="0"/>
          <w:numId w:val="3"/>
        </w:numPr>
      </w:pPr>
      <w:r>
        <w:rPr>
          <w:b/>
        </w:rPr>
        <w:t xml:space="preserve">Fréquence</w:t>
      </w:r>
      <w:r>
        <w:t xml:space="preserve"> : médiane de 8 transactions par client (de 1 à 20) sur la période.</w:t>
      </w:r>
    </w:p>
    <w:p>
      <w:pPr>
        <w:pStyle w:val="ListParagraph"/>
        <w:numPr>
          <w:ilvl w:val="0"/>
          <w:numId w:val="3"/>
        </w:numPr>
      </w:pPr>
      <w:r>
        <w:rPr>
          <w:b/>
        </w:rPr>
        <w:t xml:space="preserve">Montant</w:t>
      </w:r>
      <w:r>
        <w:t xml:space="preserve"> : moyenne de 373 652 NGN par client, médiane de 314 895 NGN, maximum de 1,71 M NGN. La distribution est asymétrique : les 10 % de clients les plus dépensiers présentent 26 % de la valeur, les 20 % les plus dépensiers 44 %.</w:t>
      </w:r>
    </w:p>
    <w:p>
      <w:pPr>
        <w:pStyle w:val="ListParagraph"/>
        <w:numPr>
          <w:ilvl w:val="0"/>
          <w:numId w:val="3"/>
        </w:numPr>
      </w:pPr>
      <w:r>
        <w:rPr>
          <w:b/>
        </w:rPr>
        <w:t xml:space="preserve">Répartition par segment</w:t>
      </w:r>
      <w:r>
        <w:t xml:space="preserve"> : Everyday 711 clients, Premium 295, Student 278, SME 216.</w:t>
      </w:r>
    </w:p>
    <w:p>
      <w:pPr>
        <w:pStyle w:val="ListParagraph"/>
        <w:numPr>
          <w:ilvl w:val="0"/>
          <w:numId w:val="3"/>
        </w:numPr>
      </w:pPr>
      <w:r>
        <w:rPr>
          <w:b/>
        </w:rPr>
        <w:t xml:space="preserve">Statut des comptes</w:t>
      </w:r>
      <w:r>
        <w:t xml:space="preserve"> : 1 367 actifs, 107 dormants, 26 restreints.</w:t>
      </w:r>
    </w:p>
    <w:p>
      <w:pPr>
        <w:pStyle w:val="Heading2"/>
      </w:pPr>
      <w:r>
        <w:t xml:space="preserve">4. Segmentation RFM par profil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Profil</w:t>
            </w:r>
          </w:p>
        </w:tc>
        <w:tc>
          <w:tcPr>
            <w:tcW w:w="1560" w:type="dxa"/>
            <w:shd w:val="clear" w:color="auto" w:fill="F2F2F2"/>
          </w:tcPr>
          <w:p>
            <w:pPr/>
            <w:r>
              <w:t xml:space="preserve">Clients</w:t>
            </w:r>
          </w:p>
        </w:tc>
        <w:tc>
          <w:tcPr>
            <w:tcW w:w="1560" w:type="dxa"/>
            <w:shd w:val="clear" w:color="auto" w:fill="F2F2F2"/>
          </w:tcPr>
          <w:p>
            <w:pPr/>
            <w:r>
              <w:t xml:space="preserve">% clients</w:t>
            </w:r>
          </w:p>
        </w:tc>
        <w:tc>
          <w:tcPr>
            <w:tcW w:w="1560" w:type="dxa"/>
            <w:shd w:val="clear" w:color="auto" w:fill="F2F2F2"/>
          </w:tcPr>
          <w:p>
            <w:pPr/>
            <w:r>
              <w:t xml:space="preserve">Valeur (M NGN)</w:t>
            </w:r>
          </w:p>
        </w:tc>
        <w:tc>
          <w:tcPr>
            <w:tcW w:w="1560" w:type="dxa"/>
            <w:shd w:val="clear" w:color="auto" w:fill="F2F2F2"/>
          </w:tcPr>
          <w:p>
            <w:pPr/>
            <w:r>
              <w:t xml:space="preserve">% valeur</w:t>
            </w:r>
          </w:p>
        </w:tc>
        <w:tc>
          <w:tcPr>
            <w:tcW w:w="1560" w:type="dxa"/>
            <w:shd w:val="clear" w:color="auto" w:fill="F2F2F2"/>
          </w:tcPr>
          <w:p>
            <w:pPr/>
            <w:r>
              <w:t xml:space="preserve">Montant moyen (NGN)</w:t>
            </w:r>
          </w:p>
        </w:tc>
      </w:tr>
      <w:tr>
        <w:tc>
          <w:tcPr>
            <w:tcW w:w="1560" w:type="dxa"/>
          </w:tcPr>
          <w:p>
            <w:pPr/>
            <w:r>
              <w:t xml:space="preserve">Champions</w:t>
            </w:r>
          </w:p>
        </w:tc>
        <w:tc>
          <w:tcPr>
            <w:tcW w:w="1560" w:type="dxa"/>
          </w:tcPr>
          <w:p>
            <w:pPr/>
            <w:r>
              <w:t xml:space="preserve">318</w:t>
            </w:r>
          </w:p>
        </w:tc>
        <w:tc>
          <w:tcPr>
            <w:tcW w:w="1560" w:type="dxa"/>
          </w:tcPr>
          <w:p>
            <w:pPr/>
            <w:r>
              <w:t xml:space="preserve">21,2 %</w:t>
            </w:r>
          </w:p>
        </w:tc>
        <w:tc>
          <w:tcPr>
            <w:tcW w:w="1560" w:type="dxa"/>
          </w:tcPr>
          <w:p>
            <w:pPr/>
            <w:r>
              <w:t xml:space="preserve">200,6</w:t>
            </w:r>
          </w:p>
        </w:tc>
        <w:tc>
          <w:tcPr>
            <w:tcW w:w="1560" w:type="dxa"/>
          </w:tcPr>
          <w:p>
            <w:pPr/>
            <w:r>
              <w:t xml:space="preserve">35,8 %</w:t>
            </w:r>
          </w:p>
        </w:tc>
        <w:tc>
          <w:tcPr>
            <w:tcW w:w="1560" w:type="dxa"/>
          </w:tcPr>
          <w:p>
            <w:pPr/>
            <w:r>
              <w:t xml:space="preserve">630 686</w:t>
            </w:r>
          </w:p>
        </w:tc>
      </w:tr>
      <w:tr>
        <w:tc>
          <w:tcPr>
            <w:tcW w:w="1560" w:type="dxa"/>
          </w:tcPr>
          <w:p>
            <w:pPr/>
            <w:r>
              <w:t xml:space="preserve">À risque (forte valeur)</w:t>
            </w:r>
          </w:p>
        </w:tc>
        <w:tc>
          <w:tcPr>
            <w:tcW w:w="1560" w:type="dxa"/>
          </w:tcPr>
          <w:p>
            <w:pPr/>
            <w:r>
              <w:t xml:space="preserve">191</w:t>
            </w:r>
          </w:p>
        </w:tc>
        <w:tc>
          <w:tcPr>
            <w:tcW w:w="1560" w:type="dxa"/>
          </w:tcPr>
          <w:p>
            <w:pPr/>
            <w:r>
              <w:t xml:space="preserve">12,7 %</w:t>
            </w:r>
          </w:p>
        </w:tc>
        <w:tc>
          <w:tcPr>
            <w:tcW w:w="1560" w:type="dxa"/>
          </w:tcPr>
          <w:p>
            <w:pPr/>
            <w:r>
              <w:t xml:space="preserve">114,8</w:t>
            </w:r>
          </w:p>
        </w:tc>
        <w:tc>
          <w:tcPr>
            <w:tcW w:w="1560" w:type="dxa"/>
          </w:tcPr>
          <w:p>
            <w:pPr/>
            <w:r>
              <w:t xml:space="preserve">20,5 %</w:t>
            </w:r>
          </w:p>
        </w:tc>
        <w:tc>
          <w:tcPr>
            <w:tcW w:w="1560" w:type="dxa"/>
          </w:tcPr>
          <w:p>
            <w:pPr/>
            <w:r>
              <w:t xml:space="preserve">601 223</w:t>
            </w:r>
          </w:p>
        </w:tc>
      </w:tr>
      <w:tr>
        <w:tc>
          <w:tcPr>
            <w:tcW w:w="1560" w:type="dxa"/>
          </w:tcPr>
          <w:p>
            <w:pPr/>
            <w:r>
              <w:t xml:space="preserve">Nouveaux / récents</w:t>
            </w:r>
          </w:p>
        </w:tc>
        <w:tc>
          <w:tcPr>
            <w:tcW w:w="1560" w:type="dxa"/>
          </w:tcPr>
          <w:p>
            <w:pPr/>
            <w:r>
              <w:t xml:space="preserve">288</w:t>
            </w:r>
          </w:p>
        </w:tc>
        <w:tc>
          <w:tcPr>
            <w:tcW w:w="1560" w:type="dxa"/>
          </w:tcPr>
          <w:p>
            <w:pPr/>
            <w:r>
              <w:t xml:space="preserve">19,2 %</w:t>
            </w:r>
          </w:p>
        </w:tc>
        <w:tc>
          <w:tcPr>
            <w:tcW w:w="1560" w:type="dxa"/>
          </w:tcPr>
          <w:p>
            <w:pPr/>
            <w:r>
              <w:t xml:space="preserve">80,6</w:t>
            </w:r>
          </w:p>
        </w:tc>
        <w:tc>
          <w:tcPr>
            <w:tcW w:w="1560" w:type="dxa"/>
          </w:tcPr>
          <w:p>
            <w:pPr/>
            <w:r>
              <w:t xml:space="preserve">14,4 %</w:t>
            </w:r>
          </w:p>
        </w:tc>
        <w:tc>
          <w:tcPr>
            <w:tcW w:w="1560" w:type="dxa"/>
          </w:tcPr>
          <w:p>
            <w:pPr/>
            <w:r>
              <w:t xml:space="preserve">279 980</w:t>
            </w:r>
          </w:p>
        </w:tc>
      </w:tr>
      <w:tr>
        <w:tc>
          <w:tcPr>
            <w:tcW w:w="1560" w:type="dxa"/>
          </w:tcPr>
          <w:p>
            <w:pPr/>
            <w:r>
              <w:t xml:space="preserve">Perdus</w:t>
            </w:r>
          </w:p>
        </w:tc>
        <w:tc>
          <w:tcPr>
            <w:tcW w:w="1560" w:type="dxa"/>
          </w:tcPr>
          <w:p>
            <w:pPr/>
            <w:r>
              <w:t xml:space="preserve">266</w:t>
            </w:r>
          </w:p>
        </w:tc>
        <w:tc>
          <w:tcPr>
            <w:tcW w:w="1560" w:type="dxa"/>
          </w:tcPr>
          <w:p>
            <w:pPr/>
            <w:r>
              <w:t xml:space="preserve">17,7 %</w:t>
            </w:r>
          </w:p>
        </w:tc>
        <w:tc>
          <w:tcPr>
            <w:tcW w:w="1560" w:type="dxa"/>
          </w:tcPr>
          <w:p>
            <w:pPr/>
            <w:r>
              <w:t xml:space="preserve">67,9</w:t>
            </w:r>
          </w:p>
        </w:tc>
        <w:tc>
          <w:tcPr>
            <w:tcW w:w="1560" w:type="dxa"/>
          </w:tcPr>
          <w:p>
            <w:pPr/>
            <w:r>
              <w:t xml:space="preserve">12,1 %</w:t>
            </w:r>
          </w:p>
        </w:tc>
        <w:tc>
          <w:tcPr>
            <w:tcW w:w="1560" w:type="dxa"/>
          </w:tcPr>
          <w:p>
            <w:pPr/>
            <w:r>
              <w:t xml:space="preserve">255 235</w:t>
            </w:r>
          </w:p>
        </w:tc>
      </w:tr>
      <w:tr>
        <w:tc>
          <w:tcPr>
            <w:tcW w:w="1560" w:type="dxa"/>
          </w:tcPr>
          <w:p>
            <w:pPr/>
            <w:r>
              <w:t xml:space="preserve">À réactiver</w:t>
            </w:r>
          </w:p>
        </w:tc>
        <w:tc>
          <w:tcPr>
            <w:tcW w:w="1560" w:type="dxa"/>
          </w:tcPr>
          <w:p>
            <w:pPr/>
            <w:r>
              <w:t xml:space="preserve">293</w:t>
            </w:r>
          </w:p>
        </w:tc>
        <w:tc>
          <w:tcPr>
            <w:tcW w:w="1560" w:type="dxa"/>
          </w:tcPr>
          <w:p>
            <w:pPr/>
            <w:r>
              <w:t xml:space="preserve">19,5 %</w:t>
            </w:r>
          </w:p>
        </w:tc>
        <w:tc>
          <w:tcPr>
            <w:tcW w:w="1560" w:type="dxa"/>
          </w:tcPr>
          <w:p>
            <w:pPr/>
            <w:r>
              <w:t xml:space="preserve">67,2</w:t>
            </w:r>
          </w:p>
        </w:tc>
        <w:tc>
          <w:tcPr>
            <w:tcW w:w="1560" w:type="dxa"/>
          </w:tcPr>
          <w:p>
            <w:pPr/>
            <w:r>
              <w:t xml:space="preserve">12,0 %</w:t>
            </w:r>
          </w:p>
        </w:tc>
        <w:tc>
          <w:tcPr>
            <w:tcW w:w="1560" w:type="dxa"/>
          </w:tcPr>
          <w:p>
            <w:pPr/>
            <w:r>
              <w:t xml:space="preserve">229 279</w:t>
            </w:r>
          </w:p>
        </w:tc>
      </w:tr>
      <w:tr>
        <w:tc>
          <w:tcPr>
            <w:tcW w:w="1560" w:type="dxa"/>
          </w:tcPr>
          <w:p>
            <w:pPr/>
            <w:r>
              <w:t xml:space="preserve">Fidèles</w:t>
            </w:r>
          </w:p>
        </w:tc>
        <w:tc>
          <w:tcPr>
            <w:tcW w:w="1560" w:type="dxa"/>
          </w:tcPr>
          <w:p>
            <w:pPr/>
            <w:r>
              <w:t xml:space="preserve">144</w:t>
            </w:r>
          </w:p>
        </w:tc>
        <w:tc>
          <w:tcPr>
            <w:tcW w:w="1560" w:type="dxa"/>
          </w:tcPr>
          <w:p>
            <w:pPr/>
            <w:r>
              <w:t xml:space="preserve">9,6 %</w:t>
            </w:r>
          </w:p>
        </w:tc>
        <w:tc>
          <w:tcPr>
            <w:tcW w:w="1560" w:type="dxa"/>
          </w:tcPr>
          <w:p>
            <w:pPr/>
            <w:r>
              <w:t xml:space="preserve">29,4</w:t>
            </w:r>
          </w:p>
        </w:tc>
        <w:tc>
          <w:tcPr>
            <w:tcW w:w="1560" w:type="dxa"/>
          </w:tcPr>
          <w:p>
            <w:pPr/>
            <w:r>
              <w:t xml:space="preserve">5,2 %</w:t>
            </w:r>
          </w:p>
        </w:tc>
        <w:tc>
          <w:tcPr>
            <w:tcW w:w="1560" w:type="dxa"/>
          </w:tcPr>
          <w:p>
            <w:pPr/>
            <w:r>
              <w:t xml:space="preserve">204 032</w:t>
            </w:r>
          </w:p>
        </w:tc>
      </w:tr>
    </w:tbl>
    <w:p>
      <w:pPr>
        <w:pStyle w:val="Heading3"/>
      </w:pPr>
      <w:r>
        <w:t xml:space="preserve">Lecture</w:t>
      </w:r>
    </w:p>
    <w:p>
      <w:pPr>
        <w:pStyle w:val="ListParagraph"/>
        <w:numPr>
          <w:ilvl w:val="0"/>
          <w:numId w:val="4"/>
        </w:numPr>
      </w:pPr>
      <w:r>
        <w:t xml:space="preserve">Champions et À risque présentent des paniers moyens quasi identiques (environ 600 000 NGN) : la seule chose qui les distingue est la récence. Les clients À risque sont donc des Champions en train de se refroidir, d'où l'intérêt d'une réactivation rapide.</w:t>
      </w:r>
    </w:p>
    <w:p>
      <w:pPr>
        <w:pStyle w:val="ListParagraph"/>
        <w:numPr>
          <w:ilvl w:val="0"/>
          <w:numId w:val="4"/>
        </w:numPr>
      </w:pPr>
      <w:r>
        <w:t xml:space="preserve">Le profil </w:t>
      </w:r>
      <w:r>
        <w:rPr>
          <w:b/>
        </w:rPr>
        <w:t xml:space="preserve">Fidèles</w:t>
      </w:r>
      <w:r>
        <w:t xml:space="preserve"> est le plus petit en valeur (5 %), car la règle exige un score de montant faible (M ≤ 2) : ce sont des clients réguliers mais modestes.</w:t>
      </w:r>
    </w:p>
    <w:p>
      <w:pPr>
        <w:pStyle w:val="Heading3"/>
      </w:pPr>
      <w:r>
        <w:t xml:space="preserve">Par customer_segment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Valeur totale (M NGN)</w:t>
            </w:r>
          </w:p>
        </w:tc>
        <w:tc>
          <w:tcPr>
            <w:tcW w:w="1872" w:type="dxa"/>
            <w:shd w:val="clear" w:color="auto" w:fill="F2F2F2"/>
          </w:tcPr>
          <w:p>
            <w:pPr/>
            <w:r>
              <w:t xml:space="preserve">Montant moyen par client (NGN)</w:t>
            </w:r>
          </w:p>
        </w:tc>
        <w:tc>
          <w:tcPr>
            <w:tcW w:w="1872" w:type="dxa"/>
            <w:shd w:val="clear" w:color="auto" w:fill="F2F2F2"/>
          </w:tcPr>
          <w:p>
            <w:pPr/>
            <w:r>
              <w:t xml:space="preserve">Part de Champions</w:t>
            </w:r>
          </w:p>
        </w:tc>
        <w:tc>
          <w:tcPr>
            <w:tcW w:w="1872" w:type="dxa"/>
            <w:shd w:val="clear" w:color="auto" w:fill="F2F2F2"/>
          </w:tcPr>
          <w:p>
            <w:pPr/>
            <w:r>
              <w:t xml:space="preserve">Part d'À risque</w:t>
            </w:r>
          </w:p>
        </w:tc>
      </w:tr>
      <w:tr>
        <w:tc>
          <w:tcPr>
            <w:tcW w:w="1872" w:type="dxa"/>
          </w:tcPr>
          <w:p>
            <w:pPr/>
            <w:r>
              <w:t xml:space="preserve">Everyday</w:t>
            </w:r>
          </w:p>
        </w:tc>
        <w:tc>
          <w:tcPr>
            <w:tcW w:w="1872" w:type="dxa"/>
          </w:tcPr>
          <w:p>
            <w:pPr/>
            <w:r>
              <w:t xml:space="preserve">261,5</w:t>
            </w:r>
          </w:p>
        </w:tc>
        <w:tc>
          <w:tcPr>
            <w:tcW w:w="1872" w:type="dxa"/>
          </w:tcPr>
          <w:p>
            <w:pPr/>
            <w:r>
              <w:t xml:space="preserve">367 734</w:t>
            </w:r>
          </w:p>
        </w:tc>
        <w:tc>
          <w:tcPr>
            <w:tcW w:w="1872" w:type="dxa"/>
          </w:tcPr>
          <w:p>
            <w:pPr/>
            <w:r>
              <w:t xml:space="preserve">20,4 %</w:t>
            </w:r>
          </w:p>
        </w:tc>
        <w:tc>
          <w:tcPr>
            <w:tcW w:w="1872" w:type="dxa"/>
          </w:tcPr>
          <w:p>
            <w:pPr/>
            <w:r>
              <w:t xml:space="preserve">13,1 %</w:t>
            </w:r>
          </w:p>
        </w:tc>
      </w:tr>
      <w:tr>
        <w:tc>
          <w:tcPr>
            <w:tcW w:w="1872" w:type="dxa"/>
          </w:tcPr>
          <w:p>
            <w:pPr/>
            <w:r>
              <w:t xml:space="preserve">Premium</w:t>
            </w:r>
          </w:p>
        </w:tc>
        <w:tc>
          <w:tcPr>
            <w:tcW w:w="1872" w:type="dxa"/>
          </w:tcPr>
          <w:p>
            <w:pPr/>
            <w:r>
              <w:t xml:space="preserve">107,8</w:t>
            </w:r>
          </w:p>
        </w:tc>
        <w:tc>
          <w:tcPr>
            <w:tcW w:w="1872" w:type="dxa"/>
          </w:tcPr>
          <w:p>
            <w:pPr/>
            <w:r>
              <w:t xml:space="preserve">365 258</w:t>
            </w:r>
          </w:p>
        </w:tc>
        <w:tc>
          <w:tcPr>
            <w:tcW w:w="1872" w:type="dxa"/>
          </w:tcPr>
          <w:p>
            <w:pPr/>
            <w:r>
              <w:t xml:space="preserve">23,7 %</w:t>
            </w:r>
          </w:p>
        </w:tc>
        <w:tc>
          <w:tcPr>
            <w:tcW w:w="1872" w:type="dxa"/>
          </w:tcPr>
          <w:p>
            <w:pPr/>
            <w:r>
              <w:t xml:space="preserve">11,2 %</w:t>
            </w:r>
          </w:p>
        </w:tc>
      </w:tr>
      <w:tr>
        <w:tc>
          <w:tcPr>
            <w:tcW w:w="1872" w:type="dxa"/>
          </w:tcPr>
          <w:p>
            <w:pPr/>
            <w:r>
              <w:t xml:space="preserve">Student</w:t>
            </w:r>
          </w:p>
        </w:tc>
        <w:tc>
          <w:tcPr>
            <w:tcW w:w="1872" w:type="dxa"/>
          </w:tcPr>
          <w:p>
            <w:pPr/>
            <w:r>
              <w:t xml:space="preserve">107,5</w:t>
            </w:r>
          </w:p>
        </w:tc>
        <w:tc>
          <w:tcPr>
            <w:tcW w:w="1872" w:type="dxa"/>
          </w:tcPr>
          <w:p>
            <w:pPr/>
            <w:r>
              <w:t xml:space="preserve">386 604</w:t>
            </w:r>
          </w:p>
        </w:tc>
        <w:tc>
          <w:tcPr>
            <w:tcW w:w="1872" w:type="dxa"/>
          </w:tcPr>
          <w:p>
            <w:pPr/>
            <w:r>
              <w:t xml:space="preserve">19,4 %</w:t>
            </w:r>
          </w:p>
        </w:tc>
        <w:tc>
          <w:tcPr>
            <w:tcW w:w="1872" w:type="dxa"/>
          </w:tcPr>
          <w:p>
            <w:pPr/>
            <w:r>
              <w:t xml:space="preserve">14,0 %</w:t>
            </w:r>
          </w:p>
        </w:tc>
      </w:tr>
      <w:tr>
        <w:tc>
          <w:tcPr>
            <w:tcW w:w="1872" w:type="dxa"/>
          </w:tcPr>
          <w:p>
            <w:pPr/>
            <w:r>
              <w:t xml:space="preserve">SME</w:t>
            </w:r>
          </w:p>
        </w:tc>
        <w:tc>
          <w:tcPr>
            <w:tcW w:w="1872" w:type="dxa"/>
          </w:tcPr>
          <w:p>
            <w:pPr/>
            <w:r>
              <w:t xml:space="preserve">83,8</w:t>
            </w:r>
          </w:p>
        </w:tc>
        <w:tc>
          <w:tcPr>
            <w:tcW w:w="1872" w:type="dxa"/>
          </w:tcPr>
          <w:p>
            <w:pPr/>
            <w:r>
              <w:t xml:space="preserve">387 923</w:t>
            </w:r>
          </w:p>
        </w:tc>
        <w:tc>
          <w:tcPr>
            <w:tcW w:w="1872" w:type="dxa"/>
          </w:tcPr>
          <w:p>
            <w:pPr/>
            <w:r>
              <w:t xml:space="preserve">22,7 %</w:t>
            </w:r>
          </w:p>
        </w:tc>
        <w:tc>
          <w:tcPr>
            <w:tcW w:w="1872" w:type="dxa"/>
          </w:tcPr>
          <w:p>
            <w:pPr/>
            <w:r>
              <w:t xml:space="preserve">12,0 %</w:t>
            </w:r>
          </w:p>
        </w:tc>
      </w:tr>
    </w:tbl>
    <w:p>
      <w:pPr/>
      <w:r>
        <w:t xml:space="preserve">Les segments se ressemblent fortement. Le segment Premium compte le plus de Champions, Student la plus forte part de clients À risque, SME la plus forte part de clients À réactiver (22,7 %). Ces écarts restent inférieurs à 5 points : ils sont indicatifs, pas probants.</w:t>
      </w:r>
    </w:p>
    <w:p>
      <w:pPr>
        <w:pStyle w:val="Heading3"/>
      </w:pPr>
      <w:r>
        <w:t xml:space="preserve">Par canal préféré</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Canal</w:t>
            </w:r>
          </w:p>
        </w:tc>
        <w:tc>
          <w:tcPr>
            <w:tcW w:w="1560" w:type="dxa"/>
            <w:shd w:val="clear" w:color="auto" w:fill="F2F2F2"/>
          </w:tcPr>
          <w:p>
            <w:pPr/>
            <w:r>
              <w:t xml:space="preserve">Clients</w:t>
            </w:r>
          </w:p>
        </w:tc>
        <w:tc>
          <w:tcPr>
            <w:tcW w:w="1560" w:type="dxa"/>
            <w:shd w:val="clear" w:color="auto" w:fill="F2F2F2"/>
          </w:tcPr>
          <w:p>
            <w:pPr/>
            <w:r>
              <w:t xml:space="preserve">Valeur (M NGN)</w:t>
            </w:r>
          </w:p>
        </w:tc>
        <w:tc>
          <w:tcPr>
            <w:tcW w:w="1560" w:type="dxa"/>
            <w:shd w:val="clear" w:color="auto" w:fill="F2F2F2"/>
          </w:tcPr>
          <w:p>
            <w:pPr/>
            <w:r>
              <w:t xml:space="preserve">% valeur</w:t>
            </w:r>
          </w:p>
        </w:tc>
        <w:tc>
          <w:tcPr>
            <w:tcW w:w="1560" w:type="dxa"/>
            <w:shd w:val="clear" w:color="auto" w:fill="F2F2F2"/>
          </w:tcPr>
          <w:p>
            <w:pPr/>
            <w:r>
              <w:t xml:space="preserve">Part d'À risque</w:t>
            </w:r>
          </w:p>
        </w:tc>
        <w:tc>
          <w:tcPr>
            <w:tcW w:w="1560" w:type="dxa"/>
            <w:shd w:val="clear" w:color="auto" w:fill="F2F2F2"/>
          </w:tcPr>
          <w:p>
            <w:pPr/>
            <w:r>
              <w:t xml:space="preserve">Part de Perdus + À réactiver</w:t>
            </w:r>
          </w:p>
        </w:tc>
      </w:tr>
      <w:tr>
        <w:tc>
          <w:tcPr>
            <w:tcW w:w="1560" w:type="dxa"/>
          </w:tcPr>
          <w:p>
            <w:pPr/>
            <w:r>
              <w:t xml:space="preserve">Mobile App</w:t>
            </w:r>
          </w:p>
        </w:tc>
        <w:tc>
          <w:tcPr>
            <w:tcW w:w="1560" w:type="dxa"/>
          </w:tcPr>
          <w:p>
            <w:pPr/>
            <w:r>
              <w:t xml:space="preserve">924</w:t>
            </w:r>
          </w:p>
        </w:tc>
        <w:tc>
          <w:tcPr>
            <w:tcW w:w="1560" w:type="dxa"/>
          </w:tcPr>
          <w:p>
            <w:pPr/>
            <w:r>
              <w:t xml:space="preserve">347,9</w:t>
            </w:r>
          </w:p>
        </w:tc>
        <w:tc>
          <w:tcPr>
            <w:tcW w:w="1560" w:type="dxa"/>
          </w:tcPr>
          <w:p>
            <w:pPr/>
            <w:r>
              <w:t xml:space="preserve">62,1 %</w:t>
            </w:r>
          </w:p>
        </w:tc>
        <w:tc>
          <w:tcPr>
            <w:tcW w:w="1560" w:type="dxa"/>
          </w:tcPr>
          <w:p>
            <w:pPr/>
            <w:r>
              <w:t xml:space="preserve">13,2 %</w:t>
            </w:r>
          </w:p>
        </w:tc>
        <w:tc>
          <w:tcPr>
            <w:tcW w:w="1560" w:type="dxa"/>
          </w:tcPr>
          <w:p>
            <w:pPr/>
            <w:r>
              <w:t xml:space="preserve">36,9 %</w:t>
            </w:r>
          </w:p>
        </w:tc>
      </w:tr>
      <w:tr>
        <w:tc>
          <w:tcPr>
            <w:tcW w:w="1560" w:type="dxa"/>
          </w:tcPr>
          <w:p>
            <w:pPr/>
            <w:r>
              <w:t xml:space="preserve">Web</w:t>
            </w:r>
          </w:p>
        </w:tc>
        <w:tc>
          <w:tcPr>
            <w:tcW w:w="1560" w:type="dxa"/>
          </w:tcPr>
          <w:p>
            <w:pPr/>
            <w:r>
              <w:t xml:space="preserve">357</w:t>
            </w:r>
          </w:p>
        </w:tc>
        <w:tc>
          <w:tcPr>
            <w:tcW w:w="1560" w:type="dxa"/>
          </w:tcPr>
          <w:p>
            <w:pPr/>
            <w:r>
              <w:t xml:space="preserve">135,6</w:t>
            </w:r>
          </w:p>
        </w:tc>
        <w:tc>
          <w:tcPr>
            <w:tcW w:w="1560" w:type="dxa"/>
          </w:tcPr>
          <w:p>
            <w:pPr/>
            <w:r>
              <w:t xml:space="preserve">24,2 %</w:t>
            </w:r>
          </w:p>
        </w:tc>
        <w:tc>
          <w:tcPr>
            <w:tcW w:w="1560" w:type="dxa"/>
          </w:tcPr>
          <w:p>
            <w:pPr/>
            <w:r>
              <w:t xml:space="preserve">13,7 %</w:t>
            </w:r>
          </w:p>
        </w:tc>
        <w:tc>
          <w:tcPr>
            <w:tcW w:w="1560" w:type="dxa"/>
          </w:tcPr>
          <w:p>
            <w:pPr/>
            <w:r>
              <w:t xml:space="preserve">35,0 %</w:t>
            </w:r>
          </w:p>
        </w:tc>
      </w:tr>
      <w:tr>
        <w:tc>
          <w:tcPr>
            <w:tcW w:w="1560" w:type="dxa"/>
          </w:tcPr>
          <w:p>
            <w:pPr/>
            <w:r>
              <w:t xml:space="preserve">USSD</w:t>
            </w:r>
          </w:p>
        </w:tc>
        <w:tc>
          <w:tcPr>
            <w:tcW w:w="1560" w:type="dxa"/>
          </w:tcPr>
          <w:p>
            <w:pPr/>
            <w:r>
              <w:t xml:space="preserve">219</w:t>
            </w:r>
          </w:p>
        </w:tc>
        <w:tc>
          <w:tcPr>
            <w:tcW w:w="1560" w:type="dxa"/>
          </w:tcPr>
          <w:p>
            <w:pPr/>
            <w:r>
              <w:t xml:space="preserve">77,0</w:t>
            </w:r>
          </w:p>
        </w:tc>
        <w:tc>
          <w:tcPr>
            <w:tcW w:w="1560" w:type="dxa"/>
          </w:tcPr>
          <w:p>
            <w:pPr/>
            <w:r>
              <w:t xml:space="preserve">13,7 %</w:t>
            </w:r>
          </w:p>
        </w:tc>
        <w:tc>
          <w:tcPr>
            <w:tcW w:w="1560" w:type="dxa"/>
          </w:tcPr>
          <w:p>
            <w:pPr/>
            <w:r>
              <w:t xml:space="preserve">9,1 %</w:t>
            </w:r>
          </w:p>
        </w:tc>
        <w:tc>
          <w:tcPr>
            <w:tcW w:w="1560" w:type="dxa"/>
          </w:tcPr>
          <w:p>
            <w:pPr/>
            <w:r>
              <w:t xml:space="preserve">42,5 %</w:t>
            </w:r>
          </w:p>
        </w:tc>
      </w:tr>
    </w:tbl>
    <w:p>
      <w:pPr/>
      <w:r>
        <w:t xml:space="preserve">Le canal USSD (219 clients seulement) contient proportionnellement plus de clients Perdus ou À réactiver. L'échantillon est petit : l'écart mérite d'être confirmé avant d'en tirer une action.</w:t>
      </w:r>
    </w:p>
    <w:p>
      <w:pPr>
        <w:pStyle w:val="Heading2"/>
      </w:pPr>
      <w:r>
        <w:t xml:space="preserve">5. Limites méthodologiques de la segmentation</w:t>
      </w:r>
    </w:p>
    <w:p>
      <w:pPr>
        <w:pStyle w:val="ListParagraph"/>
        <w:numPr>
          <w:ilvl w:val="0"/>
          <w:numId w:val="5"/>
        </w:numPr>
      </w:pPr>
      <w:r>
        <w:rPr>
          <w:b/>
        </w:rPr>
        <w:t xml:space="preserve">Date de référence.</w:t>
      </w:r>
      <w:r>
        <w:t xml:space="preserve"> Les jours depuis la dernière transaction vont de 193 à 278 car ils sont calculés à partir de </w:t>
      </w:r>
      <w:r>
        <w:rPr>
          <w:rStyle w:val="CodeChar"/>
        </w:rPr>
        <w:t xml:space="preserve">CURRENT_DATE</w:t>
      </w:r>
      <w:r>
        <w:t xml:space="preserve"> (10 octobre 2026), alors que les données s'arrêtent au 31 mars 2026. Le classement reste valide, mais les valeurs absolues sont trompeuses. Il faut ancrer le calcul sur la dernière date du jeu de données.</w:t>
      </w:r>
    </w:p>
    <w:p>
      <w:pPr>
        <w:pStyle w:val="ListParagraph"/>
        <w:numPr>
          <w:ilvl w:val="0"/>
          <w:numId w:val="5"/>
        </w:numPr>
      </w:pPr>
      <w:r>
        <w:rPr>
          <w:b/>
        </w:rPr>
        <w:t xml:space="preserve">Période d'observation courte.</w:t>
      </w:r>
      <w:r>
        <w:t xml:space="preserve"> Les données couvrent environ 12 semaines. Un score de récence de 1 correspond à une dernière transaction entre le 5 janvier et le 16 mars, soit au plus 15 jours d'inactivité en fin de période pour certains clients. Le libellé « Perdus » est donc trop fort pour une partie d'entre eux. Des seuils absolus (par exemple 0-14, 15-30, 31-60, 60+ jours) seraient plus parlants que des quartiles.</w:t>
      </w:r>
    </w:p>
    <w:p>
      <w:pPr>
        <w:pStyle w:val="ListParagraph"/>
        <w:numPr>
          <w:ilvl w:val="0"/>
          <w:numId w:val="5"/>
        </w:numPr>
      </w:pPr>
      <w:r>
        <w:rPr>
          <w:b/>
        </w:rPr>
        <w:t xml:space="preserve">Égalités tranchées arbitrairement.</w:t>
      </w:r>
      <w:r>
        <w:t xml:space="preserve"> Les quartiles sont parfaitement équilibrés (375 clients par score), mais les fréquences de 6, 8 et 10 transactions se répartissent sur deux scores différents selon l'identifiant du client. Deux clients identiques peuvent ainsi recevoir des profils différents.</w:t>
      </w:r>
    </w:p>
    <w:p>
      <w:pPr>
        <w:pStyle w:val="ListParagraph"/>
        <w:numPr>
          <w:ilvl w:val="0"/>
          <w:numId w:val="5"/>
        </w:numPr>
      </w:pPr>
      <w:r>
        <w:rPr>
          <w:b/>
        </w:rPr>
        <w:t xml:space="preserve">Statuts de compte incohérents.</w:t>
      </w:r>
      <w:r>
        <w:t xml:space="preserve"> Les 107 comptes « Dormant » et les 26 « Restricted » montrent la même activité que les comptes actifs (médiane de 8 transactions, montants comparables). Soit le statut est postérieur à la période, soit il est mal renseigné : à vérifier avant d'utiliser cette colonne.</w:t>
      </w:r>
    </w:p>
    <w:p>
      <w:pPr>
        <w:pStyle w:val="ListParagraph"/>
        <w:numPr>
          <w:ilvl w:val="0"/>
          <w:numId w:val="5"/>
        </w:numPr>
      </w:pPr>
      <w:r>
        <w:rPr>
          <w:b/>
        </w:rPr>
        <w:t xml:space="preserve">Transactions échouées.</w:t>
      </w:r>
      <w:r>
        <w:t xml:space="preserve"> Le filtre sur </w:t>
      </w:r>
      <w:r>
        <w:rPr>
          <w:rStyle w:val="CodeChar"/>
        </w:rPr>
        <w:t xml:space="preserve">transaction_status</w:t>
      </w:r>
      <w:r>
        <w:t xml:space="preserve"> était commenté : les chiffres incluent donc probablement des opérations non abouties.</w:t>
      </w:r>
    </w:p>
    <w:p>
      <w:pPr>
        <w:pStyle w:val="Heading2"/>
      </w:pPr>
      <w:r>
        <w:t xml:space="preserve">6. Détection de montants anormaux</w:t>
      </w:r>
    </w:p>
    <w:p>
      <w:pPr>
        <w:pStyle w:val="Heading3"/>
      </w:pPr>
      <w:r>
        <w:t xml:space="preserve">Vue d'ensemble</w:t>
      </w:r>
    </w:p>
    <w:p>
      <w:pPr>
        <w:pStyle w:val="ListParagraph"/>
        <w:numPr>
          <w:ilvl w:val="0"/>
          <w:numId w:val="6"/>
        </w:numPr>
      </w:pPr>
      <w:r>
        <w:rPr>
          <w:b/>
        </w:rPr>
        <w:t xml:space="preserve">750 transactions</w:t>
      </w:r>
      <w:r>
        <w:t xml:space="preserve"> atypiques, soit 184,5 M NGN, chez </w:t>
      </w:r>
      <w:r>
        <w:rPr>
          <w:b/>
        </w:rPr>
        <w:t xml:space="preserve">739 clients</w:t>
      </w:r>
      <w:r>
        <w:t xml:space="preserve"> (soit près de la moitié de la base). Onze clients ont deux anomalies.</w:t>
      </w:r>
    </w:p>
    <w:p>
      <w:pPr>
        <w:pStyle w:val="ListParagraph"/>
        <w:numPr>
          <w:ilvl w:val="0"/>
          <w:numId w:val="6"/>
        </w:numPr>
      </w:pPr>
      <w:r>
        <w:t xml:space="preserve">Facteur de dépassement médian : 4,9 fois la moyenne du client ; maximum de 10,8 fois. 359 transactions (48 %) dépassent 5 fois leur moyenne.</w:t>
      </w:r>
    </w:p>
    <w:p>
      <w:pPr>
        <w:pStyle w:val="ListParagraph"/>
        <w:numPr>
          <w:ilvl w:val="0"/>
          <w:numId w:val="6"/>
        </w:numPr>
      </w:pPr>
      <w:r>
        <w:t xml:space="preserve">Catégories : </w:t>
      </w:r>
      <w:r>
        <w:rPr>
          <w:b/>
        </w:rPr>
        <w:t xml:space="preserve">170 High Risk</w:t>
      </w:r>
      <w:r>
        <w:t xml:space="preserve"> (43,5 M NGN) et </w:t>
      </w:r>
      <w:r>
        <w:rPr>
          <w:b/>
        </w:rPr>
        <w:t xml:space="preserve">580 Medium Risk</w:t>
      </w:r>
      <w:r>
        <w:t xml:space="preserve"> (141,0 M NGN).</w:t>
      </w:r>
    </w:p>
    <w:p>
      <w:pPr>
        <w:pStyle w:val="ListParagraph"/>
        <w:numPr>
          <w:ilvl w:val="0"/>
          <w:numId w:val="6"/>
        </w:numPr>
      </w:pPr>
      <w:r>
        <w:t xml:space="preserve">Volume mensuel : 238 en janvier, 237 en février, 275 en mars (+16 %).</w:t>
      </w:r>
    </w:p>
    <w:p>
      <w:pPr>
        <w:pStyle w:val="Heading3"/>
      </w:pPr>
      <w:r>
        <w:t xml:space="preserve">Par type de transaction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Transactions</w:t>
            </w:r>
          </w:p>
        </w:tc>
        <w:tc>
          <w:tcPr>
            <w:tcW w:w="2340" w:type="dxa"/>
            <w:shd w:val="clear" w:color="auto" w:fill="F2F2F2"/>
          </w:tcPr>
          <w:p>
            <w:pPr/>
            <w:r>
              <w:t xml:space="preserve">Montant (M NGN)</w:t>
            </w:r>
          </w:p>
        </w:tc>
        <w:tc>
          <w:tcPr>
            <w:tcW w:w="2340" w:type="dxa"/>
            <w:shd w:val="clear" w:color="auto" w:fill="F2F2F2"/>
          </w:tcPr>
          <w:p>
            <w:pPr/>
            <w:r>
              <w:t xml:space="preserve">Facteur moyen</w:t>
            </w:r>
          </w:p>
        </w:tc>
      </w:tr>
      <w:tr>
        <w:tc>
          <w:tcPr>
            <w:tcW w:w="2340" w:type="dxa"/>
          </w:tcPr>
          <w:p>
            <w:pPr/>
            <w:r>
              <w:t xml:space="preserve">Transfer</w:t>
            </w:r>
          </w:p>
        </w:tc>
        <w:tc>
          <w:tcPr>
            <w:tcW w:w="2340" w:type="dxa"/>
          </w:tcPr>
          <w:p>
            <w:pPr/>
            <w:r>
              <w:t xml:space="preserve">348</w:t>
            </w:r>
          </w:p>
        </w:tc>
        <w:tc>
          <w:tcPr>
            <w:tcW w:w="2340" w:type="dxa"/>
          </w:tcPr>
          <w:p>
            <w:pPr/>
            <w:r>
              <w:t xml:space="preserve">90,2</w:t>
            </w:r>
          </w:p>
        </w:tc>
        <w:tc>
          <w:tcPr>
            <w:tcW w:w="2340" w:type="dxa"/>
          </w:tcPr>
          <w:p>
            <w:pPr/>
            <w:r>
              <w:t xml:space="preserve">5,2</w:t>
            </w:r>
          </w:p>
        </w:tc>
      </w:tr>
      <w:tr>
        <w:tc>
          <w:tcPr>
            <w:tcW w:w="2340" w:type="dxa"/>
          </w:tcPr>
          <w:p>
            <w:pPr/>
            <w:r>
              <w:t xml:space="preserve">Deposit</w:t>
            </w:r>
          </w:p>
        </w:tc>
        <w:tc>
          <w:tcPr>
            <w:tcW w:w="2340" w:type="dxa"/>
          </w:tcPr>
          <w:p>
            <w:pPr/>
            <w:r>
              <w:t xml:space="preserve">193</w:t>
            </w:r>
          </w:p>
        </w:tc>
        <w:tc>
          <w:tcPr>
            <w:tcW w:w="2340" w:type="dxa"/>
          </w:tcPr>
          <w:p>
            <w:pPr/>
            <w:r>
              <w:t xml:space="preserve">67,8</w:t>
            </w:r>
          </w:p>
        </w:tc>
        <w:tc>
          <w:tcPr>
            <w:tcW w:w="2340" w:type="dxa"/>
          </w:tcPr>
          <w:p>
            <w:pPr/>
            <w:r>
              <w:t xml:space="preserve">5,7</w:t>
            </w:r>
          </w:p>
        </w:tc>
      </w:tr>
      <w:tr>
        <w:tc>
          <w:tcPr>
            <w:tcW w:w="2340" w:type="dxa"/>
          </w:tcPr>
          <w:p>
            <w:pPr/>
            <w:r>
              <w:t xml:space="preserve">Cash Withdrawal</w:t>
            </w:r>
          </w:p>
        </w:tc>
        <w:tc>
          <w:tcPr>
            <w:tcW w:w="2340" w:type="dxa"/>
          </w:tcPr>
          <w:p>
            <w:pPr/>
            <w:r>
              <w:t xml:space="preserve">96</w:t>
            </w:r>
          </w:p>
        </w:tc>
        <w:tc>
          <w:tcPr>
            <w:tcW w:w="2340" w:type="dxa"/>
          </w:tcPr>
          <w:p>
            <w:pPr/>
            <w:r>
              <w:t xml:space="preserve">14,6</w:t>
            </w:r>
          </w:p>
        </w:tc>
        <w:tc>
          <w:tcPr>
            <w:tcW w:w="2340" w:type="dxa"/>
          </w:tcPr>
          <w:p>
            <w:pPr/>
            <w:r>
              <w:t xml:space="preserve">4,7</w:t>
            </w:r>
          </w:p>
        </w:tc>
      </w:tr>
      <w:tr>
        <w:tc>
          <w:tcPr>
            <w:tcW w:w="2340" w:type="dxa"/>
          </w:tcPr>
          <w:p>
            <w:pPr/>
            <w:r>
              <w:t xml:space="preserve">Card Purchase</w:t>
            </w:r>
          </w:p>
        </w:tc>
        <w:tc>
          <w:tcPr>
            <w:tcW w:w="2340" w:type="dxa"/>
          </w:tcPr>
          <w:p>
            <w:pPr/>
            <w:r>
              <w:t xml:space="preserve">87</w:t>
            </w:r>
          </w:p>
        </w:tc>
        <w:tc>
          <w:tcPr>
            <w:tcW w:w="2340" w:type="dxa"/>
          </w:tcPr>
          <w:p>
            <w:pPr/>
            <w:r>
              <w:t xml:space="preserve">10,4</w:t>
            </w:r>
          </w:p>
        </w:tc>
        <w:tc>
          <w:tcPr>
            <w:tcW w:w="2340" w:type="dxa"/>
          </w:tcPr>
          <w:p>
            <w:pPr/>
            <w:r>
              <w:t xml:space="preserve">4,6</w:t>
            </w:r>
          </w:p>
        </w:tc>
      </w:tr>
      <w:tr>
        <w:tc>
          <w:tcPr>
            <w:tcW w:w="2340" w:type="dxa"/>
          </w:tcPr>
          <w:p>
            <w:pPr/>
            <w:r>
              <w:t xml:space="preserve">Bill Payment</w:t>
            </w:r>
          </w:p>
        </w:tc>
        <w:tc>
          <w:tcPr>
            <w:tcW w:w="2340" w:type="dxa"/>
          </w:tcPr>
          <w:p>
            <w:pPr/>
            <w:r>
              <w:t xml:space="preserve">20</w:t>
            </w:r>
          </w:p>
        </w:tc>
        <w:tc>
          <w:tcPr>
            <w:tcW w:w="2340" w:type="dxa"/>
          </w:tcPr>
          <w:p>
            <w:pPr/>
            <w:r>
              <w:t xml:space="preserve">1,2</w:t>
            </w:r>
          </w:p>
        </w:tc>
        <w:tc>
          <w:tcPr>
            <w:tcW w:w="2340" w:type="dxa"/>
          </w:tcPr>
          <w:p>
            <w:pPr/>
            <w:r>
              <w:t xml:space="preserve">4,6</w:t>
            </w:r>
          </w:p>
        </w:tc>
      </w:tr>
      <w:tr>
        <w:tc>
          <w:tcPr>
            <w:tcW w:w="2340" w:type="dxa"/>
          </w:tcPr>
          <w:p>
            <w:pPr/>
            <w:r>
              <w:t xml:space="preserve">Airtime/Data</w:t>
            </w:r>
          </w:p>
        </w:tc>
        <w:tc>
          <w:tcPr>
            <w:tcW w:w="2340" w:type="dxa"/>
          </w:tcPr>
          <w:p>
            <w:pPr/>
            <w:r>
              <w:t xml:space="preserve">6</w:t>
            </w:r>
          </w:p>
        </w:tc>
        <w:tc>
          <w:tcPr>
            <w:tcW w:w="2340" w:type="dxa"/>
          </w:tcPr>
          <w:p>
            <w:pPr/>
            <w:r>
              <w:t xml:space="preserve">0,2</w:t>
            </w:r>
          </w:p>
        </w:tc>
        <w:tc>
          <w:tcPr>
            <w:tcW w:w="2340" w:type="dxa"/>
          </w:tcPr>
          <w:p>
            <w:pPr/>
            <w:r>
              <w:t xml:space="preserve">3,6</w:t>
            </w:r>
          </w:p>
        </w:tc>
      </w:tr>
    </w:tbl>
    <w:p>
      <w:pPr/>
      <w:r>
        <w:t xml:space="preserve">Transferts et dépôts totalisent 86 % du montant des anomalies. Les dépôts ont le facteur moyen le plus élevé et occupent tous les premiers rangs par montant (jusqu'à 693 454 NGN à Enugu).</w:t>
      </w:r>
    </w:p>
    <w:p>
      <w:pPr>
        <w:pStyle w:val="Heading3"/>
      </w:pPr>
      <w:r>
        <w:t xml:space="preserve">Par localisation</w:t>
      </w:r>
    </w:p>
    <w:p>
      <w:pPr/>
      <w:r>
        <w:t xml:space="preserve">Ibadan (120), Kano (102), Lagos (98), Port Harcourt (97), Enugu (95), Kaduna (87), Abuja (75), Benin City (70) et 6 transactions de localisation inconnue. La répartition est assez homogène, sans ville nettement sur-représentée.</w:t>
      </w:r>
    </w:p>
    <w:p>
      <w:pPr>
        <w:pStyle w:val="Heading3"/>
      </w:pPr>
      <w:r>
        <w:t xml:space="preserve">Efficacité des signaux de risque</w:t>
      </w:r>
    </w:p>
    <w:p>
      <w:pPr>
        <w:pStyle w:val="ListParagraph"/>
        <w:numPr>
          <w:ilvl w:val="0"/>
          <w:numId w:val="7"/>
        </w:numPr>
      </w:pPr>
      <w:r>
        <w:rPr>
          <w:b/>
        </w:rPr>
        <w:t xml:space="preserve">Règle horaire peu discriminante.</w:t>
      </w:r>
      <w:r>
        <w:t xml:space="preserve"> Les transactions de nuit (23 h à 4 h) représentent 170 anomalies, soit 22,7 %, légèrement moins que la part attendue si les heures étaient uniformes (25 %). Cette règle ne distingue donc pas vraiment les cas les plus suspects.</w:t>
      </w:r>
    </w:p>
    <w:p>
      <w:pPr>
        <w:pStyle w:val="ListParagraph"/>
        <w:numPr>
          <w:ilvl w:val="0"/>
          <w:numId w:val="7"/>
        </w:numPr>
      </w:pPr>
      <w:r>
        <w:rPr>
          <w:b/>
        </w:rPr>
        <w:t xml:space="preserve">Signalement existant décorrélé de l'ampleur.</w:t>
      </w:r>
      <w:r>
        <w:t xml:space="preserve"> 259 transactions (34,5 %) portent </w:t>
      </w:r>
      <w:r>
        <w:rPr>
          <w:rStyle w:val="CodeChar"/>
        </w:rPr>
        <w:t xml:space="preserve">risk_review_flag = Yes</w:t>
      </w:r>
      <w:r>
        <w:t xml:space="preserve">. Ce taux est de 44 % chez les High Risk et 32 % chez les Medium Risk, mais il </w:t>
      </w:r>
      <w:r>
        <w:rPr>
          <w:b/>
        </w:rPr>
        <w:t xml:space="preserve">ne monte pas avec le facteur de dépassement</w:t>
      </w:r>
      <w:r>
        <w:t xml:space="preserve"> : 32 % en dessous de 4 fois la moyenne, 28 % au-dessus de 8 fois.</w:t>
      </w:r>
    </w:p>
    <w:p>
      <w:pPr>
        <w:pStyle w:val="ListParagraph"/>
        <w:numPr>
          <w:ilvl w:val="0"/>
          <w:numId w:val="7"/>
        </w:numPr>
      </w:pPr>
      <w:r>
        <w:rPr>
          <w:b/>
        </w:rPr>
        <w:t xml:space="preserve">Cas non signalés.</w:t>
      </w:r>
      <w:r>
        <w:t xml:space="preserve"> 95 transactions High Risk (23,8 M NGN) n'ont pas été signalées. Parmi les 25 transactions à 8 fois la moyenne ou plus, 18 (7,8 M NGN) ne le sont pas non plus.</w:t>
      </w:r>
    </w:p>
    <w:p>
      <w:pPr/>
      <w:r>
        <w:t xml:space="preserve">Exemples à examiner en priorité : la transaction FT-T001211 (client FT-C01054, dépôt de 572 230 NGN, 10,3 fois la moyenne, à 1 h 49, non signalée) et FT-T009536 (client FT-C00590, dépôt de 693 007 NGN, 9,4 fois la moyenne, non signalée).</w:t>
      </w:r>
    </w:p>
    <w:p>
      <w:pPr>
        <w:pStyle w:val="Heading3"/>
      </w:pPr>
      <w:r>
        <w:t xml:space="preserve">Limites</w:t>
      </w:r>
    </w:p>
    <w:p>
      <w:pPr>
        <w:pStyle w:val="ListParagraph"/>
        <w:numPr>
          <w:ilvl w:val="0"/>
          <w:numId w:val="8"/>
        </w:numPr>
      </w:pPr>
      <w:r>
        <w:t xml:space="preserve">Le fichier contient exactement 750 lignes : vérifier qu'aucune limite d'affichage de l'outil SQL n'a tronqué l'export.</w:t>
      </w:r>
    </w:p>
    <w:p>
      <w:pPr>
        <w:pStyle w:val="ListParagraph"/>
        <w:numPr>
          <w:ilvl w:val="0"/>
          <w:numId w:val="8"/>
        </w:numPr>
      </w:pPr>
      <w:r>
        <w:t xml:space="preserve">Environ un client sur deux ayant une anomalie, la règle (moyenne + 2 écarts-types) est peu sélective sur des données asymétriques.</w:t>
      </w:r>
    </w:p>
    <w:p>
      <w:pPr>
        <w:pStyle w:val="ListParagraph"/>
        <w:numPr>
          <w:ilvl w:val="0"/>
          <w:numId w:val="8"/>
        </w:numPr>
      </w:pPr>
      <w:r>
        <w:t xml:space="preserve">Les heures n'ont pas été converties vers le fuseau du Nigeria.</w:t>
      </w:r>
    </w:p>
    <w:p>
      <w:pPr>
        <w:pStyle w:val="Heading2"/>
      </w:pPr>
      <w:r>
        <w:t xml:space="preserve">7. Recommandations</w:t>
      </w:r>
    </w:p>
    <w:p>
      <w:pPr>
        <w:pStyle w:val="Heading3"/>
      </w:pPr>
      <w:r>
        <w:t xml:space="preserve">Actions commerciales</w:t>
      </w:r>
    </w:p>
    <w:p>
      <w:pPr>
        <w:pStyle w:val="ListParagraph"/>
        <w:numPr>
          <w:ilvl w:val="0"/>
          <w:numId w:val="9"/>
        </w:numPr>
      </w:pPr>
      <w:r>
        <w:rPr>
          <w:b/>
        </w:rPr>
        <w:t xml:space="preserve">Contacter en priorité les 191 clients À risque</w:t>
      </w:r>
      <w:r>
        <w:t xml:space="preserve"> (114,8 M NGN) : ce sont les Champions les plus susceptibles de partir.</w:t>
      </w:r>
    </w:p>
    <w:p>
      <w:pPr>
        <w:pStyle w:val="ListParagraph"/>
        <w:numPr>
          <w:ilvl w:val="0"/>
          <w:numId w:val="9"/>
        </w:numPr>
      </w:pPr>
      <w:r>
        <w:rPr>
          <w:b/>
        </w:rPr>
        <w:t xml:space="preserve">Fidéliser les 318 Champions</w:t>
      </w:r>
      <w:r>
        <w:t xml:space="preserve"> (offres premium, parcours dédié).</w:t>
      </w:r>
    </w:p>
    <w:p>
      <w:pPr>
        <w:pStyle w:val="ListParagraph"/>
        <w:numPr>
          <w:ilvl w:val="0"/>
          <w:numId w:val="9"/>
        </w:numPr>
      </w:pPr>
      <w:r>
        <w:rPr>
          <w:b/>
        </w:rPr>
        <w:t xml:space="preserve">Encourager une deuxième transaction</w:t>
      </w:r>
      <w:r>
        <w:t xml:space="preserve"> chez les 288 Nouveaux / récents (panier moyen d'environ 280 000 NGN).</w:t>
      </w:r>
    </w:p>
    <w:p>
      <w:pPr>
        <w:pStyle w:val="ListParagraph"/>
        <w:numPr>
          <w:ilvl w:val="0"/>
          <w:numId w:val="9"/>
        </w:numPr>
      </w:pPr>
      <w:r>
        <w:rPr>
          <w:b/>
        </w:rPr>
        <w:t xml:space="preserve">Ne pas cibler par segment ou par canal seul</w:t>
      </w:r>
      <w:r>
        <w:t xml:space="preserve"> : les écarts sont trop faibles. Cibler par profil.</w:t>
      </w:r>
    </w:p>
    <w:p>
      <w:pPr>
        <w:pStyle w:val="Heading3"/>
      </w:pPr>
      <w:r>
        <w:t xml:space="preserve">Contrôle du risque</w:t>
      </w:r>
    </w:p>
    <w:p>
      <w:pPr>
        <w:pStyle w:val="ListParagraph"/>
        <w:numPr>
          <w:ilvl w:val="0"/>
          <w:numId w:val="10"/>
        </w:numPr>
      </w:pPr>
      <w:r>
        <w:rPr>
          <w:b/>
        </w:rPr>
        <w:t xml:space="preserve">Revoir les 95 transactions High Risk non signalées</w:t>
      </w:r>
      <w:r>
        <w:t xml:space="preserve"> et les 18 transactions d'au moins 8 fois la moyenne non signalées.</w:t>
      </w:r>
    </w:p>
    <w:p>
      <w:pPr>
        <w:pStyle w:val="ListParagraph"/>
        <w:numPr>
          <w:ilvl w:val="0"/>
          <w:numId w:val="10"/>
        </w:numPr>
      </w:pPr>
      <w:r>
        <w:rPr>
          <w:b/>
        </w:rPr>
        <w:t xml:space="preserve">Remplacer la règle horaire</w:t>
      </w:r>
      <w:r>
        <w:t xml:space="preserve"> par un score combiné (montant, international, appareil, canal, type de transaction).</w:t>
      </w:r>
    </w:p>
    <w:p>
      <w:pPr>
        <w:pStyle w:val="ListParagraph"/>
        <w:numPr>
          <w:ilvl w:val="0"/>
          <w:numId w:val="10"/>
        </w:numPr>
      </w:pPr>
      <w:r>
        <w:rPr>
          <w:b/>
        </w:rPr>
        <w:t xml:space="preserve">Calculer les seuils par client et par type de transaction</w:t>
      </w:r>
      <w:r>
        <w:t xml:space="preserve">, avec un percentile robuste plutôt que la moyenne et l'écart-type.</w:t>
      </w:r>
    </w:p>
    <w:p>
      <w:pPr>
        <w:pStyle w:val="Heading3"/>
      </w:pPr>
      <w:r>
        <w:t xml:space="preserve">Corrections techniques</w:t>
      </w:r>
    </w:p>
    <w:p>
      <w:pPr>
        <w:pStyle w:val="ListParagraph"/>
        <w:numPr>
          <w:ilvl w:val="0"/>
          <w:numId w:val="11"/>
        </w:numPr>
      </w:pPr>
      <w:r>
        <w:t xml:space="preserve">Ancrer la récence sur la dernière date des données plutôt que sur </w:t>
      </w:r>
      <w:r>
        <w:rPr>
          <w:rStyle w:val="CodeChar"/>
        </w:rPr>
        <w:t xml:space="preserve">CURRENT_DATE</w:t>
      </w:r>
      <w:r>
        <w:t xml:space="preserve">.</w:t>
      </w:r>
    </w:p>
    <w:p>
      <w:pPr>
        <w:pStyle w:val="ListParagraph"/>
        <w:numPr>
          <w:ilvl w:val="0"/>
          <w:numId w:val="11"/>
        </w:numPr>
      </w:pPr>
      <w:r>
        <w:t xml:space="preserve">Utiliser des seuils fixes de récence et de fréquence plutôt que des quartiles.</w:t>
      </w:r>
    </w:p>
    <w:p>
      <w:pPr>
        <w:pStyle w:val="ListParagraph"/>
        <w:numPr>
          <w:ilvl w:val="0"/>
          <w:numId w:val="11"/>
        </w:numPr>
      </w:pPr>
      <w:r>
        <w:t xml:space="preserve">Activer le filtre sur </w:t>
      </w:r>
      <w:r>
        <w:rPr>
          <w:rStyle w:val="CodeChar"/>
        </w:rPr>
        <w:t xml:space="preserve">transaction_status</w:t>
      </w:r>
      <w:r>
        <w:t xml:space="preserve"> après avoir vérifié ses valeurs.</w:t>
      </w:r>
    </w:p>
    <w:p>
      <w:pPr>
        <w:pStyle w:val="ListParagraph"/>
        <w:numPr>
          <w:ilvl w:val="0"/>
          <w:numId w:val="11"/>
        </w:numPr>
      </w:pPr>
      <w:r>
        <w:t xml:space="preserve">Vérifier la qualité de la colonne </w:t>
      </w:r>
      <w:r>
        <w:rPr>
          <w:rStyle w:val="CodeChar"/>
        </w:rPr>
        <w:t xml:space="preserve">account_status</w:t>
      </w:r>
      <w:r>
        <w:t xml:space="preserve"> et la limite d'export des anomalies.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Rapport d'analyse des résultats  segmentation RFM et anomalies FinTrust</dc:title>
  <dc:description>Claude Docs node/5da4b3e1-69c3@1 docx-w6</dc:description>
  <cp:revision>1</cp:revision>
</cp:coreProperties>
</file>