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Rapport final : analyse Python des données FinTrust</w:t>
      </w:r>
    </w:p>
    <w:p>
      <w:pPr/>
      <w:r>
        <w:t xml:space="preserve">Statistiques, segmentation RFM et détection d'anomalies sur les transactions réussies (1er janvier au 31 mars 2026)</w:t>
      </w:r>
    </w:p>
    <w:p>
      <w:pPr>
        <w:pStyle w:val="Heading2"/>
      </w:pPr>
      <w:r>
        <w:t xml:space="preserve">1. Synthèse</w:t>
      </w:r>
    </w:p>
    <w:p>
      <w:pPr>
        <w:pStyle w:val="ListParagraph"/>
        <w:numPr>
          <w:ilvl w:val="0"/>
          <w:numId w:val="2"/>
        </w:numPr>
      </w:pPr>
      <w:r>
        <w:t xml:space="preserve">La base compte </w:t>
      </w:r>
      <w:r>
        <w:rPr>
          <w:b/>
        </w:rPr>
        <w:t xml:space="preserve">1 500 clients</w:t>
      </w:r>
      <w:r>
        <w:t xml:space="preserve"> et </w:t>
      </w:r>
      <w:r>
        <w:rPr>
          <w:b/>
        </w:rPr>
        <w:t xml:space="preserve">12 000 transactions</w:t>
      </w:r>
      <w:r>
        <w:t xml:space="preserve">. </w:t>
      </w:r>
      <w:r>
        <w:rPr>
          <w:b/>
        </w:rPr>
        <w:t xml:space="preserve">10 856 transactions (90,5 %) ont abouti</w:t>
      </w:r>
      <w:r>
        <w:t xml:space="preserve"> pour un volume de </w:t>
      </w:r>
      <w:r>
        <w:rPr>
          <w:b/>
        </w:rPr>
        <w:t xml:space="preserve">510,8 M NGN</w:t>
      </w:r>
      <w:r>
        <w:t xml:space="preserve">, soit environ 340 500 NGN par client.</w:t>
      </w:r>
    </w:p>
    <w:p>
      <w:pPr>
        <w:pStyle w:val="ListParagraph"/>
        <w:numPr>
          <w:ilvl w:val="0"/>
          <w:numId w:val="2"/>
        </w:numPr>
      </w:pPr>
      <w:r>
        <w:rPr>
          <w:b/>
        </w:rPr>
        <w:t xml:space="preserve">1 144 transactions (9,5 %) n'ont pas abouti</w:t>
      </w:r>
      <w:r>
        <w:t xml:space="preserve"> (échouées, annulées ou en attente) et représentent 49,7 M NGN, soit 8,9 % du volume. Les analyses SQL précédentes les incluaient : les chiffres de référence sont désormais ceux de ce rapport.</w:t>
      </w:r>
    </w:p>
    <w:p>
      <w:pPr>
        <w:pStyle w:val="ListParagraph"/>
        <w:numPr>
          <w:ilvl w:val="0"/>
          <w:numId w:val="2"/>
        </w:numPr>
      </w:pPr>
      <w:r>
        <w:t xml:space="preserve">La transaction typique est modeste : médiane de </w:t>
      </w:r>
      <w:r>
        <w:rPr>
          <w:b/>
        </w:rPr>
        <w:t xml:space="preserve">10 108 NGN</w:t>
      </w:r>
      <w:r>
        <w:t xml:space="preserve">, contre une moyenne de 47 053 NGN, tirée vers le haut par quelques gros montants.</w:t>
      </w:r>
    </w:p>
    <w:p>
      <w:pPr>
        <w:pStyle w:val="ListParagraph"/>
        <w:numPr>
          <w:ilvl w:val="0"/>
          <w:numId w:val="2"/>
        </w:numPr>
      </w:pPr>
      <w:r>
        <w:t xml:space="preserve">Les </w:t>
      </w:r>
      <w:r>
        <w:rPr>
          <w:b/>
        </w:rPr>
        <w:t xml:space="preserve">Champions</w:t>
      </w:r>
      <w:r>
        <w:t xml:space="preserve"> (314 clients, 20,9 %) génèrent </w:t>
      </w:r>
      <w:r>
        <w:rPr>
          <w:b/>
        </w:rPr>
        <w:t xml:space="preserve">36,2 %</w:t>
      </w:r>
      <w:r>
        <w:t xml:space="preserve"> de la valeur. Les clients </w:t>
      </w:r>
      <w:r>
        <w:rPr>
          <w:b/>
        </w:rPr>
        <w:t xml:space="preserve">à risque (forte valeur)</w:t>
      </w:r>
      <w:r>
        <w:t xml:space="preserve"> (199 clients, 13,3 %) en représentent </w:t>
      </w:r>
      <w:r>
        <w:rPr>
          <w:b/>
        </w:rPr>
        <w:t xml:space="preserve">21,4 %</w:t>
      </w:r>
      <w:r>
        <w:t xml:space="preserve">, soit 109,0 M NGN : c'est la priorité commerciale.</w:t>
      </w:r>
    </w:p>
    <w:p>
      <w:pPr>
        <w:pStyle w:val="ListParagraph"/>
        <w:numPr>
          <w:ilvl w:val="0"/>
          <w:numId w:val="2"/>
        </w:numPr>
      </w:pPr>
      <w:r>
        <w:t xml:space="preserve">La détection d'anomalies identifie </w:t>
      </w:r>
      <w:r>
        <w:rPr>
          <w:b/>
        </w:rPr>
        <w:t xml:space="preserve">645 transactions</w:t>
      </w:r>
      <w:r>
        <w:t xml:space="preserve"> (156,8 M NGN) chez 642 clients. </w:t>
      </w:r>
      <w:r>
        <w:rPr>
          <w:b/>
        </w:rPr>
        <w:t xml:space="preserve">66 % d'entre elles ne sont pas signalées</w:t>
      </w:r>
      <w:r>
        <w:t xml:space="preserve"> par la revue existante.</w:t>
      </w:r>
    </w:p>
    <w:p>
      <w:pPr>
        <w:pStyle w:val="ListParagraph"/>
        <w:numPr>
          <w:ilvl w:val="0"/>
          <w:numId w:val="2"/>
        </w:numPr>
      </w:pPr>
      <w:r>
        <w:t xml:space="preserve">La règle de nuit ne distingue pas les cas suspects : 24,2 % des anomalies ont lieu la nuit, contre 25,2 % de l'ensemble des transactions réussies.</w:t>
      </w:r>
    </w:p>
    <w:p>
      <w:pPr>
        <w:pStyle w:val="Heading2"/>
      </w:pPr>
      <w:r>
        <w:t xml:space="preserve">2. Données et méthode</w:t>
      </w:r>
    </w:p>
    <w:p>
      <w:pPr/>
      <w:r>
        <w:t xml:space="preserve">Les deux fichiers CSV (</w:t>
      </w:r>
      <w:r>
        <w:rPr>
          <w:rStyle w:val="CodeChar"/>
        </w:rPr>
        <w:t xml:space="preserve">FinTrust_Customer_Data.csv</w:t>
      </w:r>
      <w:r>
        <w:t xml:space="preserve"> et </w:t>
      </w:r>
      <w:r>
        <w:rPr>
          <w:rStyle w:val="CodeChar"/>
        </w:rPr>
        <w:t xml:space="preserve">FinTrust_Transaction_Data.csv</w:t>
      </w:r>
      <w:r>
        <w:t xml:space="preserve">) sont lus avec le séparateur point-virgule et la virgule décimale. Les dates, au format jour/mois/année, ont toutes été converties sans erreur.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Paramètre</w:t>
            </w:r>
          </w:p>
        </w:tc>
        <w:tc>
          <w:tcPr>
            <w:tcW w:w="4680" w:type="dxa"/>
            <w:shd w:val="clear" w:color="auto" w:fill="F2F2F2"/>
          </w:tcPr>
          <w:p>
            <w:pPr/>
            <w:r>
              <w:t xml:space="preserve">Valeur retenue</w:t>
            </w:r>
          </w:p>
        </w:tc>
      </w:tr>
      <w:tr>
        <w:tc>
          <w:tcPr>
            <w:tcW w:w="4680" w:type="dxa"/>
          </w:tcPr>
          <w:p>
            <w:pPr/>
            <w:r>
              <w:t xml:space="preserve">Transactions analysées</w:t>
            </w:r>
          </w:p>
        </w:tc>
        <w:tc>
          <w:tcPr>
            <w:tcW w:w="4680" w:type="dxa"/>
          </w:tcPr>
          <w:p>
            <w:pPr/>
            <w:r>
              <w:t xml:space="preserve">Statut </w:t>
            </w:r>
            <w:r>
              <w:rPr>
                <w:rStyle w:val="CodeChar"/>
              </w:rPr>
              <w:t xml:space="preserve">Successful</w:t>
            </w:r>
            <w:r>
              <w:t xml:space="preserve"> uniquement</w:t>
            </w:r>
          </w:p>
        </w:tc>
      </w:tr>
      <w:tr>
        <w:tc>
          <w:tcPr>
            <w:tcW w:w="4680" w:type="dxa"/>
          </w:tcPr>
          <w:p>
            <w:pPr/>
            <w:r>
              <w:t xml:space="preserve">Période</w:t>
            </w:r>
          </w:p>
        </w:tc>
        <w:tc>
          <w:tcPr>
            <w:tcW w:w="4680" w:type="dxa"/>
          </w:tcPr>
          <w:p>
            <w:pPr/>
            <w:r>
              <w:t xml:space="preserve">1er janvier 2026 à 31 mars 2026 (23 h 59)</w:t>
            </w:r>
          </w:p>
        </w:tc>
      </w:tr>
      <w:tr>
        <w:tc>
          <w:tcPr>
            <w:tcW w:w="4680" w:type="dxa"/>
          </w:tcPr>
          <w:p>
            <w:pPr/>
            <w:r>
              <w:t xml:space="preserve">Date de référence de la récence</w:t>
            </w:r>
          </w:p>
        </w:tc>
        <w:tc>
          <w:tcPr>
            <w:tcW w:w="4680" w:type="dxa"/>
          </w:tcPr>
          <w:p>
            <w:pPr/>
            <w:r>
              <w:t xml:space="preserve">31 mars 2026, dernière date des données</w:t>
            </w:r>
          </w:p>
        </w:tc>
      </w:tr>
      <w:tr>
        <w:tc>
          <w:tcPr>
            <w:tcW w:w="4680" w:type="dxa"/>
          </w:tcPr>
          <w:p>
            <w:pPr/>
            <w:r>
              <w:t xml:space="preserve">Scores RFM</w:t>
            </w:r>
          </w:p>
        </w:tc>
        <w:tc>
          <w:tcPr>
            <w:tcW w:w="4680" w:type="dxa"/>
          </w:tcPr>
          <w:p>
            <w:pPr/>
            <w:r>
              <w:t xml:space="preserve">Quartiles de 1 à 4 (4 = meilleur), égalités départagées par ordre d'apparition</w:t>
            </w:r>
          </w:p>
        </w:tc>
      </w:tr>
      <w:tr>
        <w:tc>
          <w:tcPr>
            <w:tcW w:w="4680" w:type="dxa"/>
          </w:tcPr>
          <w:p>
            <w:pPr/>
            <w:r>
              <w:t xml:space="preserve">Seuil d'anomalie</w:t>
            </w:r>
          </w:p>
        </w:tc>
        <w:tc>
          <w:tcPr>
            <w:tcW w:w="4680" w:type="dxa"/>
          </w:tcPr>
          <w:p>
            <w:pPr/>
            <w:r>
              <w:t xml:space="preserve">Montant supérieur à la moyenne du client + 2 écarts-types</w:t>
            </w:r>
          </w:p>
        </w:tc>
      </w:tr>
      <w:tr>
        <w:tc>
          <w:tcPr>
            <w:tcW w:w="4680" w:type="dxa"/>
          </w:tcPr>
          <w:p>
            <w:pPr/>
            <w:r>
              <w:t xml:space="preserve">Historique minimal</w:t>
            </w:r>
          </w:p>
        </w:tc>
        <w:tc>
          <w:tcPr>
            <w:tcW w:w="4680" w:type="dxa"/>
          </w:tcPr>
          <w:p>
            <w:pPr/>
            <w:r>
              <w:t xml:space="preserve">5 transactions par client</w:t>
            </w:r>
          </w:p>
        </w:tc>
      </w:tr>
      <w:tr>
        <w:tc>
          <w:tcPr>
            <w:tcW w:w="4680" w:type="dxa"/>
          </w:tcPr>
          <w:p>
            <w:pPr/>
            <w:r>
              <w:t xml:space="preserve">Heures de nuit</w:t>
            </w:r>
          </w:p>
        </w:tc>
        <w:tc>
          <w:tcPr>
            <w:tcW w:w="4680" w:type="dxa"/>
          </w:tcPr>
          <w:p>
            <w:pPr/>
            <w:r>
              <w:t xml:space="preserve">De 23 h à 4 h 59</w:t>
            </w:r>
          </w:p>
        </w:tc>
      </w:tr>
      <w:tr>
        <w:tc>
          <w:tcPr>
            <w:tcW w:w="4680" w:type="dxa"/>
          </w:tcPr>
          <w:p>
            <w:pPr/>
            <w:r>
              <w:t xml:space="preserve">Score de risque</w:t>
            </w:r>
          </w:p>
        </w:tc>
        <w:tc>
          <w:tcPr>
            <w:tcW w:w="4680" w:type="dxa"/>
          </w:tcPr>
          <w:p>
            <w:pPr/>
            <w:r>
              <w:t xml:space="preserve">1 point pour la nuit, 1 pour l'international, 1 pour un dépassement d'au moins 8 fois la moyenne</w:t>
            </w:r>
          </w:p>
        </w:tc>
      </w:tr>
    </w:tbl>
    <w:p>
      <w:pPr/>
      <w:r>
        <w:t xml:space="preserve">Contrôles qualité : aucun doublon de </w:t>
      </w:r>
      <w:r>
        <w:rPr>
          <w:rStyle w:val="CodeChar"/>
        </w:rPr>
        <w:t xml:space="preserve">Transaction_ID</w:t>
      </w:r>
      <w:r>
        <w:t xml:space="preserve">, aucun montant manquant, aucune transaction sans client correspondant, aucune date invalide.</w:t>
      </w:r>
    </w:p>
    <w:p>
      <w:pPr>
        <w:pStyle w:val="Heading2"/>
      </w:pPr>
      <w:r>
        <w:t xml:space="preserve">3. Statistiques générales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Indicateur</w:t>
            </w:r>
          </w:p>
        </w:tc>
        <w:tc>
          <w:tcPr>
            <w:tcW w:w="3120" w:type="dxa"/>
            <w:shd w:val="clear" w:color="auto" w:fill="F2F2F2"/>
          </w:tcPr>
          <w:p>
            <w:pPr/>
            <w:r>
              <w:t xml:space="preserve">Toutes les transactions</w:t>
            </w:r>
          </w:p>
        </w:tc>
        <w:tc>
          <w:tcPr>
            <w:tcW w:w="3120" w:type="dxa"/>
            <w:shd w:val="clear" w:color="auto" w:fill="F2F2F2"/>
          </w:tcPr>
          <w:p>
            <w:pPr/>
            <w:r>
              <w:t xml:space="preserve">Transactions réussies</w:t>
            </w:r>
          </w:p>
        </w:tc>
      </w:tr>
      <w:tr>
        <w:tc>
          <w:tcPr>
            <w:tcW w:w="3120" w:type="dxa"/>
          </w:tcPr>
          <w:p>
            <w:pPr/>
            <w:r>
              <w:t xml:space="preserve">Transactions</w:t>
            </w:r>
          </w:p>
        </w:tc>
        <w:tc>
          <w:tcPr>
            <w:tcW w:w="3120" w:type="dxa"/>
          </w:tcPr>
          <w:p>
            <w:pPr/>
            <w:r>
              <w:t xml:space="preserve">12 000</w:t>
            </w:r>
          </w:p>
        </w:tc>
        <w:tc>
          <w:tcPr>
            <w:tcW w:w="3120" w:type="dxa"/>
          </w:tcPr>
          <w:p>
            <w:pPr/>
            <w:r>
              <w:t xml:space="preserve">10 856</w:t>
            </w:r>
          </w:p>
        </w:tc>
      </w:tr>
      <w:tr>
        <w:tc>
          <w:tcPr>
            <w:tcW w:w="3120" w:type="dxa"/>
          </w:tcPr>
          <w:p>
            <w:pPr/>
            <w:r>
              <w:t xml:space="preserve">Volume total</w:t>
            </w:r>
          </w:p>
        </w:tc>
        <w:tc>
          <w:tcPr>
            <w:tcW w:w="3120" w:type="dxa"/>
          </w:tcPr>
          <w:p>
            <w:pPr/>
            <w:r>
              <w:t xml:space="preserve">560,5 M NGN</w:t>
            </w:r>
          </w:p>
        </w:tc>
        <w:tc>
          <w:tcPr>
            <w:tcW w:w="3120" w:type="dxa"/>
          </w:tcPr>
          <w:p>
            <w:pPr/>
            <w:r>
              <w:t xml:space="preserve">510,8 M NGN</w:t>
            </w:r>
          </w:p>
        </w:tc>
      </w:tr>
      <w:tr>
        <w:tc>
          <w:tcPr>
            <w:tcW w:w="3120" w:type="dxa"/>
          </w:tcPr>
          <w:p>
            <w:pPr/>
            <w:r>
              <w:t xml:space="preserve">Moyenne</w:t>
            </w:r>
          </w:p>
        </w:tc>
        <w:tc>
          <w:tcPr>
            <w:tcW w:w="3120" w:type="dxa"/>
          </w:tcPr>
          <w:p>
            <w:pPr/>
            <w:r>
              <w:t xml:space="preserve">46 706 NGN</w:t>
            </w:r>
          </w:p>
        </w:tc>
        <w:tc>
          <w:tcPr>
            <w:tcW w:w="3120" w:type="dxa"/>
          </w:tcPr>
          <w:p>
            <w:pPr/>
            <w:r>
              <w:t xml:space="preserve">47 053 NGN</w:t>
            </w:r>
          </w:p>
        </w:tc>
      </w:tr>
      <w:tr>
        <w:tc>
          <w:tcPr>
            <w:tcW w:w="3120" w:type="dxa"/>
          </w:tcPr>
          <w:p>
            <w:pPr/>
            <w:r>
              <w:t xml:space="preserve">Médiane</w:t>
            </w:r>
          </w:p>
        </w:tc>
        <w:tc>
          <w:tcPr>
            <w:tcW w:w="3120" w:type="dxa"/>
          </w:tcPr>
          <w:p>
            <w:pPr/>
            <w:r>
              <w:t xml:space="preserve">10 306 NGN</w:t>
            </w:r>
          </w:p>
        </w:tc>
        <w:tc>
          <w:tcPr>
            <w:tcW w:w="3120" w:type="dxa"/>
          </w:tcPr>
          <w:p>
            <w:pPr/>
            <w:r>
              <w:t xml:space="preserve">10 108 NGN</w:t>
            </w:r>
          </w:p>
        </w:tc>
      </w:tr>
      <w:tr>
        <w:tc>
          <w:tcPr>
            <w:tcW w:w="3120" w:type="dxa"/>
          </w:tcPr>
          <w:p>
            <w:pPr/>
            <w:r>
              <w:t xml:space="preserve">Taux de signalement pour revue</w:t>
            </w:r>
          </w:p>
        </w:tc>
        <w:tc>
          <w:tcPr>
            <w:tcW w:w="3120" w:type="dxa"/>
          </w:tcPr>
          <w:p>
            <w:pPr/>
            <w:r>
              <w:t xml:space="preserve">19,6 %</w:t>
            </w:r>
          </w:p>
        </w:tc>
        <w:tc>
          <w:tcPr>
            <w:tcW w:w="3120" w:type="dxa"/>
          </w:tcPr>
          <w:p>
            <w:pPr/>
            <w:r>
              <w:t xml:space="preserve">19,2 %</w:t>
            </w:r>
          </w:p>
        </w:tc>
      </w:tr>
    </w:tbl>
    <w:p>
      <w:pPr/>
      <w:r>
        <w:t xml:space="preserve">Tous les clients ont au moins une transaction réussie.</w:t>
      </w:r>
    </w:p>
    <w:p>
      <w:pPr>
        <w:pStyle w:val="Heading3"/>
      </w:pPr>
      <w:r>
        <w:t xml:space="preserve">Détail par statut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Statut</w:t>
            </w:r>
          </w:p>
        </w:tc>
        <w:tc>
          <w:tcPr>
            <w:tcW w:w="1872" w:type="dxa"/>
            <w:shd w:val="clear" w:color="auto" w:fill="F2F2F2"/>
          </w:tcPr>
          <w:p>
            <w:pPr/>
            <w:r>
              <w:t xml:space="preserve">Transactions</w:t>
            </w:r>
          </w:p>
        </w:tc>
        <w:tc>
          <w:tcPr>
            <w:tcW w:w="1872" w:type="dxa"/>
            <w:shd w:val="clear" w:color="auto" w:fill="F2F2F2"/>
          </w:tcPr>
          <w:p>
            <w:pPr/>
            <w:r>
              <w:t xml:space="preserve">Volume (M NGN)</w:t>
            </w:r>
          </w:p>
        </w:tc>
        <w:tc>
          <w:tcPr>
            <w:tcW w:w="1872" w:type="dxa"/>
            <w:shd w:val="clear" w:color="auto" w:fill="F2F2F2"/>
          </w:tcPr>
          <w:p>
            <w:pPr/>
            <w:r>
              <w:t xml:space="preserve">Montant moyen (NGN)</w:t>
            </w:r>
          </w:p>
        </w:tc>
        <w:tc>
          <w:tcPr>
            <w:tcW w:w="1872" w:type="dxa"/>
            <w:shd w:val="clear" w:color="auto" w:fill="F2F2F2"/>
          </w:tcPr>
          <w:p>
            <w:pPr/>
            <w:r>
              <w:t xml:space="preserve">Taux de signalement</w:t>
            </w:r>
          </w:p>
        </w:tc>
      </w:tr>
      <w:tr>
        <w:tc>
          <w:tcPr>
            <w:tcW w:w="1872" w:type="dxa"/>
          </w:tcPr>
          <w:p>
            <w:pPr/>
            <w:r>
              <w:t xml:space="preserve">Successful</w:t>
            </w:r>
          </w:p>
        </w:tc>
        <w:tc>
          <w:tcPr>
            <w:tcW w:w="1872" w:type="dxa"/>
          </w:tcPr>
          <w:p>
            <w:pPr/>
            <w:r>
              <w:t xml:space="preserve">10 856</w:t>
            </w:r>
          </w:p>
        </w:tc>
        <w:tc>
          <w:tcPr>
            <w:tcW w:w="1872" w:type="dxa"/>
          </w:tcPr>
          <w:p>
            <w:pPr/>
            <w:r>
              <w:t xml:space="preserve">510,8</w:t>
            </w:r>
          </w:p>
        </w:tc>
        <w:tc>
          <w:tcPr>
            <w:tcW w:w="1872" w:type="dxa"/>
          </w:tcPr>
          <w:p>
            <w:pPr/>
            <w:r>
              <w:t xml:space="preserve">47 053</w:t>
            </w:r>
          </w:p>
        </w:tc>
        <w:tc>
          <w:tcPr>
            <w:tcW w:w="1872" w:type="dxa"/>
          </w:tcPr>
          <w:p>
            <w:pPr/>
            <w:r>
              <w:t xml:space="preserve">19,2 %</w:t>
            </w:r>
          </w:p>
        </w:tc>
      </w:tr>
      <w:tr>
        <w:tc>
          <w:tcPr>
            <w:tcW w:w="1872" w:type="dxa"/>
          </w:tcPr>
          <w:p>
            <w:pPr/>
            <w:r>
              <w:t xml:space="preserve">Failed</w:t>
            </w:r>
          </w:p>
        </w:tc>
        <w:tc>
          <w:tcPr>
            <w:tcW w:w="1872" w:type="dxa"/>
          </w:tcPr>
          <w:p>
            <w:pPr/>
            <w:r>
              <w:t xml:space="preserve">630</w:t>
            </w:r>
          </w:p>
        </w:tc>
        <w:tc>
          <w:tcPr>
            <w:tcW w:w="1872" w:type="dxa"/>
          </w:tcPr>
          <w:p>
            <w:pPr/>
            <w:r>
              <w:t xml:space="preserve">24,8</w:t>
            </w:r>
          </w:p>
        </w:tc>
        <w:tc>
          <w:tcPr>
            <w:tcW w:w="1872" w:type="dxa"/>
          </w:tcPr>
          <w:p>
            <w:pPr/>
            <w:r>
              <w:t xml:space="preserve">39 406</w:t>
            </w:r>
          </w:p>
        </w:tc>
        <w:tc>
          <w:tcPr>
            <w:tcW w:w="1872" w:type="dxa"/>
          </w:tcPr>
          <w:p>
            <w:pPr/>
            <w:r>
              <w:t xml:space="preserve">27,0 %</w:t>
            </w:r>
          </w:p>
        </w:tc>
      </w:tr>
      <w:tr>
        <w:tc>
          <w:tcPr>
            <w:tcW w:w="1872" w:type="dxa"/>
          </w:tcPr>
          <w:p>
            <w:pPr/>
            <w:r>
              <w:t xml:space="preserve">Reversed</w:t>
            </w:r>
          </w:p>
        </w:tc>
        <w:tc>
          <w:tcPr>
            <w:tcW w:w="1872" w:type="dxa"/>
          </w:tcPr>
          <w:p>
            <w:pPr/>
            <w:r>
              <w:t xml:space="preserve">326</w:t>
            </w:r>
          </w:p>
        </w:tc>
        <w:tc>
          <w:tcPr>
            <w:tcW w:w="1872" w:type="dxa"/>
          </w:tcPr>
          <w:p>
            <w:pPr/>
            <w:r>
              <w:t xml:space="preserve">15,6</w:t>
            </w:r>
          </w:p>
        </w:tc>
        <w:tc>
          <w:tcPr>
            <w:tcW w:w="1872" w:type="dxa"/>
          </w:tcPr>
          <w:p>
            <w:pPr/>
            <w:r>
              <w:t xml:space="preserve">47 933</w:t>
            </w:r>
          </w:p>
        </w:tc>
        <w:tc>
          <w:tcPr>
            <w:tcW w:w="1872" w:type="dxa"/>
          </w:tcPr>
          <w:p>
            <w:pPr/>
            <w:r>
              <w:t xml:space="preserve">18,4 %</w:t>
            </w:r>
          </w:p>
        </w:tc>
      </w:tr>
      <w:tr>
        <w:tc>
          <w:tcPr>
            <w:tcW w:w="1872" w:type="dxa"/>
          </w:tcPr>
          <w:p>
            <w:pPr/>
            <w:r>
              <w:t xml:space="preserve">Pending</w:t>
            </w:r>
          </w:p>
        </w:tc>
        <w:tc>
          <w:tcPr>
            <w:tcW w:w="1872" w:type="dxa"/>
          </w:tcPr>
          <w:p>
            <w:pPr/>
            <w:r>
              <w:t xml:space="preserve">188</w:t>
            </w:r>
          </w:p>
        </w:tc>
        <w:tc>
          <w:tcPr>
            <w:tcW w:w="1872" w:type="dxa"/>
          </w:tcPr>
          <w:p>
            <w:pPr/>
            <w:r>
              <w:t xml:space="preserve">9,2</w:t>
            </w:r>
          </w:p>
        </w:tc>
        <w:tc>
          <w:tcPr>
            <w:tcW w:w="1872" w:type="dxa"/>
          </w:tcPr>
          <w:p>
            <w:pPr/>
            <w:r>
              <w:t xml:space="preserve">49 032</w:t>
            </w:r>
          </w:p>
        </w:tc>
        <w:tc>
          <w:tcPr>
            <w:tcW w:w="1872" w:type="dxa"/>
          </w:tcPr>
          <w:p>
            <w:pPr/>
            <w:r>
              <w:t xml:space="preserve">17,6 %</w:t>
            </w:r>
          </w:p>
        </w:tc>
      </w:tr>
    </w:tbl>
    <w:p>
      <w:pPr/>
      <w:r>
        <w:t xml:space="preserve">Les transactions échouées sont les plus signalées (27,0 % contre 19,2 % pour les réussies). L'écart, de près de 8 points sur 630 transactions, mérite un examen : tentatives répétées ou essais de montants élevés, par exemple. Le taux de signalement concerne près d'une transaction sur cinq : il doit être présenté comme un taux de signalement pour revue, et non comme un taux de fraude confirmée.</w:t>
      </w:r>
    </w:p>
    <w:p>
      <w:pPr>
        <w:pStyle w:val="Heading3"/>
      </w:pPr>
      <w:r>
        <w:t xml:space="preserve">Activité mensuelle (transactions réussies)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Mois</w:t>
            </w:r>
          </w:p>
        </w:tc>
        <w:tc>
          <w:tcPr>
            <w:tcW w:w="1872" w:type="dxa"/>
            <w:shd w:val="clear" w:color="auto" w:fill="F2F2F2"/>
          </w:tcPr>
          <w:p>
            <w:pPr/>
            <w:r>
              <w:t xml:space="preserve">Transactions</w:t>
            </w:r>
          </w:p>
        </w:tc>
        <w:tc>
          <w:tcPr>
            <w:tcW w:w="1872" w:type="dxa"/>
            <w:shd w:val="clear" w:color="auto" w:fill="F2F2F2"/>
          </w:tcPr>
          <w:p>
            <w:pPr/>
            <w:r>
              <w:t xml:space="preserve">Volume (M NGN)</w:t>
            </w:r>
          </w:p>
        </w:tc>
        <w:tc>
          <w:tcPr>
            <w:tcW w:w="1872" w:type="dxa"/>
            <w:shd w:val="clear" w:color="auto" w:fill="F2F2F2"/>
          </w:tcPr>
          <w:p>
            <w:pPr/>
            <w:r>
              <w:t xml:space="preserve">Transactions par jour</w:t>
            </w:r>
          </w:p>
        </w:tc>
        <w:tc>
          <w:tcPr>
            <w:tcW w:w="1872" w:type="dxa"/>
            <w:shd w:val="clear" w:color="auto" w:fill="F2F2F2"/>
          </w:tcPr>
          <w:p>
            <w:pPr/>
            <w:r>
              <w:t xml:space="preserve">Volume par jour (M NGN)</w:t>
            </w:r>
          </w:p>
        </w:tc>
      </w:tr>
      <w:tr>
        <w:tc>
          <w:tcPr>
            <w:tcW w:w="1872" w:type="dxa"/>
          </w:tcPr>
          <w:p>
            <w:pPr/>
            <w:r>
              <w:t xml:space="preserve">Janvier</w:t>
            </w:r>
          </w:p>
        </w:tc>
        <w:tc>
          <w:tcPr>
            <w:tcW w:w="1872" w:type="dxa"/>
          </w:tcPr>
          <w:p>
            <w:pPr/>
            <w:r>
              <w:t xml:space="preserve">3 720</w:t>
            </w:r>
          </w:p>
        </w:tc>
        <w:tc>
          <w:tcPr>
            <w:tcW w:w="1872" w:type="dxa"/>
          </w:tcPr>
          <w:p>
            <w:pPr/>
            <w:r>
              <w:t xml:space="preserve">171,3</w:t>
            </w:r>
          </w:p>
        </w:tc>
        <w:tc>
          <w:tcPr>
            <w:tcW w:w="1872" w:type="dxa"/>
          </w:tcPr>
          <w:p>
            <w:pPr/>
            <w:r>
              <w:t xml:space="preserve">120</w:t>
            </w:r>
          </w:p>
        </w:tc>
        <w:tc>
          <w:tcPr>
            <w:tcW w:w="1872" w:type="dxa"/>
          </w:tcPr>
          <w:p>
            <w:pPr/>
            <w:r>
              <w:t xml:space="preserve">5,53</w:t>
            </w:r>
          </w:p>
        </w:tc>
      </w:tr>
      <w:tr>
        <w:tc>
          <w:tcPr>
            <w:tcW w:w="1872" w:type="dxa"/>
          </w:tcPr>
          <w:p>
            <w:pPr/>
            <w:r>
              <w:t xml:space="preserve">Février</w:t>
            </w:r>
          </w:p>
        </w:tc>
        <w:tc>
          <w:tcPr>
            <w:tcW w:w="1872" w:type="dxa"/>
          </w:tcPr>
          <w:p>
            <w:pPr/>
            <w:r>
              <w:t xml:space="preserve">3 394</w:t>
            </w:r>
          </w:p>
        </w:tc>
        <w:tc>
          <w:tcPr>
            <w:tcW w:w="1872" w:type="dxa"/>
          </w:tcPr>
          <w:p>
            <w:pPr/>
            <w:r>
              <w:t xml:space="preserve">160,2</w:t>
            </w:r>
          </w:p>
        </w:tc>
        <w:tc>
          <w:tcPr>
            <w:tcW w:w="1872" w:type="dxa"/>
          </w:tcPr>
          <w:p>
            <w:pPr/>
            <w:r>
              <w:t xml:space="preserve">121</w:t>
            </w:r>
          </w:p>
        </w:tc>
        <w:tc>
          <w:tcPr>
            <w:tcW w:w="1872" w:type="dxa"/>
          </w:tcPr>
          <w:p>
            <w:pPr/>
            <w:r>
              <w:t xml:space="preserve">5,72</w:t>
            </w:r>
          </w:p>
        </w:tc>
      </w:tr>
      <w:tr>
        <w:tc>
          <w:tcPr>
            <w:tcW w:w="1872" w:type="dxa"/>
          </w:tcPr>
          <w:p>
            <w:pPr/>
            <w:r>
              <w:t xml:space="preserve">Mars</w:t>
            </w:r>
          </w:p>
        </w:tc>
        <w:tc>
          <w:tcPr>
            <w:tcW w:w="1872" w:type="dxa"/>
          </w:tcPr>
          <w:p>
            <w:pPr/>
            <w:r>
              <w:t xml:space="preserve">3 742</w:t>
            </w:r>
          </w:p>
        </w:tc>
        <w:tc>
          <w:tcPr>
            <w:tcW w:w="1872" w:type="dxa"/>
          </w:tcPr>
          <w:p>
            <w:pPr/>
            <w:r>
              <w:t xml:space="preserve">179,4</w:t>
            </w:r>
          </w:p>
        </w:tc>
        <w:tc>
          <w:tcPr>
            <w:tcW w:w="1872" w:type="dxa"/>
          </w:tcPr>
          <w:p>
            <w:pPr/>
            <w:r>
              <w:t xml:space="preserve">121</w:t>
            </w:r>
          </w:p>
        </w:tc>
        <w:tc>
          <w:tcPr>
            <w:tcW w:w="1872" w:type="dxa"/>
          </w:tcPr>
          <w:p>
            <w:pPr/>
            <w:r>
              <w:t xml:space="preserve">5,79</w:t>
            </w:r>
          </w:p>
        </w:tc>
      </w:tr>
    </w:tbl>
    <w:p>
      <w:pPr/>
      <w:r>
        <w:t xml:space="preserve">Les chiffres de mars sont déduits par différence avec le total. Le creux apparent de février vient de son nombre de jours : le rythme quotidien est stable, avec un volume par jour en légère hausse (environ +5 % entre janvier et mars).</w:t>
      </w:r>
    </w:p>
    <w:p>
      <w:pPr>
        <w:pStyle w:val="Heading2"/>
      </w:pPr>
      <w:r>
        <w:t xml:space="preserve">4. Segmentation RFM</w:t>
      </w:r>
    </w:p>
    <w:p>
      <w:pPr>
        <w:pStyle w:val="Heading3"/>
      </w:pPr>
      <w:r>
        <w:t xml:space="preserve">Résultats par profil (transactions réussies)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Profil</w:t>
            </w:r>
          </w:p>
        </w:tc>
        <w:tc>
          <w:tcPr>
            <w:tcW w:w="1560" w:type="dxa"/>
            <w:shd w:val="clear" w:color="auto" w:fill="F2F2F2"/>
          </w:tcPr>
          <w:p>
            <w:pPr/>
            <w:r>
              <w:t xml:space="preserve">Clients</w:t>
            </w:r>
          </w:p>
        </w:tc>
        <w:tc>
          <w:tcPr>
            <w:tcW w:w="1560" w:type="dxa"/>
            <w:shd w:val="clear" w:color="auto" w:fill="F2F2F2"/>
          </w:tcPr>
          <w:p>
            <w:pPr/>
            <w:r>
              <w:t xml:space="preserve">% clients</w:t>
            </w:r>
          </w:p>
        </w:tc>
        <w:tc>
          <w:tcPr>
            <w:tcW w:w="1560" w:type="dxa"/>
            <w:shd w:val="clear" w:color="auto" w:fill="F2F2F2"/>
          </w:tcPr>
          <w:p>
            <w:pPr/>
            <w:r>
              <w:t xml:space="preserve">Valeur (M NGN)</w:t>
            </w:r>
          </w:p>
        </w:tc>
        <w:tc>
          <w:tcPr>
            <w:tcW w:w="1560" w:type="dxa"/>
            <w:shd w:val="clear" w:color="auto" w:fill="F2F2F2"/>
          </w:tcPr>
          <w:p>
            <w:pPr/>
            <w:r>
              <w:t xml:space="preserve">% valeur</w:t>
            </w:r>
          </w:p>
        </w:tc>
        <w:tc>
          <w:tcPr>
            <w:tcW w:w="1560" w:type="dxa"/>
            <w:shd w:val="clear" w:color="auto" w:fill="F2F2F2"/>
          </w:tcPr>
          <w:p>
            <w:pPr/>
            <w:r>
              <w:t xml:space="preserve">Panier moyen (NGN)</w:t>
            </w:r>
          </w:p>
        </w:tc>
      </w:tr>
      <w:tr>
        <w:tc>
          <w:tcPr>
            <w:tcW w:w="1560" w:type="dxa"/>
          </w:tcPr>
          <w:p>
            <w:pPr/>
            <w:r>
              <w:t xml:space="preserve">Champions</w:t>
            </w:r>
          </w:p>
        </w:tc>
        <w:tc>
          <w:tcPr>
            <w:tcW w:w="1560" w:type="dxa"/>
          </w:tcPr>
          <w:p>
            <w:pPr/>
            <w:r>
              <w:t xml:space="preserve">314</w:t>
            </w:r>
          </w:p>
        </w:tc>
        <w:tc>
          <w:tcPr>
            <w:tcW w:w="1560" w:type="dxa"/>
          </w:tcPr>
          <w:p>
            <w:pPr/>
            <w:r>
              <w:t xml:space="preserve">20,9 %</w:t>
            </w:r>
          </w:p>
        </w:tc>
        <w:tc>
          <w:tcPr>
            <w:tcW w:w="1560" w:type="dxa"/>
          </w:tcPr>
          <w:p>
            <w:pPr/>
            <w:r>
              <w:t xml:space="preserve">185,1</w:t>
            </w:r>
          </w:p>
        </w:tc>
        <w:tc>
          <w:tcPr>
            <w:tcW w:w="1560" w:type="dxa"/>
          </w:tcPr>
          <w:p>
            <w:pPr/>
            <w:r>
              <w:t xml:space="preserve">36,2 %</w:t>
            </w:r>
          </w:p>
        </w:tc>
        <w:tc>
          <w:tcPr>
            <w:tcW w:w="1560" w:type="dxa"/>
          </w:tcPr>
          <w:p>
            <w:pPr/>
            <w:r>
              <w:t xml:space="preserve">589 541</w:t>
            </w:r>
          </w:p>
        </w:tc>
      </w:tr>
      <w:tr>
        <w:tc>
          <w:tcPr>
            <w:tcW w:w="1560" w:type="dxa"/>
          </w:tcPr>
          <w:p>
            <w:pPr/>
            <w:r>
              <w:t xml:space="preserve">À risque (forte valeur)</w:t>
            </w:r>
          </w:p>
        </w:tc>
        <w:tc>
          <w:tcPr>
            <w:tcW w:w="1560" w:type="dxa"/>
          </w:tcPr>
          <w:p>
            <w:pPr/>
            <w:r>
              <w:t xml:space="preserve">199</w:t>
            </w:r>
          </w:p>
        </w:tc>
        <w:tc>
          <w:tcPr>
            <w:tcW w:w="1560" w:type="dxa"/>
          </w:tcPr>
          <w:p>
            <w:pPr/>
            <w:r>
              <w:t xml:space="preserve">13,3 %</w:t>
            </w:r>
          </w:p>
        </w:tc>
        <w:tc>
          <w:tcPr>
            <w:tcW w:w="1560" w:type="dxa"/>
          </w:tcPr>
          <w:p>
            <w:pPr/>
            <w:r>
              <w:t xml:space="preserve">109,0</w:t>
            </w:r>
          </w:p>
        </w:tc>
        <w:tc>
          <w:tcPr>
            <w:tcW w:w="1560" w:type="dxa"/>
          </w:tcPr>
          <w:p>
            <w:pPr/>
            <w:r>
              <w:t xml:space="preserve">21,4 %</w:t>
            </w:r>
          </w:p>
        </w:tc>
        <w:tc>
          <w:tcPr>
            <w:tcW w:w="1560" w:type="dxa"/>
          </w:tcPr>
          <w:p>
            <w:pPr/>
            <w:r>
              <w:t xml:space="preserve">547 936</w:t>
            </w:r>
          </w:p>
        </w:tc>
      </w:tr>
      <w:tr>
        <w:tc>
          <w:tcPr>
            <w:tcW w:w="1560" w:type="dxa"/>
          </w:tcPr>
          <w:p>
            <w:pPr/>
            <w:r>
              <w:t xml:space="preserve">Nouveaux / récents</w:t>
            </w:r>
          </w:p>
        </w:tc>
        <w:tc>
          <w:tcPr>
            <w:tcW w:w="1560" w:type="dxa"/>
          </w:tcPr>
          <w:p>
            <w:pPr/>
            <w:r>
              <w:t xml:space="preserve">283</w:t>
            </w:r>
          </w:p>
        </w:tc>
        <w:tc>
          <w:tcPr>
            <w:tcW w:w="1560" w:type="dxa"/>
          </w:tcPr>
          <w:p>
            <w:pPr/>
            <w:r>
              <w:t xml:space="preserve">18,9 %</w:t>
            </w:r>
          </w:p>
        </w:tc>
        <w:tc>
          <w:tcPr>
            <w:tcW w:w="1560" w:type="dxa"/>
          </w:tcPr>
          <w:p>
            <w:pPr/>
            <w:r>
              <w:t xml:space="preserve">71,9</w:t>
            </w:r>
          </w:p>
        </w:tc>
        <w:tc>
          <w:tcPr>
            <w:tcW w:w="1560" w:type="dxa"/>
          </w:tcPr>
          <w:p>
            <w:pPr/>
            <w:r>
              <w:t xml:space="preserve">14,1 %</w:t>
            </w:r>
          </w:p>
        </w:tc>
        <w:tc>
          <w:tcPr>
            <w:tcW w:w="1560" w:type="dxa"/>
          </w:tcPr>
          <w:p>
            <w:pPr/>
            <w:r>
              <w:t xml:space="preserve">254 114</w:t>
            </w:r>
          </w:p>
        </w:tc>
      </w:tr>
      <w:tr>
        <w:tc>
          <w:tcPr>
            <w:tcW w:w="1560" w:type="dxa"/>
          </w:tcPr>
          <w:p>
            <w:pPr/>
            <w:r>
              <w:t xml:space="preserve">À réactiver</w:t>
            </w:r>
          </w:p>
        </w:tc>
        <w:tc>
          <w:tcPr>
            <w:tcW w:w="1560" w:type="dxa"/>
          </w:tcPr>
          <w:p>
            <w:pPr/>
            <w:r>
              <w:t xml:space="preserve">284</w:t>
            </w:r>
          </w:p>
        </w:tc>
        <w:tc>
          <w:tcPr>
            <w:tcW w:w="1560" w:type="dxa"/>
          </w:tcPr>
          <w:p>
            <w:pPr/>
            <w:r>
              <w:t xml:space="preserve">18,9 %</w:t>
            </w:r>
          </w:p>
        </w:tc>
        <w:tc>
          <w:tcPr>
            <w:tcW w:w="1560" w:type="dxa"/>
          </w:tcPr>
          <w:p>
            <w:pPr/>
            <w:r>
              <w:t xml:space="preserve">60,6</w:t>
            </w:r>
          </w:p>
        </w:tc>
        <w:tc>
          <w:tcPr>
            <w:tcW w:w="1560" w:type="dxa"/>
          </w:tcPr>
          <w:p>
            <w:pPr/>
            <w:r>
              <w:t xml:space="preserve">11,9 %</w:t>
            </w:r>
          </w:p>
        </w:tc>
        <w:tc>
          <w:tcPr>
            <w:tcW w:w="1560" w:type="dxa"/>
          </w:tcPr>
          <w:p>
            <w:pPr/>
            <w:r>
              <w:t xml:space="preserve">213 428</w:t>
            </w:r>
          </w:p>
        </w:tc>
      </w:tr>
      <w:tr>
        <w:tc>
          <w:tcPr>
            <w:tcW w:w="1560" w:type="dxa"/>
          </w:tcPr>
          <w:p>
            <w:pPr/>
            <w:r>
              <w:t xml:space="preserve">Perdus</w:t>
            </w:r>
          </w:p>
        </w:tc>
        <w:tc>
          <w:tcPr>
            <w:tcW w:w="1560" w:type="dxa"/>
          </w:tcPr>
          <w:p>
            <w:pPr/>
            <w:r>
              <w:t xml:space="preserve">267</w:t>
            </w:r>
          </w:p>
        </w:tc>
        <w:tc>
          <w:tcPr>
            <w:tcW w:w="1560" w:type="dxa"/>
          </w:tcPr>
          <w:p>
            <w:pPr/>
            <w:r>
              <w:t xml:space="preserve">17,8 %</w:t>
            </w:r>
          </w:p>
        </w:tc>
        <w:tc>
          <w:tcPr>
            <w:tcW w:w="1560" w:type="dxa"/>
          </w:tcPr>
          <w:p>
            <w:pPr/>
            <w:r>
              <w:t xml:space="preserve">57,6</w:t>
            </w:r>
          </w:p>
        </w:tc>
        <w:tc>
          <w:tcPr>
            <w:tcW w:w="1560" w:type="dxa"/>
          </w:tcPr>
          <w:p>
            <w:pPr/>
            <w:r>
              <w:t xml:space="preserve">11,3 %</w:t>
            </w:r>
          </w:p>
        </w:tc>
        <w:tc>
          <w:tcPr>
            <w:tcW w:w="1560" w:type="dxa"/>
          </w:tcPr>
          <w:p>
            <w:pPr/>
            <w:r>
              <w:t xml:space="preserve">215 897</w:t>
            </w:r>
          </w:p>
        </w:tc>
      </w:tr>
      <w:tr>
        <w:tc>
          <w:tcPr>
            <w:tcW w:w="1560" w:type="dxa"/>
          </w:tcPr>
          <w:p>
            <w:pPr/>
            <w:r>
              <w:t xml:space="preserve">Fidèles</w:t>
            </w:r>
          </w:p>
        </w:tc>
        <w:tc>
          <w:tcPr>
            <w:tcW w:w="1560" w:type="dxa"/>
          </w:tcPr>
          <w:p>
            <w:pPr/>
            <w:r>
              <w:t xml:space="preserve">153</w:t>
            </w:r>
          </w:p>
        </w:tc>
        <w:tc>
          <w:tcPr>
            <w:tcW w:w="1560" w:type="dxa"/>
          </w:tcPr>
          <w:p>
            <w:pPr/>
            <w:r>
              <w:t xml:space="preserve">10,2 %</w:t>
            </w:r>
          </w:p>
        </w:tc>
        <w:tc>
          <w:tcPr>
            <w:tcW w:w="1560" w:type="dxa"/>
          </w:tcPr>
          <w:p>
            <w:pPr/>
            <w:r>
              <w:t xml:space="preserve">26,5</w:t>
            </w:r>
          </w:p>
        </w:tc>
        <w:tc>
          <w:tcPr>
            <w:tcW w:w="1560" w:type="dxa"/>
          </w:tcPr>
          <w:p>
            <w:pPr/>
            <w:r>
              <w:t xml:space="preserve">5,2 %</w:t>
            </w:r>
          </w:p>
        </w:tc>
        <w:tc>
          <w:tcPr>
            <w:tcW w:w="1560" w:type="dxa"/>
          </w:tcPr>
          <w:p>
            <w:pPr/>
            <w:r>
              <w:t xml:space="preserve">173 074</w:t>
            </w:r>
          </w:p>
        </w:tc>
      </w:tr>
    </w:tbl>
    <w:p>
      <w:pPr/>
      <w:r>
        <w:t xml:space="preserve">Champions et clients à risque ont des paniers moyens proches (autour de 550 000 à 590 000 NGN) : les clients à risque sont des Champions qui se sont refroidis, ce qui justifie une réactivation rapide.</w:t>
      </w:r>
    </w:p>
    <w:p>
      <w:pPr>
        <w:pStyle w:val="Heading3"/>
      </w:pPr>
      <w:r>
        <w:t xml:space="preserve">Effet du filtre sur les transactions réussies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Profil</w:t>
            </w:r>
          </w:p>
        </w:tc>
        <w:tc>
          <w:tcPr>
            <w:tcW w:w="1872" w:type="dxa"/>
            <w:shd w:val="clear" w:color="auto" w:fill="F2F2F2"/>
          </w:tcPr>
          <w:p>
            <w:pPr/>
            <w:r>
              <w:t xml:space="preserve">Clients (SQL, toutes)</w:t>
            </w:r>
          </w:p>
        </w:tc>
        <w:tc>
          <w:tcPr>
            <w:tcW w:w="1872" w:type="dxa"/>
            <w:shd w:val="clear" w:color="auto" w:fill="F2F2F2"/>
          </w:tcPr>
          <w:p>
            <w:pPr/>
            <w:r>
              <w:t xml:space="preserve">Clients (Python, réussies)</w:t>
            </w:r>
          </w:p>
        </w:tc>
        <w:tc>
          <w:tcPr>
            <w:tcW w:w="1872" w:type="dxa"/>
            <w:shd w:val="clear" w:color="auto" w:fill="F2F2F2"/>
          </w:tcPr>
          <w:p>
            <w:pPr/>
            <w:r>
              <w:t xml:space="preserve">Valeur SQL (M NGN)</w:t>
            </w:r>
          </w:p>
        </w:tc>
        <w:tc>
          <w:tcPr>
            <w:tcW w:w="1872" w:type="dxa"/>
            <w:shd w:val="clear" w:color="auto" w:fill="F2F2F2"/>
          </w:tcPr>
          <w:p>
            <w:pPr/>
            <w:r>
              <w:t xml:space="preserve">Valeur Python (M NGN)</w:t>
            </w:r>
          </w:p>
        </w:tc>
      </w:tr>
      <w:tr>
        <w:tc>
          <w:tcPr>
            <w:tcW w:w="1872" w:type="dxa"/>
          </w:tcPr>
          <w:p>
            <w:pPr/>
            <w:r>
              <w:t xml:space="preserve">Champions</w:t>
            </w:r>
          </w:p>
        </w:tc>
        <w:tc>
          <w:tcPr>
            <w:tcW w:w="1872" w:type="dxa"/>
          </w:tcPr>
          <w:p>
            <w:pPr/>
            <w:r>
              <w:t xml:space="preserve">318</w:t>
            </w:r>
          </w:p>
        </w:tc>
        <w:tc>
          <w:tcPr>
            <w:tcW w:w="1872" w:type="dxa"/>
          </w:tcPr>
          <w:p>
            <w:pPr/>
            <w:r>
              <w:t xml:space="preserve">314</w:t>
            </w:r>
          </w:p>
        </w:tc>
        <w:tc>
          <w:tcPr>
            <w:tcW w:w="1872" w:type="dxa"/>
          </w:tcPr>
          <w:p>
            <w:pPr/>
            <w:r>
              <w:t xml:space="preserve">200,6</w:t>
            </w:r>
          </w:p>
        </w:tc>
        <w:tc>
          <w:tcPr>
            <w:tcW w:w="1872" w:type="dxa"/>
          </w:tcPr>
          <w:p>
            <w:pPr/>
            <w:r>
              <w:t xml:space="preserve">185,1</w:t>
            </w:r>
          </w:p>
        </w:tc>
      </w:tr>
      <w:tr>
        <w:tc>
          <w:tcPr>
            <w:tcW w:w="1872" w:type="dxa"/>
          </w:tcPr>
          <w:p>
            <w:pPr/>
            <w:r>
              <w:t xml:space="preserve">À risque (forte valeur)</w:t>
            </w:r>
          </w:p>
        </w:tc>
        <w:tc>
          <w:tcPr>
            <w:tcW w:w="1872" w:type="dxa"/>
          </w:tcPr>
          <w:p>
            <w:pPr/>
            <w:r>
              <w:t xml:space="preserve">191</w:t>
            </w:r>
          </w:p>
        </w:tc>
        <w:tc>
          <w:tcPr>
            <w:tcW w:w="1872" w:type="dxa"/>
          </w:tcPr>
          <w:p>
            <w:pPr/>
            <w:r>
              <w:t xml:space="preserve">199</w:t>
            </w:r>
          </w:p>
        </w:tc>
        <w:tc>
          <w:tcPr>
            <w:tcW w:w="1872" w:type="dxa"/>
          </w:tcPr>
          <w:p>
            <w:pPr/>
            <w:r>
              <w:t xml:space="preserve">114,8</w:t>
            </w:r>
          </w:p>
        </w:tc>
        <w:tc>
          <w:tcPr>
            <w:tcW w:w="1872" w:type="dxa"/>
          </w:tcPr>
          <w:p>
            <w:pPr/>
            <w:r>
              <w:t xml:space="preserve">109,0</w:t>
            </w:r>
          </w:p>
        </w:tc>
      </w:tr>
      <w:tr>
        <w:tc>
          <w:tcPr>
            <w:tcW w:w="1872" w:type="dxa"/>
          </w:tcPr>
          <w:p>
            <w:pPr/>
            <w:r>
              <w:t xml:space="preserve">Nouveaux / récents</w:t>
            </w:r>
          </w:p>
        </w:tc>
        <w:tc>
          <w:tcPr>
            <w:tcW w:w="1872" w:type="dxa"/>
          </w:tcPr>
          <w:p>
            <w:pPr/>
            <w:r>
              <w:t xml:space="preserve">288</w:t>
            </w:r>
          </w:p>
        </w:tc>
        <w:tc>
          <w:tcPr>
            <w:tcW w:w="1872" w:type="dxa"/>
          </w:tcPr>
          <w:p>
            <w:pPr/>
            <w:r>
              <w:t xml:space="preserve">283</w:t>
            </w:r>
          </w:p>
        </w:tc>
        <w:tc>
          <w:tcPr>
            <w:tcW w:w="1872" w:type="dxa"/>
          </w:tcPr>
          <w:p>
            <w:pPr/>
            <w:r>
              <w:t xml:space="preserve">80,6</w:t>
            </w:r>
          </w:p>
        </w:tc>
        <w:tc>
          <w:tcPr>
            <w:tcW w:w="1872" w:type="dxa"/>
          </w:tcPr>
          <w:p>
            <w:pPr/>
            <w:r>
              <w:t xml:space="preserve">71,9</w:t>
            </w:r>
          </w:p>
        </w:tc>
      </w:tr>
      <w:tr>
        <w:tc>
          <w:tcPr>
            <w:tcW w:w="1872" w:type="dxa"/>
          </w:tcPr>
          <w:p>
            <w:pPr/>
            <w:r>
              <w:t xml:space="preserve">À réactiver</w:t>
            </w:r>
          </w:p>
        </w:tc>
        <w:tc>
          <w:tcPr>
            <w:tcW w:w="1872" w:type="dxa"/>
          </w:tcPr>
          <w:p>
            <w:pPr/>
            <w:r>
              <w:t xml:space="preserve">293</w:t>
            </w:r>
          </w:p>
        </w:tc>
        <w:tc>
          <w:tcPr>
            <w:tcW w:w="1872" w:type="dxa"/>
          </w:tcPr>
          <w:p>
            <w:pPr/>
            <w:r>
              <w:t xml:space="preserve">284</w:t>
            </w:r>
          </w:p>
        </w:tc>
        <w:tc>
          <w:tcPr>
            <w:tcW w:w="1872" w:type="dxa"/>
          </w:tcPr>
          <w:p>
            <w:pPr/>
            <w:r>
              <w:t xml:space="preserve">67,2</w:t>
            </w:r>
          </w:p>
        </w:tc>
        <w:tc>
          <w:tcPr>
            <w:tcW w:w="1872" w:type="dxa"/>
          </w:tcPr>
          <w:p>
            <w:pPr/>
            <w:r>
              <w:t xml:space="preserve">60,6</w:t>
            </w:r>
          </w:p>
        </w:tc>
      </w:tr>
      <w:tr>
        <w:tc>
          <w:tcPr>
            <w:tcW w:w="1872" w:type="dxa"/>
          </w:tcPr>
          <w:p>
            <w:pPr/>
            <w:r>
              <w:t xml:space="preserve">Perdus</w:t>
            </w:r>
          </w:p>
        </w:tc>
        <w:tc>
          <w:tcPr>
            <w:tcW w:w="1872" w:type="dxa"/>
          </w:tcPr>
          <w:p>
            <w:pPr/>
            <w:r>
              <w:t xml:space="preserve">266</w:t>
            </w:r>
          </w:p>
        </w:tc>
        <w:tc>
          <w:tcPr>
            <w:tcW w:w="1872" w:type="dxa"/>
          </w:tcPr>
          <w:p>
            <w:pPr/>
            <w:r>
              <w:t xml:space="preserve">267</w:t>
            </w:r>
          </w:p>
        </w:tc>
        <w:tc>
          <w:tcPr>
            <w:tcW w:w="1872" w:type="dxa"/>
          </w:tcPr>
          <w:p>
            <w:pPr/>
            <w:r>
              <w:t xml:space="preserve">67,9</w:t>
            </w:r>
          </w:p>
        </w:tc>
        <w:tc>
          <w:tcPr>
            <w:tcW w:w="1872" w:type="dxa"/>
          </w:tcPr>
          <w:p>
            <w:pPr/>
            <w:r>
              <w:t xml:space="preserve">57,6</w:t>
            </w:r>
          </w:p>
        </w:tc>
      </w:tr>
      <w:tr>
        <w:tc>
          <w:tcPr>
            <w:tcW w:w="1872" w:type="dxa"/>
          </w:tcPr>
          <w:p>
            <w:pPr/>
            <w:r>
              <w:t xml:space="preserve">Fidèles</w:t>
            </w:r>
          </w:p>
        </w:tc>
        <w:tc>
          <w:tcPr>
            <w:tcW w:w="1872" w:type="dxa"/>
          </w:tcPr>
          <w:p>
            <w:pPr/>
            <w:r>
              <w:t xml:space="preserve">144</w:t>
            </w:r>
          </w:p>
        </w:tc>
        <w:tc>
          <w:tcPr>
            <w:tcW w:w="1872" w:type="dxa"/>
          </w:tcPr>
          <w:p>
            <w:pPr/>
            <w:r>
              <w:t xml:space="preserve">153</w:t>
            </w:r>
          </w:p>
        </w:tc>
        <w:tc>
          <w:tcPr>
            <w:tcW w:w="1872" w:type="dxa"/>
          </w:tcPr>
          <w:p>
            <w:pPr/>
            <w:r>
              <w:t xml:space="preserve">29,4</w:t>
            </w:r>
          </w:p>
        </w:tc>
        <w:tc>
          <w:tcPr>
            <w:tcW w:w="1872" w:type="dxa"/>
          </w:tcPr>
          <w:p>
            <w:pPr/>
            <w:r>
              <w:t xml:space="preserve">26,5</w:t>
            </w:r>
          </w:p>
        </w:tc>
      </w:tr>
    </w:tbl>
    <w:p>
      <w:pPr/>
      <w:r>
        <w:t xml:space="preserve">La structure ne change pas : les valeurs baissent de 5 à 15 % selon le profil, et quelques dizaines de clients changent de profil parce que leur fréquence et leur récence sont recalculées.</w:t>
      </w:r>
    </w:p>
    <w:p>
      <w:pPr>
        <w:pStyle w:val="Heading3"/>
      </w:pPr>
      <w:r>
        <w:t xml:space="preserve">Plages réelles des scores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Score</w:t>
            </w:r>
          </w:p>
        </w:tc>
        <w:tc>
          <w:tcPr>
            <w:tcW w:w="3120" w:type="dxa"/>
            <w:shd w:val="clear" w:color="auto" w:fill="F2F2F2"/>
          </w:tcPr>
          <w:p>
            <w:pPr/>
            <w:r>
              <w:t xml:space="preserve">Récence (jours depuis la dernière transaction)</w:t>
            </w:r>
          </w:p>
        </w:tc>
        <w:tc>
          <w:tcPr>
            <w:tcW w:w="3120" w:type="dxa"/>
            <w:shd w:val="clear" w:color="auto" w:fill="F2F2F2"/>
          </w:tcPr>
          <w:p>
            <w:pPr/>
            <w:r>
              <w:t xml:space="preserve">Fréquence (transactions réussies)</w:t>
            </w:r>
          </w:p>
        </w:tc>
      </w:tr>
      <w:tr>
        <w:tc>
          <w:tcPr>
            <w:tcW w:w="3120" w:type="dxa"/>
          </w:tcPr>
          <w:p>
            <w:pPr/>
            <w:r>
              <w:t xml:space="preserve">1</w:t>
            </w:r>
          </w:p>
        </w:tc>
        <w:tc>
          <w:tcPr>
            <w:tcW w:w="3120" w:type="dxa"/>
          </w:tcPr>
          <w:p>
            <w:pPr/>
            <w:r>
              <w:t xml:space="preserve">17 à 85</w:t>
            </w:r>
          </w:p>
        </w:tc>
        <w:tc>
          <w:tcPr>
            <w:tcW w:w="3120" w:type="dxa"/>
          </w:tcPr>
          <w:p>
            <w:pPr/>
            <w:r>
              <w:t xml:space="preserve">1 à 5</w:t>
            </w:r>
          </w:p>
        </w:tc>
      </w:tr>
      <w:tr>
        <w:tc>
          <w:tcPr>
            <w:tcW w:w="3120" w:type="dxa"/>
          </w:tcPr>
          <w:p>
            <w:pPr/>
            <w:r>
              <w:t xml:space="preserve">2</w:t>
            </w:r>
          </w:p>
        </w:tc>
        <w:tc>
          <w:tcPr>
            <w:tcW w:w="3120" w:type="dxa"/>
          </w:tcPr>
          <w:p>
            <w:pPr/>
            <w:r>
              <w:t xml:space="preserve">8 à 17</w:t>
            </w:r>
          </w:p>
        </w:tc>
        <w:tc>
          <w:tcPr>
            <w:tcW w:w="3120" w:type="dxa"/>
          </w:tcPr>
          <w:p>
            <w:pPr/>
            <w:r>
              <w:t xml:space="preserve">5 à 7</w:t>
            </w:r>
          </w:p>
        </w:tc>
      </w:tr>
      <w:tr>
        <w:tc>
          <w:tcPr>
            <w:tcW w:w="3120" w:type="dxa"/>
          </w:tcPr>
          <w:p>
            <w:pPr/>
            <w:r>
              <w:t xml:space="preserve">3</w:t>
            </w:r>
          </w:p>
        </w:tc>
        <w:tc>
          <w:tcPr>
            <w:tcW w:w="3120" w:type="dxa"/>
          </w:tcPr>
          <w:p>
            <w:pPr/>
            <w:r>
              <w:t xml:space="preserve">3 à 8</w:t>
            </w:r>
          </w:p>
        </w:tc>
        <w:tc>
          <w:tcPr>
            <w:tcW w:w="3120" w:type="dxa"/>
          </w:tcPr>
          <w:p>
            <w:pPr/>
            <w:r>
              <w:t xml:space="preserve">7 à 9</w:t>
            </w:r>
          </w:p>
        </w:tc>
      </w:tr>
      <w:tr>
        <w:tc>
          <w:tcPr>
            <w:tcW w:w="3120" w:type="dxa"/>
          </w:tcPr>
          <w:p>
            <w:pPr/>
            <w:r>
              <w:t xml:space="preserve">4</w:t>
            </w:r>
          </w:p>
        </w:tc>
        <w:tc>
          <w:tcPr>
            <w:tcW w:w="3120" w:type="dxa"/>
          </w:tcPr>
          <w:p>
            <w:pPr/>
            <w:r>
              <w:t xml:space="preserve">0 à 3</w:t>
            </w:r>
          </w:p>
        </w:tc>
        <w:tc>
          <w:tcPr>
            <w:tcW w:w="3120" w:type="dxa"/>
          </w:tcPr>
          <w:p>
            <w:pPr/>
            <w:r>
              <w:t xml:space="preserve">9 à 18</w:t>
            </w:r>
          </w:p>
        </w:tc>
      </w:tr>
    </w:tbl>
    <w:p>
      <w:pPr/>
      <w:r>
        <w:t xml:space="preserve">Un client « Perdu » (récence de score 1) a simplement réalisé sa dernière transaction il y a 17 jours ou plus. Avec une transaction réussie tous les 11 à 12 jours en moyenne, ce libellé est trop fort. Les bornes se chevauchent aussi (17, 8, 3 jours ; 5, 7, 9 transactions) : des clients identiques peuvent recevoir des scores différents.</w:t>
      </w:r>
    </w:p>
    <w:p>
      <w:pPr>
        <w:pStyle w:val="Heading3"/>
      </w:pPr>
      <w:r>
        <w:t xml:space="preserve">Par segment client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Segment</w:t>
            </w:r>
          </w:p>
        </w:tc>
        <w:tc>
          <w:tcPr>
            <w:tcW w:w="1337" w:type="dxa"/>
            <w:shd w:val="clear" w:color="auto" w:fill="F2F2F2"/>
          </w:tcPr>
          <w:p>
            <w:pPr/>
            <w:r>
              <w:t xml:space="preserve">Clients</w:t>
            </w:r>
          </w:p>
        </w:tc>
        <w:tc>
          <w:tcPr>
            <w:tcW w:w="1337" w:type="dxa"/>
            <w:shd w:val="clear" w:color="auto" w:fill="F2F2F2"/>
          </w:tcPr>
          <w:p>
            <w:pPr/>
            <w:r>
              <w:t xml:space="preserve">Valeur (M NGN)</w:t>
            </w:r>
          </w:p>
        </w:tc>
        <w:tc>
          <w:tcPr>
            <w:tcW w:w="1337" w:type="dxa"/>
            <w:shd w:val="clear" w:color="auto" w:fill="F2F2F2"/>
          </w:tcPr>
          <w:p>
            <w:pPr/>
            <w:r>
              <w:t xml:space="preserve">Panier moyen (NGN)</w:t>
            </w:r>
          </w:p>
        </w:tc>
        <w:tc>
          <w:tcPr>
            <w:tcW w:w="1337" w:type="dxa"/>
            <w:shd w:val="clear" w:color="auto" w:fill="F2F2F2"/>
          </w:tcPr>
          <w:p>
            <w:pPr/>
            <w:r>
              <w:t xml:space="preserve">Champions</w:t>
            </w:r>
          </w:p>
        </w:tc>
        <w:tc>
          <w:tcPr>
            <w:tcW w:w="1337" w:type="dxa"/>
            <w:shd w:val="clear" w:color="auto" w:fill="F2F2F2"/>
          </w:tcPr>
          <w:p>
            <w:pPr/>
            <w:r>
              <w:t xml:space="preserve">À risque</w:t>
            </w:r>
          </w:p>
        </w:tc>
        <w:tc>
          <w:tcPr>
            <w:tcW w:w="1337" w:type="dxa"/>
            <w:shd w:val="clear" w:color="auto" w:fill="F2F2F2"/>
          </w:tcPr>
          <w:p>
            <w:pPr/>
            <w:r>
              <w:t xml:space="preserve">À réactiver</w:t>
            </w:r>
          </w:p>
        </w:tc>
      </w:tr>
      <w:tr>
        <w:tc>
          <w:tcPr>
            <w:tcW w:w="1337" w:type="dxa"/>
          </w:tcPr>
          <w:p>
            <w:pPr/>
            <w:r>
              <w:t xml:space="preserve">Everyday</w:t>
            </w:r>
          </w:p>
        </w:tc>
        <w:tc>
          <w:tcPr>
            <w:tcW w:w="1337" w:type="dxa"/>
          </w:tcPr>
          <w:p>
            <w:pPr/>
            <w:r>
              <w:t xml:space="preserve">711</w:t>
            </w:r>
          </w:p>
        </w:tc>
        <w:tc>
          <w:tcPr>
            <w:tcW w:w="1337" w:type="dxa"/>
          </w:tcPr>
          <w:p>
            <w:pPr/>
            <w:r>
              <w:t xml:space="preserve">235,7</w:t>
            </w:r>
          </w:p>
        </w:tc>
        <w:tc>
          <w:tcPr>
            <w:tcW w:w="1337" w:type="dxa"/>
          </w:tcPr>
          <w:p>
            <w:pPr/>
            <w:r>
              <w:t xml:space="preserve">331 535</w:t>
            </w:r>
          </w:p>
        </w:tc>
        <w:tc>
          <w:tcPr>
            <w:tcW w:w="1337" w:type="dxa"/>
          </w:tcPr>
          <w:p>
            <w:pPr/>
            <w:r>
              <w:t xml:space="preserve">20,3 %</w:t>
            </w:r>
          </w:p>
        </w:tc>
        <w:tc>
          <w:tcPr>
            <w:tcW w:w="1337" w:type="dxa"/>
          </w:tcPr>
          <w:p>
            <w:pPr/>
            <w:r>
              <w:t xml:space="preserve">12,7 %</w:t>
            </w:r>
          </w:p>
        </w:tc>
        <w:tc>
          <w:tcPr>
            <w:tcW w:w="1337" w:type="dxa"/>
          </w:tcPr>
          <w:p>
            <w:pPr/>
            <w:r>
              <w:t xml:space="preserve">17,2 %</w:t>
            </w:r>
          </w:p>
        </w:tc>
      </w:tr>
      <w:tr>
        <w:tc>
          <w:tcPr>
            <w:tcW w:w="1337" w:type="dxa"/>
          </w:tcPr>
          <w:p>
            <w:pPr/>
            <w:r>
              <w:t xml:space="preserve">Premium</w:t>
            </w:r>
          </w:p>
        </w:tc>
        <w:tc>
          <w:tcPr>
            <w:tcW w:w="1337" w:type="dxa"/>
          </w:tcPr>
          <w:p>
            <w:pPr/>
            <w:r>
              <w:t xml:space="preserve">295</w:t>
            </w:r>
          </w:p>
        </w:tc>
        <w:tc>
          <w:tcPr>
            <w:tcW w:w="1337" w:type="dxa"/>
          </w:tcPr>
          <w:p>
            <w:pPr/>
            <w:r>
              <w:t xml:space="preserve">101,0</w:t>
            </w:r>
          </w:p>
        </w:tc>
        <w:tc>
          <w:tcPr>
            <w:tcW w:w="1337" w:type="dxa"/>
          </w:tcPr>
          <w:p>
            <w:pPr/>
            <w:r>
              <w:t xml:space="preserve">342 538</w:t>
            </w:r>
          </w:p>
        </w:tc>
        <w:tc>
          <w:tcPr>
            <w:tcW w:w="1337" w:type="dxa"/>
          </w:tcPr>
          <w:p>
            <w:pPr/>
            <w:r>
              <w:t xml:space="preserve">22,4 %</w:t>
            </w:r>
          </w:p>
        </w:tc>
        <w:tc>
          <w:tcPr>
            <w:tcW w:w="1337" w:type="dxa"/>
          </w:tcPr>
          <w:p>
            <w:pPr/>
            <w:r>
              <w:t xml:space="preserve">14,2 %</w:t>
            </w:r>
          </w:p>
        </w:tc>
        <w:tc>
          <w:tcPr>
            <w:tcW w:w="1337" w:type="dxa"/>
          </w:tcPr>
          <w:p>
            <w:pPr/>
            <w:r>
              <w:t xml:space="preserve">21,4 %</w:t>
            </w:r>
          </w:p>
        </w:tc>
      </w:tr>
      <w:tr>
        <w:tc>
          <w:tcPr>
            <w:tcW w:w="1337" w:type="dxa"/>
          </w:tcPr>
          <w:p>
            <w:pPr/>
            <w:r>
              <w:t xml:space="preserve">SME</w:t>
            </w:r>
          </w:p>
        </w:tc>
        <w:tc>
          <w:tcPr>
            <w:tcW w:w="1337" w:type="dxa"/>
          </w:tcPr>
          <w:p>
            <w:pPr/>
            <w:r>
              <w:t xml:space="preserve">216</w:t>
            </w:r>
          </w:p>
        </w:tc>
        <w:tc>
          <w:tcPr>
            <w:tcW w:w="1337" w:type="dxa"/>
          </w:tcPr>
          <w:p>
            <w:pPr/>
            <w:r>
              <w:t xml:space="preserve">76,7</w:t>
            </w:r>
          </w:p>
        </w:tc>
        <w:tc>
          <w:tcPr>
            <w:tcW w:w="1337" w:type="dxa"/>
          </w:tcPr>
          <w:p>
            <w:pPr/>
            <w:r>
              <w:t xml:space="preserve">354 889</w:t>
            </w:r>
          </w:p>
        </w:tc>
        <w:tc>
          <w:tcPr>
            <w:tcW w:w="1337" w:type="dxa"/>
          </w:tcPr>
          <w:p>
            <w:pPr/>
            <w:r>
              <w:t xml:space="preserve">22,2 %</w:t>
            </w:r>
          </w:p>
        </w:tc>
        <w:tc>
          <w:tcPr>
            <w:tcW w:w="1337" w:type="dxa"/>
          </w:tcPr>
          <w:p>
            <w:pPr/>
            <w:r>
              <w:t xml:space="preserve">12,0 %</w:t>
            </w:r>
          </w:p>
        </w:tc>
        <w:tc>
          <w:tcPr>
            <w:tcW w:w="1337" w:type="dxa"/>
          </w:tcPr>
          <w:p>
            <w:pPr/>
            <w:r>
              <w:t xml:space="preserve">24,1 %</w:t>
            </w:r>
          </w:p>
        </w:tc>
      </w:tr>
      <w:tr>
        <w:tc>
          <w:tcPr>
            <w:tcW w:w="1337" w:type="dxa"/>
          </w:tcPr>
          <w:p>
            <w:pPr/>
            <w:r>
              <w:t xml:space="preserve">Student</w:t>
            </w:r>
          </w:p>
        </w:tc>
        <w:tc>
          <w:tcPr>
            <w:tcW w:w="1337" w:type="dxa"/>
          </w:tcPr>
          <w:p>
            <w:pPr/>
            <w:r>
              <w:t xml:space="preserve">278</w:t>
            </w:r>
          </w:p>
        </w:tc>
        <w:tc>
          <w:tcPr>
            <w:tcW w:w="1337" w:type="dxa"/>
          </w:tcPr>
          <w:p>
            <w:pPr/>
            <w:r>
              <w:t xml:space="preserve">97,4</w:t>
            </w:r>
          </w:p>
        </w:tc>
        <w:tc>
          <w:tcPr>
            <w:tcW w:w="1337" w:type="dxa"/>
          </w:tcPr>
          <w:p>
            <w:pPr/>
            <w:r>
              <w:t xml:space="preserve">350 292</w:t>
            </w:r>
          </w:p>
        </w:tc>
        <w:tc>
          <w:tcPr>
            <w:tcW w:w="1337" w:type="dxa"/>
          </w:tcPr>
          <w:p>
            <w:pPr/>
            <w:r>
              <w:t xml:space="preserve">20,1 %</w:t>
            </w:r>
          </w:p>
        </w:tc>
        <w:tc>
          <w:tcPr>
            <w:tcW w:w="1337" w:type="dxa"/>
          </w:tcPr>
          <w:p>
            <w:pPr/>
            <w:r>
              <w:t xml:space="preserve">14,7 %</w:t>
            </w:r>
          </w:p>
        </w:tc>
        <w:tc>
          <w:tcPr>
            <w:tcW w:w="1337" w:type="dxa"/>
          </w:tcPr>
          <w:p>
            <w:pPr/>
            <w:r>
              <w:t xml:space="preserve">16,9 %</w:t>
            </w:r>
          </w:p>
        </w:tc>
      </w:tr>
    </w:tbl>
    <w:p>
      <w:pPr/>
      <w:r>
        <w:t xml:space="preserve">Les segments se ressemblent : les paniers moyens vont de 331 500 à 355 000 NGN et les écarts de profils restent de quelques points. Le segment SME compte le plus de clients à réactiver (24,1 %), Student la plus forte part de clients à risque (14,7 %).</w:t>
      </w:r>
    </w:p>
    <w:p>
      <w:pPr>
        <w:pStyle w:val="Heading3"/>
      </w:pPr>
      <w:r>
        <w:t xml:space="preserve">Par canal préféré</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Canal</w:t>
            </w:r>
          </w:p>
        </w:tc>
        <w:tc>
          <w:tcPr>
            <w:tcW w:w="1337" w:type="dxa"/>
            <w:shd w:val="clear" w:color="auto" w:fill="F2F2F2"/>
          </w:tcPr>
          <w:p>
            <w:pPr/>
            <w:r>
              <w:t xml:space="preserve">Clients</w:t>
            </w:r>
          </w:p>
        </w:tc>
        <w:tc>
          <w:tcPr>
            <w:tcW w:w="1337" w:type="dxa"/>
            <w:shd w:val="clear" w:color="auto" w:fill="F2F2F2"/>
          </w:tcPr>
          <w:p>
            <w:pPr/>
            <w:r>
              <w:t xml:space="preserve">Valeur (M NGN)</w:t>
            </w:r>
          </w:p>
        </w:tc>
        <w:tc>
          <w:tcPr>
            <w:tcW w:w="1337" w:type="dxa"/>
            <w:shd w:val="clear" w:color="auto" w:fill="F2F2F2"/>
          </w:tcPr>
          <w:p>
            <w:pPr/>
            <w:r>
              <w:t xml:space="preserve">Panier moyen (NGN)</w:t>
            </w:r>
          </w:p>
        </w:tc>
        <w:tc>
          <w:tcPr>
            <w:tcW w:w="1337" w:type="dxa"/>
            <w:shd w:val="clear" w:color="auto" w:fill="F2F2F2"/>
          </w:tcPr>
          <w:p>
            <w:pPr/>
            <w:r>
              <w:t xml:space="preserve">Champions</w:t>
            </w:r>
          </w:p>
        </w:tc>
        <w:tc>
          <w:tcPr>
            <w:tcW w:w="1337" w:type="dxa"/>
            <w:shd w:val="clear" w:color="auto" w:fill="F2F2F2"/>
          </w:tcPr>
          <w:p>
            <w:pPr/>
            <w:r>
              <w:t xml:space="preserve">À risque</w:t>
            </w:r>
          </w:p>
        </w:tc>
        <w:tc>
          <w:tcPr>
            <w:tcW w:w="1337" w:type="dxa"/>
            <w:shd w:val="clear" w:color="auto" w:fill="F2F2F2"/>
          </w:tcPr>
          <w:p>
            <w:pPr/>
            <w:r>
              <w:t xml:space="preserve">À réactiver</w:t>
            </w:r>
          </w:p>
        </w:tc>
      </w:tr>
      <w:tr>
        <w:tc>
          <w:tcPr>
            <w:tcW w:w="1337" w:type="dxa"/>
          </w:tcPr>
          <w:p>
            <w:pPr/>
            <w:r>
              <w:t xml:space="preserve">Mobile App</w:t>
            </w:r>
          </w:p>
        </w:tc>
        <w:tc>
          <w:tcPr>
            <w:tcW w:w="1337" w:type="dxa"/>
          </w:tcPr>
          <w:p>
            <w:pPr/>
            <w:r>
              <w:t xml:space="preserve">924</w:t>
            </w:r>
          </w:p>
        </w:tc>
        <w:tc>
          <w:tcPr>
            <w:tcW w:w="1337" w:type="dxa"/>
          </w:tcPr>
          <w:p>
            <w:pPr/>
            <w:r>
              <w:t xml:space="preserve">317,8</w:t>
            </w:r>
          </w:p>
        </w:tc>
        <w:tc>
          <w:tcPr>
            <w:tcW w:w="1337" w:type="dxa"/>
          </w:tcPr>
          <w:p>
            <w:pPr/>
            <w:r>
              <w:t xml:space="preserve">343 922</w:t>
            </w:r>
          </w:p>
        </w:tc>
        <w:tc>
          <w:tcPr>
            <w:tcW w:w="1337" w:type="dxa"/>
          </w:tcPr>
          <w:p>
            <w:pPr/>
            <w:r>
              <w:t xml:space="preserve">22,1 %</w:t>
            </w:r>
          </w:p>
        </w:tc>
        <w:tc>
          <w:tcPr>
            <w:tcW w:w="1337" w:type="dxa"/>
          </w:tcPr>
          <w:p>
            <w:pPr/>
            <w:r>
              <w:t xml:space="preserve">13,5 %</w:t>
            </w:r>
          </w:p>
        </w:tc>
        <w:tc>
          <w:tcPr>
            <w:tcW w:w="1337" w:type="dxa"/>
          </w:tcPr>
          <w:p>
            <w:pPr/>
            <w:r>
              <w:t xml:space="preserve">18,1 %</w:t>
            </w:r>
          </w:p>
        </w:tc>
      </w:tr>
      <w:tr>
        <w:tc>
          <w:tcPr>
            <w:tcW w:w="1337" w:type="dxa"/>
          </w:tcPr>
          <w:p>
            <w:pPr/>
            <w:r>
              <w:t xml:space="preserve">Web</w:t>
            </w:r>
          </w:p>
        </w:tc>
        <w:tc>
          <w:tcPr>
            <w:tcW w:w="1337" w:type="dxa"/>
          </w:tcPr>
          <w:p>
            <w:pPr/>
            <w:r>
              <w:t xml:space="preserve">357</w:t>
            </w:r>
          </w:p>
        </w:tc>
        <w:tc>
          <w:tcPr>
            <w:tcW w:w="1337" w:type="dxa"/>
          </w:tcPr>
          <w:p>
            <w:pPr/>
            <w:r>
              <w:t xml:space="preserve">122,1</w:t>
            </w:r>
          </w:p>
        </w:tc>
        <w:tc>
          <w:tcPr>
            <w:tcW w:w="1337" w:type="dxa"/>
          </w:tcPr>
          <w:p>
            <w:pPr/>
            <w:r>
              <w:t xml:space="preserve">341 911</w:t>
            </w:r>
          </w:p>
        </w:tc>
        <w:tc>
          <w:tcPr>
            <w:tcW w:w="1337" w:type="dxa"/>
          </w:tcPr>
          <w:p>
            <w:pPr/>
            <w:r>
              <w:t xml:space="preserve">19,9 %</w:t>
            </w:r>
          </w:p>
        </w:tc>
        <w:tc>
          <w:tcPr>
            <w:tcW w:w="1337" w:type="dxa"/>
          </w:tcPr>
          <w:p>
            <w:pPr/>
            <w:r>
              <w:t xml:space="preserve">14,0 %</w:t>
            </w:r>
          </w:p>
        </w:tc>
        <w:tc>
          <w:tcPr>
            <w:tcW w:w="1337" w:type="dxa"/>
          </w:tcPr>
          <w:p>
            <w:pPr/>
            <w:r>
              <w:t xml:space="preserve">19,3 %</w:t>
            </w:r>
          </w:p>
        </w:tc>
      </w:tr>
      <w:tr>
        <w:tc>
          <w:tcPr>
            <w:tcW w:w="1337" w:type="dxa"/>
          </w:tcPr>
          <w:p>
            <w:pPr/>
            <w:r>
              <w:t xml:space="preserve">USSD</w:t>
            </w:r>
          </w:p>
        </w:tc>
        <w:tc>
          <w:tcPr>
            <w:tcW w:w="1337" w:type="dxa"/>
          </w:tcPr>
          <w:p>
            <w:pPr/>
            <w:r>
              <w:t xml:space="preserve">219</w:t>
            </w:r>
          </w:p>
        </w:tc>
        <w:tc>
          <w:tcPr>
            <w:tcW w:w="1337" w:type="dxa"/>
          </w:tcPr>
          <w:p>
            <w:pPr/>
            <w:r>
              <w:t xml:space="preserve">71,0</w:t>
            </w:r>
          </w:p>
        </w:tc>
        <w:tc>
          <w:tcPr>
            <w:tcW w:w="1337" w:type="dxa"/>
          </w:tcPr>
          <w:p>
            <w:pPr/>
            <w:r>
              <w:t xml:space="preserve">324 024</w:t>
            </w:r>
          </w:p>
        </w:tc>
        <w:tc>
          <w:tcPr>
            <w:tcW w:w="1337" w:type="dxa"/>
          </w:tcPr>
          <w:p>
            <w:pPr/>
            <w:r>
              <w:t xml:space="preserve">17,8 %</w:t>
            </w:r>
          </w:p>
        </w:tc>
        <w:tc>
          <w:tcPr>
            <w:tcW w:w="1337" w:type="dxa"/>
          </w:tcPr>
          <w:p>
            <w:pPr/>
            <w:r>
              <w:t xml:space="preserve">11,0 %</w:t>
            </w:r>
          </w:p>
        </w:tc>
        <w:tc>
          <w:tcPr>
            <w:tcW w:w="1337" w:type="dxa"/>
          </w:tcPr>
          <w:p>
            <w:pPr/>
            <w:r>
              <w:t xml:space="preserve">21,9 %</w:t>
            </w:r>
          </w:p>
        </w:tc>
      </w:tr>
    </w:tbl>
    <w:p>
      <w:pPr/>
      <w:r>
        <w:t xml:space="preserve">L'application mobile concentre 62 % de la valeur. Le canal USSD (219 clients) a le panier moyen le plus faible, le moins de Champions et le plus de clients à réactiver. Avec cet effectif, l'écart est indicatif et à confirmer.</w:t>
      </w:r>
    </w:p>
    <w:p>
      <w:pPr>
        <w:pStyle w:val="Heading3"/>
      </w:pPr>
      <w:r>
        <w:t xml:space="preserve">Statut du compte et activité réelle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Statut</w:t>
            </w:r>
          </w:p>
        </w:tc>
        <w:tc>
          <w:tcPr>
            <w:tcW w:w="2340" w:type="dxa"/>
            <w:shd w:val="clear" w:color="auto" w:fill="F2F2F2"/>
          </w:tcPr>
          <w:p>
            <w:pPr/>
            <w:r>
              <w:t xml:space="preserve">Clients</w:t>
            </w:r>
          </w:p>
        </w:tc>
        <w:tc>
          <w:tcPr>
            <w:tcW w:w="2340" w:type="dxa"/>
            <w:shd w:val="clear" w:color="auto" w:fill="F2F2F2"/>
          </w:tcPr>
          <w:p>
            <w:pPr/>
            <w:r>
              <w:t xml:space="preserve">Fréquence moyenne</w:t>
            </w:r>
          </w:p>
        </w:tc>
        <w:tc>
          <w:tcPr>
            <w:tcW w:w="2340" w:type="dxa"/>
            <w:shd w:val="clear" w:color="auto" w:fill="F2F2F2"/>
          </w:tcPr>
          <w:p>
            <w:pPr/>
            <w:r>
              <w:t xml:space="preserve">Montant moyen (NGN)</w:t>
            </w:r>
          </w:p>
        </w:tc>
      </w:tr>
      <w:tr>
        <w:tc>
          <w:tcPr>
            <w:tcW w:w="2340" w:type="dxa"/>
          </w:tcPr>
          <w:p>
            <w:pPr/>
            <w:r>
              <w:t xml:space="preserve">Active</w:t>
            </w:r>
          </w:p>
        </w:tc>
        <w:tc>
          <w:tcPr>
            <w:tcW w:w="2340" w:type="dxa"/>
          </w:tcPr>
          <w:p>
            <w:pPr/>
            <w:r>
              <w:t xml:space="preserve">1 367</w:t>
            </w:r>
          </w:p>
        </w:tc>
        <w:tc>
          <w:tcPr>
            <w:tcW w:w="2340" w:type="dxa"/>
          </w:tcPr>
          <w:p>
            <w:pPr/>
            <w:r>
              <w:t xml:space="preserve">7,22</w:t>
            </w:r>
          </w:p>
        </w:tc>
        <w:tc>
          <w:tcPr>
            <w:tcW w:w="2340" w:type="dxa"/>
          </w:tcPr>
          <w:p>
            <w:pPr/>
            <w:r>
              <w:t xml:space="preserve">339 891</w:t>
            </w:r>
          </w:p>
        </w:tc>
      </w:tr>
      <w:tr>
        <w:tc>
          <w:tcPr>
            <w:tcW w:w="2340" w:type="dxa"/>
          </w:tcPr>
          <w:p>
            <w:pPr/>
            <w:r>
              <w:t xml:space="preserve">Dormant</w:t>
            </w:r>
          </w:p>
        </w:tc>
        <w:tc>
          <w:tcPr>
            <w:tcW w:w="2340" w:type="dxa"/>
          </w:tcPr>
          <w:p>
            <w:pPr/>
            <w:r>
              <w:t xml:space="preserve">107</w:t>
            </w:r>
          </w:p>
        </w:tc>
        <w:tc>
          <w:tcPr>
            <w:tcW w:w="2340" w:type="dxa"/>
          </w:tcPr>
          <w:p>
            <w:pPr/>
            <w:r>
              <w:t xml:space="preserve">7,36</w:t>
            </w:r>
          </w:p>
        </w:tc>
        <w:tc>
          <w:tcPr>
            <w:tcW w:w="2340" w:type="dxa"/>
          </w:tcPr>
          <w:p>
            <w:pPr/>
            <w:r>
              <w:t xml:space="preserve">333 015</w:t>
            </w:r>
          </w:p>
        </w:tc>
      </w:tr>
      <w:tr>
        <w:tc>
          <w:tcPr>
            <w:tcW w:w="2340" w:type="dxa"/>
          </w:tcPr>
          <w:p>
            <w:pPr/>
            <w:r>
              <w:t xml:space="preserve">Restricted</w:t>
            </w:r>
          </w:p>
        </w:tc>
        <w:tc>
          <w:tcPr>
            <w:tcW w:w="2340" w:type="dxa"/>
          </w:tcPr>
          <w:p>
            <w:pPr/>
            <w:r>
              <w:t xml:space="preserve">26</w:t>
            </w:r>
          </w:p>
        </w:tc>
        <w:tc>
          <w:tcPr>
            <w:tcW w:w="2340" w:type="dxa"/>
          </w:tcPr>
          <w:p>
            <w:pPr/>
            <w:r>
              <w:t xml:space="preserve">7,77</w:t>
            </w:r>
          </w:p>
        </w:tc>
        <w:tc>
          <w:tcPr>
            <w:tcW w:w="2340" w:type="dxa"/>
          </w:tcPr>
          <w:p>
            <w:pPr/>
            <w:r>
              <w:t xml:space="preserve">405 538</w:t>
            </w:r>
          </w:p>
        </w:tc>
      </w:tr>
    </w:tbl>
    <w:p>
      <w:pPr/>
      <w:r>
        <w:t xml:space="preserve">Les comptes dormants sont aussi actifs que les comptes actifs, et les comptes restreints affichent même la fréquence et le montant moyens les plus élevés. Soit le statut est postérieur à la période, soit il est mal renseigné : à vérifier avant de s'en servir.</w:t>
      </w:r>
    </w:p>
    <w:p>
      <w:pPr>
        <w:pStyle w:val="Heading2"/>
      </w:pPr>
      <w:r>
        <w:t xml:space="preserve">5. Détection d'anomalies</w:t>
      </w:r>
    </w:p>
    <w:p>
      <w:pPr>
        <w:pStyle w:val="Heading3"/>
      </w:pPr>
      <w:r>
        <w:t xml:space="preserve">Vérification de l'export SQL</w:t>
      </w:r>
    </w:p>
    <w:p>
      <w:pPr/>
      <w:r>
        <w:t xml:space="preserve">Appliquées à toutes les transactions, les règles du script Python redonnent exactement </w:t>
      </w:r>
      <w:r>
        <w:rPr>
          <w:b/>
        </w:rPr>
        <w:t xml:space="preserve">750 anomalies pour 184 512 474 NGN</w:t>
      </w:r>
      <w:r>
        <w:t xml:space="preserve">, comme le SQL. L'export SQL n'était donc pas tronqué : le chiffre de 750 est réel.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Indicateur</w:t>
            </w:r>
          </w:p>
        </w:tc>
        <w:tc>
          <w:tcPr>
            <w:tcW w:w="3120" w:type="dxa"/>
            <w:shd w:val="clear" w:color="auto" w:fill="F2F2F2"/>
          </w:tcPr>
          <w:p>
            <w:pPr/>
            <w:r>
              <w:t xml:space="preserve">SQL (toutes transactions)</w:t>
            </w:r>
          </w:p>
        </w:tc>
        <w:tc>
          <w:tcPr>
            <w:tcW w:w="3120" w:type="dxa"/>
            <w:shd w:val="clear" w:color="auto" w:fill="F2F2F2"/>
          </w:tcPr>
          <w:p>
            <w:pPr/>
            <w:r>
              <w:t xml:space="preserve">Python (réussies)</w:t>
            </w:r>
          </w:p>
        </w:tc>
      </w:tr>
      <w:tr>
        <w:tc>
          <w:tcPr>
            <w:tcW w:w="3120" w:type="dxa"/>
          </w:tcPr>
          <w:p>
            <w:pPr/>
            <w:r>
              <w:t xml:space="preserve">Anomalies</w:t>
            </w:r>
          </w:p>
        </w:tc>
        <w:tc>
          <w:tcPr>
            <w:tcW w:w="3120" w:type="dxa"/>
          </w:tcPr>
          <w:p>
            <w:pPr/>
            <w:r>
              <w:t xml:space="preserve">750</w:t>
            </w:r>
          </w:p>
        </w:tc>
        <w:tc>
          <w:tcPr>
            <w:tcW w:w="3120" w:type="dxa"/>
          </w:tcPr>
          <w:p>
            <w:pPr/>
            <w:r>
              <w:t xml:space="preserve">645</w:t>
            </w:r>
          </w:p>
        </w:tc>
      </w:tr>
      <w:tr>
        <w:tc>
          <w:tcPr>
            <w:tcW w:w="3120" w:type="dxa"/>
          </w:tcPr>
          <w:p>
            <w:pPr/>
            <w:r>
              <w:t xml:space="preserve">Clients concernés</w:t>
            </w:r>
          </w:p>
        </w:tc>
        <w:tc>
          <w:tcPr>
            <w:tcW w:w="3120" w:type="dxa"/>
          </w:tcPr>
          <w:p>
            <w:pPr/>
            <w:r>
              <w:t xml:space="preserve">739</w:t>
            </w:r>
          </w:p>
        </w:tc>
        <w:tc>
          <w:tcPr>
            <w:tcW w:w="3120" w:type="dxa"/>
          </w:tcPr>
          <w:p>
            <w:pPr/>
            <w:r>
              <w:t xml:space="preserve">642</w:t>
            </w:r>
          </w:p>
        </w:tc>
      </w:tr>
      <w:tr>
        <w:tc>
          <w:tcPr>
            <w:tcW w:w="3120" w:type="dxa"/>
          </w:tcPr>
          <w:p>
            <w:pPr/>
            <w:r>
              <w:t xml:space="preserve">Volume</w:t>
            </w:r>
          </w:p>
        </w:tc>
        <w:tc>
          <w:tcPr>
            <w:tcW w:w="3120" w:type="dxa"/>
          </w:tcPr>
          <w:p>
            <w:pPr/>
            <w:r>
              <w:t xml:space="preserve">184,5 M NGN</w:t>
            </w:r>
          </w:p>
        </w:tc>
        <w:tc>
          <w:tcPr>
            <w:tcW w:w="3120" w:type="dxa"/>
          </w:tcPr>
          <w:p>
            <w:pPr/>
            <w:r>
              <w:t xml:space="preserve">156,8 M NGN</w:t>
            </w:r>
          </w:p>
        </w:tc>
      </w:tr>
      <w:tr>
        <w:tc>
          <w:tcPr>
            <w:tcW w:w="3120" w:type="dxa"/>
          </w:tcPr>
          <w:p>
            <w:pPr/>
            <w:r>
              <w:t xml:space="preserve">Taux de signalement</w:t>
            </w:r>
          </w:p>
        </w:tc>
        <w:tc>
          <w:tcPr>
            <w:tcW w:w="3120" w:type="dxa"/>
          </w:tcPr>
          <w:p>
            <w:pPr/>
            <w:r>
              <w:t xml:space="preserve">34,5 %</w:t>
            </w:r>
          </w:p>
        </w:tc>
        <w:tc>
          <w:tcPr>
            <w:tcW w:w="3120" w:type="dxa"/>
          </w:tcPr>
          <w:p>
            <w:pPr/>
            <w:r>
              <w:t xml:space="preserve">34,4 %</w:t>
            </w:r>
          </w:p>
        </w:tc>
      </w:tr>
    </w:tbl>
    <w:p>
      <w:pPr>
        <w:pStyle w:val="Heading3"/>
      </w:pPr>
      <w:r>
        <w:t xml:space="preserve">Par niveau de risque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Niveau</w:t>
            </w:r>
          </w:p>
        </w:tc>
        <w:tc>
          <w:tcPr>
            <w:tcW w:w="1560" w:type="dxa"/>
            <w:shd w:val="clear" w:color="auto" w:fill="F2F2F2"/>
          </w:tcPr>
          <w:p>
            <w:pPr/>
            <w:r>
              <w:t xml:space="preserve">Transactions</w:t>
            </w:r>
          </w:p>
        </w:tc>
        <w:tc>
          <w:tcPr>
            <w:tcW w:w="1560" w:type="dxa"/>
            <w:shd w:val="clear" w:color="auto" w:fill="F2F2F2"/>
          </w:tcPr>
          <w:p>
            <w:pPr/>
            <w:r>
              <w:t xml:space="preserve">Volume (M NGN)</w:t>
            </w:r>
          </w:p>
        </w:tc>
        <w:tc>
          <w:tcPr>
            <w:tcW w:w="1560" w:type="dxa"/>
            <w:shd w:val="clear" w:color="auto" w:fill="F2F2F2"/>
          </w:tcPr>
          <w:p>
            <w:pPr/>
            <w:r>
              <w:t xml:space="preserve">Signalées</w:t>
            </w:r>
          </w:p>
        </w:tc>
        <w:tc>
          <w:tcPr>
            <w:tcW w:w="1560" w:type="dxa"/>
            <w:shd w:val="clear" w:color="auto" w:fill="F2F2F2"/>
          </w:tcPr>
          <w:p>
            <w:pPr/>
            <w:r>
              <w:t xml:space="preserve">Non signalées</w:t>
            </w:r>
          </w:p>
        </w:tc>
        <w:tc>
          <w:tcPr>
            <w:tcW w:w="1560" w:type="dxa"/>
            <w:shd w:val="clear" w:color="auto" w:fill="F2F2F2"/>
          </w:tcPr>
          <w:p>
            <w:pPr/>
            <w:r>
              <w:t xml:space="preserve">% signalées</w:t>
            </w:r>
          </w:p>
        </w:tc>
      </w:tr>
      <w:tr>
        <w:tc>
          <w:tcPr>
            <w:tcW w:w="1560" w:type="dxa"/>
          </w:tcPr>
          <w:p>
            <w:pPr/>
            <w:r>
              <w:t xml:space="preserve">Faible</w:t>
            </w:r>
          </w:p>
        </w:tc>
        <w:tc>
          <w:tcPr>
            <w:tcW w:w="1560" w:type="dxa"/>
          </w:tcPr>
          <w:p>
            <w:pPr/>
            <w:r>
              <w:t xml:space="preserve">456</w:t>
            </w:r>
          </w:p>
        </w:tc>
        <w:tc>
          <w:tcPr>
            <w:tcW w:w="1560" w:type="dxa"/>
          </w:tcPr>
          <w:p>
            <w:pPr/>
            <w:r>
              <w:t xml:space="preserve">108,1</w:t>
            </w:r>
          </w:p>
        </w:tc>
        <w:tc>
          <w:tcPr>
            <w:tcW w:w="1560" w:type="dxa"/>
          </w:tcPr>
          <w:p>
            <w:pPr/>
            <w:r>
              <w:t xml:space="preserve">140</w:t>
            </w:r>
          </w:p>
        </w:tc>
        <w:tc>
          <w:tcPr>
            <w:tcW w:w="1560" w:type="dxa"/>
          </w:tcPr>
          <w:p>
            <w:pPr/>
            <w:r>
              <w:t xml:space="preserve">316</w:t>
            </w:r>
          </w:p>
        </w:tc>
        <w:tc>
          <w:tcPr>
            <w:tcW w:w="1560" w:type="dxa"/>
          </w:tcPr>
          <w:p>
            <w:pPr/>
            <w:r>
              <w:t xml:space="preserve">30,7 %</w:t>
            </w:r>
          </w:p>
        </w:tc>
      </w:tr>
      <w:tr>
        <w:tc>
          <w:tcPr>
            <w:tcW w:w="1560" w:type="dxa"/>
          </w:tcPr>
          <w:p>
            <w:pPr/>
            <w:r>
              <w:t xml:space="preserve">Moyen</w:t>
            </w:r>
          </w:p>
        </w:tc>
        <w:tc>
          <w:tcPr>
            <w:tcW w:w="1560" w:type="dxa"/>
          </w:tcPr>
          <w:p>
            <w:pPr/>
            <w:r>
              <w:t xml:space="preserve">182</w:t>
            </w:r>
          </w:p>
        </w:tc>
        <w:tc>
          <w:tcPr>
            <w:tcW w:w="1560" w:type="dxa"/>
          </w:tcPr>
          <w:p>
            <w:pPr/>
            <w:r>
              <w:t xml:space="preserve">46,4</w:t>
            </w:r>
          </w:p>
        </w:tc>
        <w:tc>
          <w:tcPr>
            <w:tcW w:w="1560" w:type="dxa"/>
          </w:tcPr>
          <w:p>
            <w:pPr/>
            <w:r>
              <w:t xml:space="preserve">79</w:t>
            </w:r>
          </w:p>
        </w:tc>
        <w:tc>
          <w:tcPr>
            <w:tcW w:w="1560" w:type="dxa"/>
          </w:tcPr>
          <w:p>
            <w:pPr/>
            <w:r>
              <w:t xml:space="preserve">103</w:t>
            </w:r>
          </w:p>
        </w:tc>
        <w:tc>
          <w:tcPr>
            <w:tcW w:w="1560" w:type="dxa"/>
          </w:tcPr>
          <w:p>
            <w:pPr/>
            <w:r>
              <w:t xml:space="preserve">43,4 %</w:t>
            </w:r>
          </w:p>
        </w:tc>
      </w:tr>
      <w:tr>
        <w:tc>
          <w:tcPr>
            <w:tcW w:w="1560" w:type="dxa"/>
          </w:tcPr>
          <w:p>
            <w:pPr/>
            <w:r>
              <w:t xml:space="preserve">Élevé</w:t>
            </w:r>
          </w:p>
        </w:tc>
        <w:tc>
          <w:tcPr>
            <w:tcW w:w="1560" w:type="dxa"/>
          </w:tcPr>
          <w:p>
            <w:pPr/>
            <w:r>
              <w:t xml:space="preserve">7</w:t>
            </w:r>
          </w:p>
        </w:tc>
        <w:tc>
          <w:tcPr>
            <w:tcW w:w="1560" w:type="dxa"/>
          </w:tcPr>
          <w:p>
            <w:pPr/>
            <w:r>
              <w:t xml:space="preserve">2,4</w:t>
            </w:r>
          </w:p>
        </w:tc>
        <w:tc>
          <w:tcPr>
            <w:tcW w:w="1560" w:type="dxa"/>
          </w:tcPr>
          <w:p>
            <w:pPr/>
            <w:r>
              <w:t xml:space="preserve">3</w:t>
            </w:r>
          </w:p>
        </w:tc>
        <w:tc>
          <w:tcPr>
            <w:tcW w:w="1560" w:type="dxa"/>
          </w:tcPr>
          <w:p>
            <w:pPr/>
            <w:r>
              <w:t xml:space="preserve">4</w:t>
            </w:r>
          </w:p>
        </w:tc>
        <w:tc>
          <w:tcPr>
            <w:tcW w:w="1560" w:type="dxa"/>
          </w:tcPr>
          <w:p>
            <w:pPr/>
            <w:r>
              <w:t xml:space="preserve">42,9 %</w:t>
            </w:r>
          </w:p>
        </w:tc>
      </w:tr>
    </w:tbl>
    <w:p>
      <w:pPr/>
      <w:r>
        <w:t xml:space="preserve">Le score de risque suit mieux le signalement existant que l'ancienne règle horaire : le taux passe de 30,7 % (faible) à 43,4 % (moyen). Mais deux limites apparaissent : seules 7 transactions sont de niveau Élevé, trop peu pour conclure, et le score ignore le montant, si bien que 456 anomalies de niveau Faible portent 69 % de la valeur des anomalies.</w:t>
      </w:r>
    </w:p>
    <w:p>
      <w:pPr>
        <w:pStyle w:val="Heading3"/>
      </w:pPr>
      <w:r>
        <w:t xml:space="preserve">Par type de transaction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Transactions</w:t>
            </w:r>
          </w:p>
        </w:tc>
        <w:tc>
          <w:tcPr>
            <w:tcW w:w="2340" w:type="dxa"/>
            <w:shd w:val="clear" w:color="auto" w:fill="F2F2F2"/>
          </w:tcPr>
          <w:p>
            <w:pPr/>
            <w:r>
              <w:t xml:space="preserve">Volume (M NGN)</w:t>
            </w:r>
          </w:p>
        </w:tc>
        <w:tc>
          <w:tcPr>
            <w:tcW w:w="2340" w:type="dxa"/>
            <w:shd w:val="clear" w:color="auto" w:fill="F2F2F2"/>
          </w:tcPr>
          <w:p>
            <w:pPr/>
            <w:r>
              <w:t xml:space="preserve">Facteur moyen</w:t>
            </w:r>
          </w:p>
        </w:tc>
      </w:tr>
      <w:tr>
        <w:tc>
          <w:tcPr>
            <w:tcW w:w="2340" w:type="dxa"/>
          </w:tcPr>
          <w:p>
            <w:pPr/>
            <w:r>
              <w:t xml:space="preserve">Transfer</w:t>
            </w:r>
          </w:p>
        </w:tc>
        <w:tc>
          <w:tcPr>
            <w:tcW w:w="2340" w:type="dxa"/>
          </w:tcPr>
          <w:p>
            <w:pPr/>
            <w:r>
              <w:t xml:space="preserve">300</w:t>
            </w:r>
          </w:p>
        </w:tc>
        <w:tc>
          <w:tcPr>
            <w:tcW w:w="2340" w:type="dxa"/>
          </w:tcPr>
          <w:p>
            <w:pPr/>
            <w:r>
              <w:t xml:space="preserve">77,6</w:t>
            </w:r>
          </w:p>
        </w:tc>
        <w:tc>
          <w:tcPr>
            <w:tcW w:w="2340" w:type="dxa"/>
          </w:tcPr>
          <w:p>
            <w:pPr/>
            <w:r>
              <w:t xml:space="preserve">5,07</w:t>
            </w:r>
          </w:p>
        </w:tc>
      </w:tr>
      <w:tr>
        <w:tc>
          <w:tcPr>
            <w:tcW w:w="2340" w:type="dxa"/>
          </w:tcPr>
          <w:p>
            <w:pPr/>
            <w:r>
              <w:t xml:space="preserve">Deposit</w:t>
            </w:r>
          </w:p>
        </w:tc>
        <w:tc>
          <w:tcPr>
            <w:tcW w:w="2340" w:type="dxa"/>
          </w:tcPr>
          <w:p>
            <w:pPr/>
            <w:r>
              <w:t xml:space="preserve">165</w:t>
            </w:r>
          </w:p>
        </w:tc>
        <w:tc>
          <w:tcPr>
            <w:tcW w:w="2340" w:type="dxa"/>
          </w:tcPr>
          <w:p>
            <w:pPr/>
            <w:r>
              <w:t xml:space="preserve">56,6</w:t>
            </w:r>
          </w:p>
        </w:tc>
        <w:tc>
          <w:tcPr>
            <w:tcW w:w="2340" w:type="dxa"/>
          </w:tcPr>
          <w:p>
            <w:pPr/>
            <w:r>
              <w:t xml:space="preserve">5,61</w:t>
            </w:r>
          </w:p>
        </w:tc>
      </w:tr>
      <w:tr>
        <w:tc>
          <w:tcPr>
            <w:tcW w:w="2340" w:type="dxa"/>
          </w:tcPr>
          <w:p>
            <w:pPr/>
            <w:r>
              <w:t xml:space="preserve">Cash Withdrawal</w:t>
            </w:r>
          </w:p>
        </w:tc>
        <w:tc>
          <w:tcPr>
            <w:tcW w:w="2340" w:type="dxa"/>
          </w:tcPr>
          <w:p>
            <w:pPr/>
            <w:r>
              <w:t xml:space="preserve">84</w:t>
            </w:r>
          </w:p>
        </w:tc>
        <w:tc>
          <w:tcPr>
            <w:tcW w:w="2340" w:type="dxa"/>
          </w:tcPr>
          <w:p>
            <w:pPr/>
            <w:r>
              <w:t xml:space="preserve">12,8</w:t>
            </w:r>
          </w:p>
        </w:tc>
        <w:tc>
          <w:tcPr>
            <w:tcW w:w="2340" w:type="dxa"/>
          </w:tcPr>
          <w:p>
            <w:pPr/>
            <w:r>
              <w:t xml:space="preserve">4,66</w:t>
            </w:r>
          </w:p>
        </w:tc>
      </w:tr>
      <w:tr>
        <w:tc>
          <w:tcPr>
            <w:tcW w:w="2340" w:type="dxa"/>
          </w:tcPr>
          <w:p>
            <w:pPr/>
            <w:r>
              <w:t xml:space="preserve">Card Purchase</w:t>
            </w:r>
          </w:p>
        </w:tc>
        <w:tc>
          <w:tcPr>
            <w:tcW w:w="2340" w:type="dxa"/>
          </w:tcPr>
          <w:p>
            <w:pPr/>
            <w:r>
              <w:t xml:space="preserve">70</w:t>
            </w:r>
          </w:p>
        </w:tc>
        <w:tc>
          <w:tcPr>
            <w:tcW w:w="2340" w:type="dxa"/>
          </w:tcPr>
          <w:p>
            <w:pPr/>
            <w:r>
              <w:t xml:space="preserve">8,4</w:t>
            </w:r>
          </w:p>
        </w:tc>
        <w:tc>
          <w:tcPr>
            <w:tcW w:w="2340" w:type="dxa"/>
          </w:tcPr>
          <w:p>
            <w:pPr/>
            <w:r>
              <w:t xml:space="preserve">4,67</w:t>
            </w:r>
          </w:p>
        </w:tc>
      </w:tr>
      <w:tr>
        <w:tc>
          <w:tcPr>
            <w:tcW w:w="2340" w:type="dxa"/>
          </w:tcPr>
          <w:p>
            <w:pPr/>
            <w:r>
              <w:t xml:space="preserve">Bill Payment</w:t>
            </w:r>
          </w:p>
        </w:tc>
        <w:tc>
          <w:tcPr>
            <w:tcW w:w="2340" w:type="dxa"/>
          </w:tcPr>
          <w:p>
            <w:pPr/>
            <w:r>
              <w:t xml:space="preserve">19</w:t>
            </w:r>
          </w:p>
        </w:tc>
        <w:tc>
          <w:tcPr>
            <w:tcW w:w="2340" w:type="dxa"/>
          </w:tcPr>
          <w:p>
            <w:pPr/>
            <w:r>
              <w:t xml:space="preserve">1,2</w:t>
            </w:r>
          </w:p>
        </w:tc>
        <w:tc>
          <w:tcPr>
            <w:tcW w:w="2340" w:type="dxa"/>
          </w:tcPr>
          <w:p>
            <w:pPr/>
            <w:r>
              <w:t xml:space="preserve">4,50</w:t>
            </w:r>
          </w:p>
        </w:tc>
      </w:tr>
      <w:tr>
        <w:tc>
          <w:tcPr>
            <w:tcW w:w="2340" w:type="dxa"/>
          </w:tcPr>
          <w:p>
            <w:pPr/>
            <w:r>
              <w:t xml:space="preserve">Airtime/Data</w:t>
            </w:r>
          </w:p>
        </w:tc>
        <w:tc>
          <w:tcPr>
            <w:tcW w:w="2340" w:type="dxa"/>
          </w:tcPr>
          <w:p>
            <w:pPr/>
            <w:r>
              <w:t xml:space="preserve">7</w:t>
            </w:r>
          </w:p>
        </w:tc>
        <w:tc>
          <w:tcPr>
            <w:tcW w:w="2340" w:type="dxa"/>
          </w:tcPr>
          <w:p>
            <w:pPr/>
            <w:r>
              <w:t xml:space="preserve">0,2</w:t>
            </w:r>
          </w:p>
        </w:tc>
        <w:tc>
          <w:tcPr>
            <w:tcW w:w="2340" w:type="dxa"/>
          </w:tcPr>
          <w:p>
            <w:pPr/>
            <w:r>
              <w:t xml:space="preserve">3,98</w:t>
            </w:r>
          </w:p>
        </w:tc>
      </w:tr>
    </w:tbl>
    <w:p>
      <w:pPr/>
      <w:r>
        <w:t xml:space="preserve">Transferts et dépôts totalisent 86 % du volume des anomalies. Les dépôts ont le facteur de dépassement moyen le plus élevé (5,6 fois la moyenne du client). Les transactions internationales ne représentent que 3,3 % des anomalies.</w:t>
      </w:r>
    </w:p>
    <w:p>
      <w:pPr>
        <w:pStyle w:val="Heading3"/>
      </w:pPr>
      <w:r>
        <w:t xml:space="preserve">Règle de nuit</w:t>
      </w:r>
    </w:p>
    <w:p>
      <w:pPr/>
      <w:r>
        <w:t xml:space="preserve">La part des anomalies survenant entre 23 h et 4 h est de 24,2 %, contre 25,2 % pour l'ensemble des transactions réussies. La nuit n'est donc pas un signal discriminant dans ces données. Les heures sont lues telles qu'elles figurent dans les fichiers, sans conversion de fuseau horaire.</w:t>
      </w:r>
    </w:p>
    <w:p>
      <w:pPr>
        <w:pStyle w:val="Heading3"/>
      </w:pPr>
      <w:r>
        <w:t xml:space="preserve">Cas à examiner en priorité (non signalés)</w:t>
      </w:r>
    </w:p>
    <w:p>
      <w:pPr/>
      <w:r>
        <w:t xml:space="preserve">Quatre transactions cumulent la nuit et un dépassement d'au moins 8 fois la moyenne du client, sans signalement :</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Transaction</w:t>
            </w:r>
          </w:p>
        </w:tc>
        <w:tc>
          <w:tcPr>
            <w:tcW w:w="1560" w:type="dxa"/>
            <w:shd w:val="clear" w:color="auto" w:fill="F2F2F2"/>
          </w:tcPr>
          <w:p>
            <w:pPr/>
            <w:r>
              <w:t xml:space="preserve">Client</w:t>
            </w:r>
          </w:p>
        </w:tc>
        <w:tc>
          <w:tcPr>
            <w:tcW w:w="1560" w:type="dxa"/>
            <w:shd w:val="clear" w:color="auto" w:fill="F2F2F2"/>
          </w:tcPr>
          <w:p>
            <w:pPr/>
            <w:r>
              <w:t xml:space="preserve">Date et heure</w:t>
            </w:r>
          </w:p>
        </w:tc>
        <w:tc>
          <w:tcPr>
            <w:tcW w:w="1560" w:type="dxa"/>
            <w:shd w:val="clear" w:color="auto" w:fill="F2F2F2"/>
          </w:tcPr>
          <w:p>
            <w:pPr/>
            <w:r>
              <w:t xml:space="preserve">Type</w:t>
            </w:r>
          </w:p>
        </w:tc>
        <w:tc>
          <w:tcPr>
            <w:tcW w:w="1560" w:type="dxa"/>
            <w:shd w:val="clear" w:color="auto" w:fill="F2F2F2"/>
          </w:tcPr>
          <w:p>
            <w:pPr/>
            <w:r>
              <w:t xml:space="preserve">Montant (NGN)</w:t>
            </w:r>
          </w:p>
        </w:tc>
        <w:tc>
          <w:tcPr>
            <w:tcW w:w="1560" w:type="dxa"/>
            <w:shd w:val="clear" w:color="auto" w:fill="F2F2F2"/>
          </w:tcPr>
          <w:p>
            <w:pPr/>
            <w:r>
              <w:t xml:space="preserve">Facteur</w:t>
            </w:r>
          </w:p>
        </w:tc>
      </w:tr>
      <w:tr>
        <w:tc>
          <w:tcPr>
            <w:tcW w:w="1560" w:type="dxa"/>
          </w:tcPr>
          <w:p>
            <w:pPr/>
            <w:r>
              <w:t xml:space="preserve">FT-T001211</w:t>
            </w:r>
          </w:p>
        </w:tc>
        <w:tc>
          <w:tcPr>
            <w:tcW w:w="1560" w:type="dxa"/>
          </w:tcPr>
          <w:p>
            <w:pPr/>
            <w:r>
              <w:t xml:space="preserve">FT-C01054</w:t>
            </w:r>
          </w:p>
        </w:tc>
        <w:tc>
          <w:tcPr>
            <w:tcW w:w="1560" w:type="dxa"/>
          </w:tcPr>
          <w:p>
            <w:pPr/>
            <w:r>
              <w:t xml:space="preserve">10/01/2026 01:49</w:t>
            </w:r>
          </w:p>
        </w:tc>
        <w:tc>
          <w:tcPr>
            <w:tcW w:w="1560" w:type="dxa"/>
          </w:tcPr>
          <w:p>
            <w:pPr/>
            <w:r>
              <w:t xml:space="preserve">Deposit</w:t>
            </w:r>
          </w:p>
        </w:tc>
        <w:tc>
          <w:tcPr>
            <w:tcW w:w="1560" w:type="dxa"/>
          </w:tcPr>
          <w:p>
            <w:pPr/>
            <w:r>
              <w:t xml:space="preserve">572 230</w:t>
            </w:r>
          </w:p>
        </w:tc>
        <w:tc>
          <w:tcPr>
            <w:tcW w:w="1560" w:type="dxa"/>
          </w:tcPr>
          <w:p>
            <w:pPr/>
            <w:r>
              <w:t xml:space="preserve">9,67</w:t>
            </w:r>
          </w:p>
        </w:tc>
      </w:tr>
      <w:tr>
        <w:tc>
          <w:tcPr>
            <w:tcW w:w="1560" w:type="dxa"/>
          </w:tcPr>
          <w:p>
            <w:pPr/>
            <w:r>
              <w:t xml:space="preserve">FT-T003883</w:t>
            </w:r>
          </w:p>
        </w:tc>
        <w:tc>
          <w:tcPr>
            <w:tcW w:w="1560" w:type="dxa"/>
          </w:tcPr>
          <w:p>
            <w:pPr/>
            <w:r>
              <w:t xml:space="preserve">FT-C01365</w:t>
            </w:r>
          </w:p>
        </w:tc>
        <w:tc>
          <w:tcPr>
            <w:tcW w:w="1560" w:type="dxa"/>
          </w:tcPr>
          <w:p>
            <w:pPr/>
            <w:r>
              <w:t xml:space="preserve">30/01/2026 02:49</w:t>
            </w:r>
          </w:p>
        </w:tc>
        <w:tc>
          <w:tcPr>
            <w:tcW w:w="1560" w:type="dxa"/>
          </w:tcPr>
          <w:p>
            <w:pPr/>
            <w:r>
              <w:t xml:space="preserve">Transfer</w:t>
            </w:r>
          </w:p>
        </w:tc>
        <w:tc>
          <w:tcPr>
            <w:tcW w:w="1560" w:type="dxa"/>
          </w:tcPr>
          <w:p>
            <w:pPr/>
            <w:r>
              <w:t xml:space="preserve">399 194</w:t>
            </w:r>
          </w:p>
        </w:tc>
        <w:tc>
          <w:tcPr>
            <w:tcW w:w="1560" w:type="dxa"/>
          </w:tcPr>
          <w:p>
            <w:pPr/>
            <w:r>
              <w:t xml:space="preserve">9,65</w:t>
            </w:r>
          </w:p>
        </w:tc>
      </w:tr>
      <w:tr>
        <w:tc>
          <w:tcPr>
            <w:tcW w:w="1560" w:type="dxa"/>
          </w:tcPr>
          <w:p>
            <w:pPr/>
            <w:r>
              <w:t xml:space="preserve">FT-T005084</w:t>
            </w:r>
          </w:p>
        </w:tc>
        <w:tc>
          <w:tcPr>
            <w:tcW w:w="1560" w:type="dxa"/>
          </w:tcPr>
          <w:p>
            <w:pPr/>
            <w:r>
              <w:t xml:space="preserve">FT-C01208</w:t>
            </w:r>
          </w:p>
        </w:tc>
        <w:tc>
          <w:tcPr>
            <w:tcW w:w="1560" w:type="dxa"/>
          </w:tcPr>
          <w:p>
            <w:pPr/>
            <w:r>
              <w:t xml:space="preserve">08/02/2026 03:00</w:t>
            </w:r>
          </w:p>
        </w:tc>
        <w:tc>
          <w:tcPr>
            <w:tcW w:w="1560" w:type="dxa"/>
          </w:tcPr>
          <w:p>
            <w:pPr/>
            <w:r>
              <w:t xml:space="preserve">Cash Withdrawal</w:t>
            </w:r>
          </w:p>
        </w:tc>
        <w:tc>
          <w:tcPr>
            <w:tcW w:w="1560" w:type="dxa"/>
          </w:tcPr>
          <w:p>
            <w:pPr/>
            <w:r>
              <w:t xml:space="preserve">117 059</w:t>
            </w:r>
          </w:p>
        </w:tc>
        <w:tc>
          <w:tcPr>
            <w:tcW w:w="1560" w:type="dxa"/>
          </w:tcPr>
          <w:p>
            <w:pPr/>
            <w:r>
              <w:t xml:space="preserve">8,59</w:t>
            </w:r>
          </w:p>
        </w:tc>
      </w:tr>
      <w:tr>
        <w:tc>
          <w:tcPr>
            <w:tcW w:w="1560" w:type="dxa"/>
          </w:tcPr>
          <w:p>
            <w:pPr/>
            <w:r>
              <w:t xml:space="preserve">FT-T009358</w:t>
            </w:r>
          </w:p>
        </w:tc>
        <w:tc>
          <w:tcPr>
            <w:tcW w:w="1560" w:type="dxa"/>
          </w:tcPr>
          <w:p>
            <w:pPr/>
            <w:r>
              <w:t xml:space="preserve">FT-C00343</w:t>
            </w:r>
          </w:p>
        </w:tc>
        <w:tc>
          <w:tcPr>
            <w:tcW w:w="1560" w:type="dxa"/>
          </w:tcPr>
          <w:p>
            <w:pPr/>
            <w:r>
              <w:t xml:space="preserve">12/03/2026 04:24</w:t>
            </w:r>
          </w:p>
        </w:tc>
        <w:tc>
          <w:tcPr>
            <w:tcW w:w="1560" w:type="dxa"/>
          </w:tcPr>
          <w:p>
            <w:pPr/>
            <w:r>
              <w:t xml:space="preserve">Transfer</w:t>
            </w:r>
          </w:p>
        </w:tc>
        <w:tc>
          <w:tcPr>
            <w:tcW w:w="1560" w:type="dxa"/>
          </w:tcPr>
          <w:p>
            <w:pPr/>
            <w:r>
              <w:t xml:space="preserve">148 052</w:t>
            </w:r>
          </w:p>
        </w:tc>
        <w:tc>
          <w:tcPr>
            <w:tcW w:w="1560" w:type="dxa"/>
          </w:tcPr>
          <w:p>
            <w:pPr/>
            <w:r>
              <w:t xml:space="preserve">8,34</w:t>
            </w:r>
          </w:p>
        </w:tc>
      </w:tr>
    </w:tbl>
    <w:p>
      <w:pPr/>
      <w:r>
        <w:t xml:space="preserve">Parmi les suivantes figurent six transactions diurnes de 319 000 à 643 000 NGN, à 8,5 fois la moyenne ou plus (par exemple FT-T002109, dépôt de 643 079 NGN pour le client FT-C00988). Le client FT-C00343 avait déjà deux anomalies dans la version SQL.</w:t>
      </w:r>
    </w:p>
    <w:p>
      <w:pPr>
        <w:pStyle w:val="Heading2"/>
      </w:pPr>
      <w:r>
        <w:t xml:space="preserve">6. Limites</w:t>
      </w:r>
    </w:p>
    <w:p>
      <w:pPr>
        <w:pStyle w:val="ListParagraph"/>
        <w:numPr>
          <w:ilvl w:val="0"/>
          <w:numId w:val="3"/>
        </w:numPr>
      </w:pPr>
      <w:r>
        <w:rPr>
          <w:b/>
        </w:rPr>
        <w:t xml:space="preserve">Quartiles et égalités</w:t>
      </w:r>
      <w:r>
        <w:t xml:space="preserve"> : les bornes des scores se chevauchent, et le libellé « Perdus » est trop fort pour 17 jours d'inactivité. Des seuils fixes seraient plus lisibles.</w:t>
      </w:r>
    </w:p>
    <w:p>
      <w:pPr>
        <w:pStyle w:val="ListParagraph"/>
        <w:numPr>
          <w:ilvl w:val="0"/>
          <w:numId w:val="3"/>
        </w:numPr>
      </w:pPr>
      <w:r>
        <w:rPr>
          <w:b/>
        </w:rPr>
        <w:t xml:space="preserve">Statut des comptes</w:t>
      </w:r>
      <w:r>
        <w:t xml:space="preserve"> : incohérent avec l'activité observée (comptes dormants aussi actifs que les actifs).</w:t>
      </w:r>
    </w:p>
    <w:p>
      <w:pPr>
        <w:pStyle w:val="ListParagraph"/>
        <w:numPr>
          <w:ilvl w:val="0"/>
          <w:numId w:val="3"/>
        </w:numPr>
      </w:pPr>
      <w:r>
        <w:rPr>
          <w:b/>
        </w:rPr>
        <w:t xml:space="preserve">Transactions en attente</w:t>
      </w:r>
      <w:r>
        <w:t xml:space="preserve"> : 188 transactions </w:t>
      </w:r>
      <w:r>
        <w:rPr>
          <w:rStyle w:val="CodeChar"/>
        </w:rPr>
        <w:t xml:space="preserve">Pending</w:t>
      </w:r>
      <w:r>
        <w:t xml:space="preserve"> sont exclues ; elles pourraient devenir réussies ou échouées.</w:t>
      </w:r>
    </w:p>
    <w:p>
      <w:pPr>
        <w:pStyle w:val="ListParagraph"/>
        <w:numPr>
          <w:ilvl w:val="0"/>
          <w:numId w:val="3"/>
        </w:numPr>
      </w:pPr>
      <w:r>
        <w:rPr>
          <w:b/>
        </w:rPr>
        <w:t xml:space="preserve">Score de risque</w:t>
      </w:r>
      <w:r>
        <w:t xml:space="preserve"> : ne tient pas compte du montant, et le niveau Élevé ne compte que 7 cas.</w:t>
      </w:r>
    </w:p>
    <w:p>
      <w:pPr>
        <w:pStyle w:val="ListParagraph"/>
        <w:numPr>
          <w:ilvl w:val="0"/>
          <w:numId w:val="3"/>
        </w:numPr>
      </w:pPr>
      <w:r>
        <w:rPr>
          <w:b/>
        </w:rPr>
        <w:t xml:space="preserve">Fuseau horaire</w:t>
      </w:r>
      <w:r>
        <w:t xml:space="preserve"> : non converti, ce qui peut décaler la notion de nuit d'une heure par rapport au Nigeria.</w:t>
      </w:r>
    </w:p>
    <w:p>
      <w:pPr>
        <w:pStyle w:val="ListParagraph"/>
        <w:numPr>
          <w:ilvl w:val="0"/>
          <w:numId w:val="3"/>
        </w:numPr>
      </w:pPr>
      <w:r>
        <w:rPr>
          <w:b/>
        </w:rPr>
        <w:t xml:space="preserve">Période courte</w:t>
      </w:r>
      <w:r>
        <w:t xml:space="preserve"> : trois mois seulement, ce qui limite l'interprétation de la récence et des tendances.</w:t>
      </w:r>
    </w:p>
    <w:p>
      <w:pPr>
        <w:pStyle w:val="ListParagraph"/>
        <w:numPr>
          <w:ilvl w:val="0"/>
          <w:numId w:val="3"/>
        </w:numPr>
      </w:pPr>
      <w:r>
        <w:rPr>
          <w:b/>
        </w:rPr>
        <w:t xml:space="preserve">Signalement et fraude</w:t>
      </w:r>
      <w:r>
        <w:t xml:space="preserve"> : </w:t>
      </w:r>
      <w:r>
        <w:rPr>
          <w:rStyle w:val="CodeChar"/>
        </w:rPr>
        <w:t xml:space="preserve">Risk_Review_Flag</w:t>
      </w:r>
      <w:r>
        <w:t xml:space="preserve"> indique une revue, pas une fraude confirmée. Il n'existe pas d'indicateur de fraude avérée dans les données.</w:t>
      </w:r>
    </w:p>
    <w:p>
      <w:pPr>
        <w:pStyle w:val="Heading2"/>
      </w:pPr>
      <w:r>
        <w:t xml:space="preserve">7. Recommandations</w:t>
      </w:r>
    </w:p>
    <w:p>
      <w:pPr>
        <w:pStyle w:val="Heading3"/>
      </w:pPr>
      <w:r>
        <w:t xml:space="preserve">Actions commerciales</w:t>
      </w:r>
    </w:p>
    <w:p>
      <w:pPr>
        <w:pStyle w:val="ListParagraph"/>
        <w:numPr>
          <w:ilvl w:val="0"/>
          <w:numId w:val="4"/>
        </w:numPr>
      </w:pPr>
      <w:r>
        <w:rPr>
          <w:b/>
        </w:rPr>
        <w:t xml:space="preserve">Contacter en priorité les 199 clients à risque</w:t>
      </w:r>
      <w:r>
        <w:t xml:space="preserve">, qui portent 109,0 M NGN de valeur.</w:t>
      </w:r>
    </w:p>
    <w:p>
      <w:pPr>
        <w:pStyle w:val="ListParagraph"/>
        <w:numPr>
          <w:ilvl w:val="0"/>
          <w:numId w:val="4"/>
        </w:numPr>
      </w:pPr>
      <w:r>
        <w:rPr>
          <w:b/>
        </w:rPr>
        <w:t xml:space="preserve">Fidéliser les 314 Champions</w:t>
      </w:r>
      <w:r>
        <w:t xml:space="preserve"> (36 % de la valeur) avec des offres dédiées.</w:t>
      </w:r>
    </w:p>
    <w:p>
      <w:pPr>
        <w:pStyle w:val="ListParagraph"/>
        <w:numPr>
          <w:ilvl w:val="0"/>
          <w:numId w:val="4"/>
        </w:numPr>
      </w:pPr>
      <w:r>
        <w:rPr>
          <w:b/>
        </w:rPr>
        <w:t xml:space="preserve">Encourager la deuxième transaction</w:t>
      </w:r>
      <w:r>
        <w:t xml:space="preserve"> des 283 clients nouveaux ou récents, dont le panier moyen est d'environ 254 000 NGN.</w:t>
      </w:r>
    </w:p>
    <w:p>
      <w:pPr>
        <w:pStyle w:val="ListParagraph"/>
        <w:numPr>
          <w:ilvl w:val="0"/>
          <w:numId w:val="4"/>
        </w:numPr>
      </w:pPr>
      <w:r>
        <w:rPr>
          <w:b/>
        </w:rPr>
        <w:t xml:space="preserve">Examiner le canal USSD</w:t>
      </w:r>
      <w:r>
        <w:t xml:space="preserve"> (panier moyen le plus faible, davantage de clients à réactiver) et le segment SME (24 % de clients à réactiver).</w:t>
      </w:r>
    </w:p>
    <w:p>
      <w:pPr>
        <w:pStyle w:val="Heading3"/>
      </w:pPr>
      <w:r>
        <w:t xml:space="preserve">Contrôle du risque</w:t>
      </w:r>
    </w:p>
    <w:p>
      <w:pPr>
        <w:pStyle w:val="ListParagraph"/>
        <w:numPr>
          <w:ilvl w:val="0"/>
          <w:numId w:val="5"/>
        </w:numPr>
      </w:pPr>
      <w:r>
        <w:rPr>
          <w:b/>
        </w:rPr>
        <w:t xml:space="preserve">Revoir en priorité les 4 transactions de niveau Élevé non signalées</w:t>
      </w:r>
      <w:r>
        <w:t xml:space="preserve">, puis les transactions diurnes à plus de 8,5 fois la moyenne.</w:t>
      </w:r>
    </w:p>
    <w:p>
      <w:pPr>
        <w:pStyle w:val="ListParagraph"/>
        <w:numPr>
          <w:ilvl w:val="0"/>
          <w:numId w:val="5"/>
        </w:numPr>
      </w:pPr>
      <w:r>
        <w:rPr>
          <w:b/>
        </w:rPr>
        <w:t xml:space="preserve">Analyser les transactions échouées</w:t>
      </w:r>
      <w:r>
        <w:t xml:space="preserve"> : leur taux de signalement de 27 % suggère des tentatives suspectes.</w:t>
      </w:r>
    </w:p>
    <w:p>
      <w:pPr>
        <w:pStyle w:val="ListParagraph"/>
        <w:numPr>
          <w:ilvl w:val="0"/>
          <w:numId w:val="5"/>
        </w:numPr>
      </w:pPr>
      <w:r>
        <w:rPr>
          <w:b/>
        </w:rPr>
        <w:t xml:space="preserve">Abandonner la règle de nuit seule</w:t>
      </w:r>
      <w:r>
        <w:t xml:space="preserve"> et ajouter au score un critère de montant (par exemple le dernier décile).</w:t>
      </w:r>
    </w:p>
    <w:p>
      <w:pPr>
        <w:pStyle w:val="ListParagraph"/>
        <w:numPr>
          <w:ilvl w:val="0"/>
          <w:numId w:val="5"/>
        </w:numPr>
      </w:pPr>
      <w:r>
        <w:rPr>
          <w:b/>
        </w:rPr>
        <w:t xml:space="preserve">Vérifier les 26 comptes restreints</w:t>
      </w:r>
      <w:r>
        <w:t xml:space="preserve"> : leur activité est la plus élevée de tous les statuts.</w:t>
      </w:r>
    </w:p>
    <w:p>
      <w:pPr>
        <w:pStyle w:val="Heading3"/>
      </w:pPr>
      <w:r>
        <w:t xml:space="preserve">Améliorations techniques</w:t>
      </w:r>
    </w:p>
    <w:p>
      <w:pPr>
        <w:pStyle w:val="ListParagraph"/>
        <w:numPr>
          <w:ilvl w:val="0"/>
          <w:numId w:val="6"/>
        </w:numPr>
      </w:pPr>
      <w:r>
        <w:t xml:space="preserve">Remplacer les quartiles par des seuils fixes de récence et de fréquence.</w:t>
      </w:r>
    </w:p>
    <w:p>
      <w:pPr>
        <w:pStyle w:val="ListParagraph"/>
        <w:numPr>
          <w:ilvl w:val="0"/>
          <w:numId w:val="6"/>
        </w:numPr>
      </w:pPr>
      <w:r>
        <w:t xml:space="preserve">Convertir les heures vers le fuseau du Nigeria avant l'analyse horaire.</w:t>
      </w:r>
    </w:p>
    <w:p>
      <w:pPr>
        <w:pStyle w:val="ListParagraph"/>
        <w:numPr>
          <w:ilvl w:val="0"/>
          <w:numId w:val="6"/>
        </w:numPr>
      </w:pPr>
      <w:r>
        <w:t xml:space="preserve">Calculer les seuils d'anomalie par client et par type de transaction, avec un percentile robuste.</w:t>
      </w:r>
    </w:p>
    <w:p>
      <w:pPr>
        <w:pStyle w:val="ListParagraph"/>
        <w:numPr>
          <w:ilvl w:val="0"/>
          <w:numId w:val="6"/>
        </w:numPr>
      </w:pPr>
      <w:r>
        <w:t xml:space="preserve">Contrôler la fiabilité de la colonne </w:t>
      </w:r>
      <w:r>
        <w:rPr>
          <w:rStyle w:val="CodeChar"/>
        </w:rPr>
        <w:t xml:space="preserve">Account_Status</w:t>
      </w:r>
      <w:r>
        <w:t xml:space="preserve">.</w:t>
      </w:r>
    </w:p>
    <w:p>
      <w:pPr>
        <w:pStyle w:val="Heading2"/>
      </w:pPr>
      <w:r>
        <w:t xml:space="preserve">8. Fichiers produits</w:t>
      </w:r>
    </w:p>
    <w:p>
      <w:pPr>
        <w:pStyle w:val="ListParagraph"/>
        <w:numPr>
          <w:ilvl w:val="0"/>
          <w:numId w:val="7"/>
        </w:numPr>
      </w:pPr>
      <w:r>
        <w:rPr>
          <w:rStyle w:val="CodeChar"/>
        </w:rPr>
        <w:t xml:space="preserve">rfm_python_reussies.csv</w:t>
      </w:r>
      <w:r>
        <w:t xml:space="preserve"> : scores et profils RFM par client.</w:t>
      </w:r>
    </w:p>
    <w:p>
      <w:pPr>
        <w:pStyle w:val="ListParagraph"/>
        <w:numPr>
          <w:ilvl w:val="0"/>
          <w:numId w:val="7"/>
        </w:numPr>
      </w:pPr>
      <w:r>
        <w:rPr>
          <w:rStyle w:val="CodeChar"/>
        </w:rPr>
        <w:t xml:space="preserve">anomalies_python_reussies.csv</w:t>
      </w:r>
      <w:r>
        <w:t xml:space="preserve"> : les 645 anomalies avec score de risque.</w:t>
      </w:r>
    </w:p>
    <w:p>
      <w:pPr>
        <w:pStyle w:val="ListParagraph"/>
        <w:numPr>
          <w:ilvl w:val="0"/>
          <w:numId w:val="7"/>
        </w:numPr>
      </w:pPr>
      <w:r>
        <w:t xml:space="preserve">Le notebook de travail, à enregistrer dans le dossier </w:t>
      </w:r>
      <w:r>
        <w:rPr>
          <w:rStyle w:val="CodeChar"/>
        </w:rPr>
        <w:t xml:space="preserve">WEEK 4</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Rapport final  analyse Python des données FinTrust</dc:title>
  <dc:description>Claude Docs node/eb694913-c472@1 docx-w6</dc:description>
  <cp:revision>1</cp:revision>
</cp:coreProperties>
</file>