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AD3" w:rsidRPr="006E5BD5" w:rsidRDefault="007F0AD3" w:rsidP="007F0AD3">
      <w:pPr>
        <w:pStyle w:val="Titre1"/>
        <w:spacing w:before="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6E5BD5">
        <w:rPr>
          <w:rFonts w:ascii="Google Sans" w:eastAsia="Google Sans" w:hAnsi="Google Sans" w:cs="Google Sans"/>
          <w:color w:val="1F1F1F"/>
          <w:lang w:val="en-US"/>
        </w:rPr>
        <w:t>Business Specifications &amp; Visualization Justification Document</w:t>
      </w:r>
    </w:p>
    <w:p w:rsidR="007F0AD3" w:rsidRPr="006E5BD5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Project: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FinTrust Financial Intelligence &amp; Digital Banking Support Solution</w:t>
      </w:r>
    </w:p>
    <w:p w:rsidR="007F0AD3" w:rsidRPr="006E5BD5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Module: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Data Analytics — Week 1 | Deliverable 5</w:t>
      </w:r>
    </w:p>
    <w:p w:rsidR="007F0AD3" w:rsidRPr="006E5BD5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Analysis Period: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Q1 2026 (January 01, 2026 – March 31, 2026) 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Source: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12,000 Transactions &amp; 1,500 Customers</w:t>
      </w:r>
    </w:p>
    <w:p w:rsidR="007F0AD3" w:rsidRPr="006E5BD5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Status: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Reference Document for the Power BI Build Phase (Week 3)</w:t>
      </w:r>
    </w:p>
    <w:p w:rsidR="007F0AD3" w:rsidRPr="006E5BD5" w:rsidRDefault="007F0AD3" w:rsidP="007F0AD3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6E5BD5">
        <w:rPr>
          <w:rFonts w:ascii="Google Sans" w:eastAsia="Google Sans" w:hAnsi="Google Sans" w:cs="Google Sans"/>
          <w:color w:val="1F1F1F"/>
          <w:lang w:val="en-US"/>
        </w:rPr>
        <w:t>1. Strategic Design Vision &amp; UI/UX Guiding Principles</w:t>
      </w:r>
    </w:p>
    <w:p w:rsidR="007F0AD3" w:rsidRPr="006E5BD5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The design of </w:t>
      </w:r>
      <w:proofErr w:type="spellStart"/>
      <w:r w:rsidRPr="006E5BD5">
        <w:rPr>
          <w:rFonts w:ascii="Google Sans" w:eastAsia="Google Sans" w:hAnsi="Google Sans" w:cs="Google Sans"/>
          <w:color w:val="1F1F1F"/>
          <w:lang w:val="en-US"/>
        </w:rPr>
        <w:t>FinTrust’s</w:t>
      </w:r>
      <w:proofErr w:type="spellEnd"/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business intelligence dashboards relies on strict visual representation principles tailored to the banking and financial sector. Each data visual choice (chart type) addresses a specific analytical requirement and aligns with the mathematical nature of the data collected during the Week 1 scoping phase.</w:t>
      </w:r>
    </w:p>
    <w:p w:rsidR="007F0AD3" w:rsidRDefault="007F0AD3" w:rsidP="007F0AD3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General Design </w:t>
      </w:r>
      <w:proofErr w:type="spellStart"/>
      <w:r>
        <w:rPr>
          <w:rFonts w:ascii="Google Sans" w:eastAsia="Google Sans" w:hAnsi="Google Sans" w:cs="Google Sans"/>
          <w:color w:val="1F1F1F"/>
        </w:rPr>
        <w:t>Principles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:rsidR="007F0AD3" w:rsidRPr="006E5BD5" w:rsidRDefault="007F0AD3" w:rsidP="007F0A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Skewness Mitigation Rule: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Due to severe right-skewness in transaction amount distribution (median at ₦10,306 vs. mean at ₦46,706, representing a 4.5× skew factor), no average transaction amount is presented without its corresponding median value.</w:t>
      </w:r>
    </w:p>
    <w:p w:rsidR="007F0AD3" w:rsidRDefault="007F0AD3" w:rsidP="007F0A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Accessibility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&amp; Data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Ethics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</w:p>
    <w:p w:rsidR="007F0AD3" w:rsidRPr="006E5BD5" w:rsidRDefault="007F0AD3" w:rsidP="007F0AD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WCAG 2.1 AA Compliance: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Color is never the sole vector of information.</w:t>
      </w:r>
    </w:p>
    <w:p w:rsidR="007F0AD3" w:rsidRPr="006E5BD5" w:rsidRDefault="007F0AD3" w:rsidP="007F0AD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Ethical Terminology: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Accusatory language is removed; the word </w:t>
      </w:r>
      <w:r w:rsidRPr="006E5BD5">
        <w:rPr>
          <w:rFonts w:ascii="Google Sans" w:eastAsia="Google Sans" w:hAnsi="Google Sans" w:cs="Google Sans"/>
          <w:i/>
          <w:iCs/>
          <w:color w:val="1F1F1F"/>
          <w:lang w:val="en-US"/>
        </w:rPr>
        <w:t>Fraud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is replaced across all interfaces by </w:t>
      </w:r>
      <w:r w:rsidRPr="006E5BD5">
        <w:rPr>
          <w:rFonts w:ascii="Google Sans" w:eastAsia="Google Sans" w:hAnsi="Google Sans" w:cs="Google Sans"/>
          <w:i/>
          <w:iCs/>
          <w:color w:val="1F1F1F"/>
          <w:lang w:val="en-US"/>
        </w:rPr>
        <w:t>Risk Review Flag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or </w:t>
      </w:r>
      <w:r w:rsidRPr="006E5BD5">
        <w:rPr>
          <w:rFonts w:ascii="Google Sans" w:eastAsia="Google Sans" w:hAnsi="Google Sans" w:cs="Google Sans"/>
          <w:i/>
          <w:iCs/>
          <w:color w:val="1F1F1F"/>
          <w:lang w:val="en-US"/>
        </w:rPr>
        <w:t>Under Review</w:t>
      </w:r>
      <w:r w:rsidRPr="006E5BD5">
        <w:rPr>
          <w:rFonts w:ascii="Google Sans" w:eastAsia="Google Sans" w:hAnsi="Google Sans" w:cs="Google Sans"/>
          <w:color w:val="1F1F1F"/>
          <w:lang w:val="en-US"/>
        </w:rPr>
        <w:t>.</w:t>
      </w:r>
    </w:p>
    <w:p w:rsidR="007F0AD3" w:rsidRPr="006E5BD5" w:rsidRDefault="007F0AD3" w:rsidP="007F0AD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Explicit Missing Value Handling: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Null values (</w:t>
      </w:r>
      <w:proofErr w:type="spellStart"/>
      <w:r w:rsidRPr="006E5BD5">
        <w:rPr>
          <w:rFonts w:ascii="Google Sans" w:eastAsia="Google Sans" w:hAnsi="Google Sans" w:cs="Google Sans"/>
          <w:color w:val="1F1F1F"/>
          <w:lang w:val="en-US"/>
        </w:rPr>
        <w:t>NaN</w:t>
      </w:r>
      <w:proofErr w:type="spellEnd"/>
      <w:r w:rsidRPr="006E5BD5">
        <w:rPr>
          <w:rFonts w:ascii="Google Sans" w:eastAsia="Google Sans" w:hAnsi="Google Sans" w:cs="Google Sans"/>
          <w:color w:val="1F1F1F"/>
          <w:lang w:val="en-US"/>
        </w:rPr>
        <w:t>) are explicitly categorized under the label 'Unknown/Unspecified' to prevent silent row dropping during aggregations.</w:t>
      </w:r>
    </w:p>
    <w:p w:rsidR="007F0AD3" w:rsidRDefault="007F0AD3" w:rsidP="007F0A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Deliberate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Design Constraints (Exclusions):</w:t>
      </w:r>
    </w:p>
    <w:p w:rsidR="007F0AD3" w:rsidRDefault="007F0AD3" w:rsidP="007F0AD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No Geographic Map: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Data quality findings (DQ-03) proved that transaction location is statistically independent of customer residence city. </w:t>
      </w:r>
      <w:r>
        <w:rPr>
          <w:rFonts w:ascii="Google Sans" w:eastAsia="Google Sans" w:hAnsi="Google Sans" w:cs="Google Sans"/>
          <w:color w:val="1F1F1F"/>
        </w:rPr>
        <w:t xml:space="preserve">A </w:t>
      </w:r>
      <w:proofErr w:type="spellStart"/>
      <w:r>
        <w:rPr>
          <w:rFonts w:ascii="Google Sans" w:eastAsia="Google Sans" w:hAnsi="Google Sans" w:cs="Google Sans"/>
          <w:color w:val="1F1F1F"/>
        </w:rPr>
        <w:t>map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visualization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would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invite false spatial </w:t>
      </w:r>
      <w:proofErr w:type="spellStart"/>
      <w:r>
        <w:rPr>
          <w:rFonts w:ascii="Google Sans" w:eastAsia="Google Sans" w:hAnsi="Google Sans" w:cs="Google Sans"/>
          <w:color w:val="1F1F1F"/>
        </w:rPr>
        <w:t>correlations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:rsidR="007F0AD3" w:rsidRPr="006E5BD5" w:rsidRDefault="007F0AD3" w:rsidP="007F0AD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n-US"/>
        </w:rPr>
      </w:pP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No Device-to-Risk Mapping: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No view crosses transaction failure or risk with device type (</w:t>
      </w:r>
      <w:proofErr w:type="spellStart"/>
      <w:r w:rsidRPr="006E5BD5">
        <w:rPr>
          <w:rFonts w:ascii="Google Sans" w:eastAsia="Google Sans" w:hAnsi="Google Sans" w:cs="Google Sans"/>
          <w:color w:val="1F1F1F"/>
          <w:lang w:val="en-US"/>
        </w:rPr>
        <w:t>Device_Type</w:t>
      </w:r>
      <w:proofErr w:type="spellEnd"/>
      <w:r w:rsidRPr="006E5BD5">
        <w:rPr>
          <w:rFonts w:ascii="Google Sans" w:eastAsia="Google Sans" w:hAnsi="Google Sans" w:cs="Google Sans"/>
          <w:color w:val="1F1F1F"/>
          <w:lang w:val="en-US"/>
        </w:rPr>
        <w:t>), as audit finding DQ-01 confirmed statistical independence (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E995FB2" wp14:editId="3CF91CAF">
            <wp:extent cx="806202" cy="24660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6202" cy="2466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) between Channel and </w:t>
      </w:r>
      <w:proofErr w:type="spellStart"/>
      <w:r w:rsidRPr="006E5BD5">
        <w:rPr>
          <w:rFonts w:ascii="Google Sans" w:eastAsia="Google Sans" w:hAnsi="Google Sans" w:cs="Google Sans"/>
          <w:color w:val="1F1F1F"/>
          <w:lang w:val="en-US"/>
        </w:rPr>
        <w:t>Device_Type</w:t>
      </w:r>
      <w:proofErr w:type="spellEnd"/>
      <w:r w:rsidRPr="006E5BD5">
        <w:rPr>
          <w:rFonts w:ascii="Google Sans" w:eastAsia="Google Sans" w:hAnsi="Google Sans" w:cs="Google Sans"/>
          <w:color w:val="1F1F1F"/>
          <w:lang w:val="en-US"/>
        </w:rPr>
        <w:t>.</w:t>
      </w:r>
    </w:p>
    <w:p w:rsidR="007F0AD3" w:rsidRPr="006E5BD5" w:rsidRDefault="007F0AD3" w:rsidP="007F0AD3">
      <w:pPr>
        <w:pStyle w:val="Titre2"/>
        <w:spacing w:before="12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6E5BD5">
        <w:rPr>
          <w:rFonts w:ascii="Google Sans" w:eastAsia="Google Sans" w:hAnsi="Google Sans" w:cs="Google Sans"/>
          <w:color w:val="1F1F1F"/>
          <w:lang w:val="en-US"/>
        </w:rPr>
        <w:t>2. Detailed Dashboard Breakdown &amp; Chart Justifications</w:t>
      </w:r>
    </w:p>
    <w:p w:rsidR="007F0AD3" w:rsidRPr="006E5BD5" w:rsidRDefault="007F0AD3" w:rsidP="007F0AD3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6E5BD5">
        <w:rPr>
          <w:rFonts w:ascii="Google Sans" w:eastAsia="Google Sans" w:hAnsi="Google Sans" w:cs="Google Sans"/>
          <w:color w:val="1F1F1F"/>
          <w:lang w:val="en-US"/>
        </w:rPr>
        <w:t>PAGE 1: Executive Overview (C-Suite Strategic View)</w:t>
      </w:r>
    </w:p>
    <w:p w:rsidR="007F0AD3" w:rsidRPr="006E5BD5" w:rsidRDefault="007F0AD3" w:rsidP="007F0A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Target Audience: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Executive Leadership, Head of Digital Banking.</w:t>
      </w:r>
    </w:p>
    <w:p w:rsidR="007F0AD3" w:rsidRDefault="007F0AD3" w:rsidP="007F0A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Core Objective: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Provide at-a-glance answers to two primary questions: </w:t>
      </w:r>
      <w:r w:rsidRPr="006E5BD5">
        <w:rPr>
          <w:rFonts w:ascii="Google Sans" w:eastAsia="Google Sans" w:hAnsi="Google Sans" w:cs="Google Sans"/>
          <w:i/>
          <w:iCs/>
          <w:color w:val="1F1F1F"/>
          <w:lang w:val="en-US"/>
        </w:rPr>
        <w:t xml:space="preserve">Is digital banking growing? 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Is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there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a major structural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anomaly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>?</w:t>
      </w:r>
    </w:p>
    <w:p w:rsid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|</w:t>
      </w:r>
    </w:p>
    <w:p w:rsidR="007F0AD3" w:rsidRPr="006E5BD5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Region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Component Name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Chart / Visualizer Type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Associated KPI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Chart Selection Justification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|</w:t>
      </w:r>
    </w:p>
    <w:p w:rsidR="007F0AD3" w:rsidRPr="006E5BD5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R01 to R05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| Top KPI Ribbon 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KPI Metric Cards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| KPI-01 to 05, 14 | High-contrast KPI cards deliver immediate visibility over Total Volume (₦560.48M), Transaction Count (12k), Mean/Median Ticket Size, Success Rate (90.47%), and Digital Share (65.50%). |</w:t>
      </w:r>
    </w:p>
    <w:p w:rsidR="007F0AD3" w:rsidRPr="006E5BD5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R06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| Volume Over Time 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Line Chart with 7-Day Moving Average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| KPI-01 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Line Chart: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Ideal for showing temporal continuity, seasonality, and volume spikes. The 7-day moving average </w:t>
      </w:r>
      <w:proofErr w:type="spellStart"/>
      <w:r w:rsidRPr="006E5BD5">
        <w:rPr>
          <w:rFonts w:ascii="Google Sans" w:eastAsia="Google Sans" w:hAnsi="Google Sans" w:cs="Google Sans"/>
          <w:color w:val="1F1F1F"/>
          <w:lang w:val="en-US"/>
        </w:rPr>
        <w:t>smoothes</w:t>
      </w:r>
      <w:proofErr w:type="spellEnd"/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daily volatility to highlight underlying trends. |</w:t>
      </w:r>
    </w:p>
    <w:p w:rsidR="007F0AD3" w:rsidRPr="006E5BD5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R07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| Volume by Transaction Type 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Sorted Horizontal Bar Chart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| KPI-01 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Sorted Horizontal Bars: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Ensures optimal readability for long category labels (Card Purchase, Bill Payment, Airtime/Data) without text tilting. |</w:t>
      </w:r>
    </w:p>
    <w:p w:rsidR="007F0AD3" w:rsidRPr="006E5BD5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R08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| Volume &amp; Count Mix by Channel 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Combo Chart (Bar + Line)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| KPI-01, KPI-02 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Combo Chart: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Cross-analyzes a continuous variable (Financial Volume in ₦ on primary Y1 axis) with a discrete count (Transaction Count on secondary Y2 axis) across channel categories. |</w:t>
      </w:r>
    </w:p>
    <w:p w:rsidR="007F0AD3" w:rsidRPr="006E5BD5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R09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| Volume by Customer Segment 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Simple Bar Chart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| KPI-01 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Simple Bar Chart: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Enables neutral volume comparison across customer segments (Premium, SME, </w:t>
      </w:r>
      <w:proofErr w:type="spellStart"/>
      <w:r w:rsidRPr="006E5BD5">
        <w:rPr>
          <w:rFonts w:ascii="Google Sans" w:eastAsia="Google Sans" w:hAnsi="Google Sans" w:cs="Google Sans"/>
          <w:color w:val="1F1F1F"/>
          <w:lang w:val="en-US"/>
        </w:rPr>
        <w:t>Everyday</w:t>
      </w:r>
      <w:proofErr w:type="spellEnd"/>
      <w:r w:rsidRPr="006E5BD5">
        <w:rPr>
          <w:rFonts w:ascii="Google Sans" w:eastAsia="Google Sans" w:hAnsi="Google Sans" w:cs="Google Sans"/>
          <w:color w:val="1F1F1F"/>
          <w:lang w:val="en-US"/>
        </w:rPr>
        <w:t>, Student) without establishing arbitrary visual hierarchies. |</w:t>
      </w:r>
    </w:p>
    <w:p w:rsid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R10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| City Ranking 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Ranked Vertical Bar Chart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| KPI-01 | </w:t>
      </w: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Ordered Bars (No Map):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Avoids map-reading pitfalls while enabling direct volume ranking across the 8 major cities. </w:t>
      </w:r>
      <w:r>
        <w:rPr>
          <w:rFonts w:ascii="Google Sans" w:eastAsia="Google Sans" w:hAnsi="Google Sans" w:cs="Google Sans"/>
          <w:color w:val="1F1F1F"/>
        </w:rPr>
        <w:t>|</w:t>
      </w:r>
    </w:p>
    <w:p w:rsidR="007F0AD3" w:rsidRDefault="007F0AD3" w:rsidP="007F0AD3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PAGE 2: Channel &amp; Operations (</w:t>
      </w:r>
      <w:proofErr w:type="spellStart"/>
      <w:r>
        <w:rPr>
          <w:rFonts w:ascii="Google Sans" w:eastAsia="Google Sans" w:hAnsi="Google Sans" w:cs="Google Sans"/>
          <w:color w:val="1F1F1F"/>
        </w:rPr>
        <w:t>Technical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Performance &amp; </w:t>
      </w:r>
      <w:proofErr w:type="spellStart"/>
      <w:r>
        <w:rPr>
          <w:rFonts w:ascii="Google Sans" w:eastAsia="Google Sans" w:hAnsi="Google Sans" w:cs="Google Sans"/>
          <w:color w:val="1F1F1F"/>
        </w:rPr>
        <w:t>Canals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:rsidR="007F0AD3" w:rsidRPr="006E5BD5" w:rsidRDefault="007F0AD3" w:rsidP="007F0AD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Target Audience: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Operations Leadership, Head of Digital Adoption.</w:t>
      </w:r>
    </w:p>
    <w:p w:rsidR="007F0AD3" w:rsidRPr="006E5BD5" w:rsidRDefault="007F0AD3" w:rsidP="007F0AD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n-US"/>
        </w:rPr>
      </w:pPr>
      <w:r w:rsidRPr="006E5BD5">
        <w:rPr>
          <w:rFonts w:ascii="Google Sans" w:eastAsia="Google Sans" w:hAnsi="Google Sans" w:cs="Google Sans"/>
          <w:b/>
          <w:bCs/>
          <w:color w:val="1F1F1F"/>
          <w:lang w:val="en-US"/>
        </w:rPr>
        <w:t>Core Objective:</w:t>
      </w:r>
      <w:r w:rsidRPr="006E5BD5">
        <w:rPr>
          <w:rFonts w:ascii="Google Sans" w:eastAsia="Google Sans" w:hAnsi="Google Sans" w:cs="Google Sans"/>
          <w:color w:val="1F1F1F"/>
          <w:lang w:val="en-US"/>
        </w:rPr>
        <w:t xml:space="preserve"> Locate the ₦40.5M in uncompleted volume (Failed + Reversed) and isolate infrastructure bottlenecks.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Region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Component Name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Chart / Visualizer Type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Associated KPI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Chart Selection Justification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R11 to R14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Operational Metric Cards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KPI Cards with Alert Color Coding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KPI-05, 06, 07, 14 | Highlighting the 9.53% combined failure rate and ₦40.5M uncompleted value directs immediate operational focus.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R15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Status Breakdown by Channel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100% Stacked Bar Chart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KPI-05, KPI-06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100% Stacked Bars: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Compares relative status proportions (Successful, Failed, Reversed, Pending) within each channel, independent of total volume differences.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R16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Failure Rate vs. Volume by Channel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Scatter Plot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KPI-01, KPI-06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Scatter Plot: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Crosses 3 dimensions (X-axis = Transaction Count, Y-axis = Failure Rate %, Bubble Size = NGN Volume) to visually isolate high-impact, high-risk channels.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lastRenderedPageBreak/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R17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Volume by Device Type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Simple Bar Chart (Count Only)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KPI-02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Simple Bars with "Unknown" Category (96):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Delivers a strictly descriptive view without over-extrapolating network performance.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R18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Channel × Type Failure Matrix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Heatmap Matrix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KPI-06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Heatmap Matrix: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Shaded color gradients instantly pull focus toward critical failure intersections (e.g., USSD × Transfer).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R19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Digital Share Trend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Stacked Area Chart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KPI-14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Stacked Area Chart with Target Line (70%):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Tracks changing digital channel composition over time against strategic targets. |</w:t>
      </w:r>
    </w:p>
    <w:p w:rsid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R20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Stated vs. Revealed Channel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Paired / Grouped Bar Chart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KPI-14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Paired Bars: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Juxtaposes declared channel preference (Preferred_Channel) against actual execution channel to pinpoint customer friction points. </w:t>
      </w:r>
      <w:r>
        <w:rPr>
          <w:rFonts w:ascii="Google Sans" w:eastAsia="Google Sans" w:hAnsi="Google Sans" w:cs="Google Sans"/>
          <w:color w:val="1F1F1F"/>
        </w:rPr>
        <w:t>|</w:t>
      </w:r>
    </w:p>
    <w:p w:rsidR="007F0AD3" w:rsidRDefault="007F0AD3" w:rsidP="007F0AD3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PAGE 3: Risk Monitoring &amp; Compliance (Security &amp; Risk Mitigation)</w:t>
      </w:r>
    </w:p>
    <w:p w:rsidR="007F0AD3" w:rsidRPr="007F0AD3" w:rsidRDefault="007F0AD3" w:rsidP="007F0AD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Target Audience: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Head of Risk &amp; Compliance, AML/CFT Operational Teams.</w:t>
      </w:r>
    </w:p>
    <w:p w:rsidR="007F0AD3" w:rsidRPr="007F0AD3" w:rsidRDefault="007F0AD3" w:rsidP="007F0AD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n-US"/>
        </w:rPr>
      </w:pP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Core Objective: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Analyze risk review queue concentrations to re-align rule thresholds against the 19.60% book-wide baseline.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Region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Component Name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Chart / Visualizer Type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Associated KPI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Chart Selection Justification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Banner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Standing Ethics Banner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Fixed Alert Text Container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N/A | Mandatory methodological reminder stating that Risk_Review_Flag is an educational queue marker, not a fraud confirmation.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R21 to R24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Risk Metrics Summary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Alert KPI Cards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KPI-08 to KPI-11 | Color-coded focus on Review Rate (19.60%), Volume under Review (₦161.8M), International Share (4.00%), and Queue Count (2,352).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R25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International vs. Domestic Risk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Comparative Bars with Baseline Line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KPI-11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Comparative Bars: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Direct comparison of international risk rate (36.88%) against domestic risk rate (18.88%) against book baseline (19.60%).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R26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Risk Rate by Amount Decile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Decile Bar Chart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KPI-12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Decile Bars: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Visually demonstrates the progression of risk rates as transaction amounts increase (reaching 36.00% in top decile).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R27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Hourly Risk Distribution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Hourly Bar Chart with Shading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KPI-13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24-Hour Bar Chart with Off-Hours Shading: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Highlights risk concentration during off-peak/overnight hours (28.37%).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R28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Detailed Review Queue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Interactive Detail Table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KPI-08, 09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Structured Table: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Essential for operational investigation (displaying IDs, Timestamps, Amounts, Locations, and Statuses). |</w:t>
      </w:r>
    </w:p>
    <w:p w:rsid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R29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Queue Composition by Channel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Horizontal Bar vs. Baseline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KPI-08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Horizontal Bars: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Displays channel contribution to the review queue relative to the overall bank average. </w:t>
      </w:r>
      <w:r>
        <w:rPr>
          <w:rFonts w:ascii="Google Sans" w:eastAsia="Google Sans" w:hAnsi="Google Sans" w:cs="Google Sans"/>
          <w:color w:val="1F1F1F"/>
        </w:rPr>
        <w:t>|</w:t>
      </w:r>
    </w:p>
    <w:p w:rsidR="007F0AD3" w:rsidRDefault="007F0AD3" w:rsidP="007F0AD3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PAGE 4: Customer 360 (Customer Profile &amp; Engagement)</w:t>
      </w:r>
    </w:p>
    <w:p w:rsidR="007F0AD3" w:rsidRPr="007F0AD3" w:rsidRDefault="007F0AD3" w:rsidP="007F0AD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Target Audience: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Head of Customer Analytics, Segment &amp; Branch Managers.</w:t>
      </w:r>
    </w:p>
    <w:p w:rsidR="007F0AD3" w:rsidRPr="007F0AD3" w:rsidRDefault="007F0AD3" w:rsidP="007F0AD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n-US"/>
        </w:rPr>
      </w:pP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Core Objective: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Profile the customer base descriptively without imposing discriminatory value </w:t>
      </w:r>
      <w:r w:rsidRPr="007F0AD3">
        <w:rPr>
          <w:rFonts w:ascii="Google Sans" w:eastAsia="Google Sans" w:hAnsi="Google Sans" w:cs="Google Sans"/>
          <w:color w:val="1F1F1F"/>
          <w:lang w:val="en-US"/>
        </w:rPr>
        <w:lastRenderedPageBreak/>
        <w:t>hierarchies across segments.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Region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Component Name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Chart / Visualizer Type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Associated KPI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Chart Selection Justification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R30 to R33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Per-Customer Average Metrics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Customer Metric Cards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KPI-15 to KPI-18 | Displays Average Tx per Customer (8.03), Average Volume per Customer (₦373,652), Active Rate (91.13%), and Engagement Score (67.95/100).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R34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Customer Base Structure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Segment × Account Type Matrix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KPI-18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Count Matrix: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Displays exact customer headcounts broken down by segment (Premium, SME, Student) and account type (Savings, Current).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R35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Account Status by Segment &amp; City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Stacked Bar Chart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KPI-18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Stacked Bars: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Analyzes proportions of Active, Dormant, and Restricted accounts across geographic zones.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R36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Engagement Score vs. Activity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1,500-Point Scatter Plot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KPI-15, KPI-16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1,500-Customer Scatter Plot: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Visualizes correlation between Digital_Engagement_Score (X-axis) and actual transaction volume (Y-axis) to validate scoring models.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R37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Volume by Income Band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Economic Order Bar Chart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KPI-17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Logically Ordered Bars: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Displays income bands (Below 100k to 1m+) in natural economic order for business consistency.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R38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Tenure Distribution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8-Band Distribution Histogram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KPI-20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Histogram in 12-Month Bands: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Illustrates customer retention curves from 1 to 96 months of relationship tenure. |</w:t>
      </w:r>
    </w:p>
    <w:p w:rsidR="007F0AD3" w:rsidRPr="007F0AD3" w:rsidRDefault="007F0AD3" w:rsidP="007F0AD3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>3. Technical KPI &amp; Visualizer Traceability Matrix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KPI Code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KPI Label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Dashboard Page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Region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Selected Visualizer Type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KPI-01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Total Transaction Value (₦) | Page 1, Page 2 | R01, R06, R07, R08, R09, R10, R16 | KPI Card, Line Chart, Bar Chart, Scatter Plot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KPI-02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Transaction Volume (Count) | Page 1, Page 2 | R02, R08, R17 | KPI Card, Combo Chart, Bar Chart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KPI-04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Median &amp; Mean Ticket Size | Page 1 | R03 | Dual KPI Card (Mean / Median)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KPI-05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Transaction Success Rate (%) | Page 1, Page 2 | R04, R11, R15 | KPI Card, 100% Stacked Bar Chart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KPI-06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Transaction Failure Rate (%) | Page 2 | R12, R15, R16, R18 | KPI Card, Scatter Plot, Heatmap Matrix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KPI-07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Value Not Completed (₦) | Page 2 | R13 | KPI Card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KPI-08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Risk Review Rate (%) | Page 3 | R21, R24, R28, R29 | KPI Card, Detail Table, Bar Chart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KPI-09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Value Under Review (₦) | Page 3 | R22, R28 | KPI Card, Detail Table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KPI-10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International Risk Share (%) | Page 3 | R23, R25 | KPI Card, Paired Bar Chart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lastRenderedPageBreak/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KPI-12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Risk Rate by Amount Decile | Page 3 | R26 | Decile Bar Chart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KPI-13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Off-Hours Risk Rate | Page 3 | R27 | Hourly Bar Chart with Shading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KPI-14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Digital Channel Share (%) | Page 1, Page 2 | R05, R14, R19 | KPI Card, Stacked Area Chart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KPI-15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Digital Engagement Score | Page 4 | R33, R36 | KPI Card, Scatter Plot (1,500 points)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KPI-17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Value per Customer | Page 4 | R31, R37 | KPI Card, Ordered Bar Chart |</w:t>
      </w:r>
    </w:p>
    <w:p w:rsidR="007F0AD3" w:rsidRP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  <w:lang w:val="en-US"/>
        </w:rPr>
      </w:pP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| </w:t>
      </w:r>
      <w:r w:rsidRPr="007F0AD3">
        <w:rPr>
          <w:rFonts w:ascii="Google Sans" w:eastAsia="Google Sans" w:hAnsi="Google Sans" w:cs="Google Sans"/>
          <w:b/>
          <w:bCs/>
          <w:color w:val="1F1F1F"/>
          <w:lang w:val="en-US"/>
        </w:rPr>
        <w:t>KPI-18</w:t>
      </w:r>
      <w:r w:rsidRPr="007F0AD3">
        <w:rPr>
          <w:rFonts w:ascii="Google Sans" w:eastAsia="Google Sans" w:hAnsi="Google Sans" w:cs="Google Sans"/>
          <w:color w:val="1F1F1F"/>
          <w:lang w:val="en-US"/>
        </w:rPr>
        <w:t xml:space="preserve"> | Active Account Rate (%) | Page 4 | R32, R34, R35 | KPI Card, Matrix, Stacked Bar Chart |</w:t>
      </w:r>
    </w:p>
    <w:p w:rsidR="007F0AD3" w:rsidRDefault="007F0AD3" w:rsidP="007F0AD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| </w:t>
      </w:r>
      <w:r>
        <w:rPr>
          <w:rFonts w:ascii="Google Sans" w:eastAsia="Google Sans" w:hAnsi="Google Sans" w:cs="Google Sans"/>
          <w:b/>
          <w:bCs/>
          <w:color w:val="1F1F1F"/>
        </w:rPr>
        <w:t>KPI-20</w:t>
      </w:r>
      <w:r>
        <w:rPr>
          <w:rFonts w:ascii="Google Sans" w:eastAsia="Google Sans" w:hAnsi="Google Sans" w:cs="Google Sans"/>
          <w:color w:val="1F1F1F"/>
        </w:rPr>
        <w:t xml:space="preserve"> | Tenure Distribution | Page 4 | R38 | Distribution </w:t>
      </w:r>
      <w:proofErr w:type="spellStart"/>
      <w:r>
        <w:rPr>
          <w:rFonts w:ascii="Google Sans" w:eastAsia="Google Sans" w:hAnsi="Google Sans" w:cs="Google Sans"/>
          <w:color w:val="1F1F1F"/>
        </w:rPr>
        <w:t>Histogram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(8 Bands) |</w:t>
      </w:r>
    </w:p>
    <w:p w:rsidR="008D5A12" w:rsidRDefault="008D5A12">
      <w:bookmarkStart w:id="0" w:name="_GoBack"/>
      <w:bookmarkEnd w:id="0"/>
    </w:p>
    <w:sectPr w:rsidR="008D5A1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45444"/>
    <w:multiLevelType w:val="multilevel"/>
    <w:tmpl w:val="D812D6E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0C81F55"/>
    <w:multiLevelType w:val="multilevel"/>
    <w:tmpl w:val="6862DCA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7254DC1"/>
    <w:multiLevelType w:val="multilevel"/>
    <w:tmpl w:val="3D74F9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0AA0AFA"/>
    <w:multiLevelType w:val="multilevel"/>
    <w:tmpl w:val="7AE88A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2B715B2"/>
    <w:multiLevelType w:val="multilevel"/>
    <w:tmpl w:val="147AD6E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A521638"/>
    <w:multiLevelType w:val="multilevel"/>
    <w:tmpl w:val="47AE33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AD41E98"/>
    <w:multiLevelType w:val="multilevel"/>
    <w:tmpl w:val="E7AA29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B81"/>
    <w:rsid w:val="00032B81"/>
    <w:rsid w:val="007F0AD3"/>
    <w:rsid w:val="008D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7FABC6-712F-4309-8979-2BEB62F65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F0AD3"/>
    <w:pPr>
      <w:widowControl w:val="0"/>
      <w:spacing w:after="0" w:line="240" w:lineRule="auto"/>
    </w:pPr>
    <w:rPr>
      <w:rFonts w:ascii="Arial" w:eastAsia="Arial" w:hAnsi="Arial" w:cs="Arial"/>
      <w:lang w:val="fr-FR" w:eastAsia="fr-FR"/>
    </w:rPr>
  </w:style>
  <w:style w:type="paragraph" w:styleId="Titre1">
    <w:name w:val="heading 1"/>
    <w:basedOn w:val="Normal"/>
    <w:next w:val="Normal"/>
    <w:link w:val="Titre1Car"/>
    <w:rsid w:val="007F0AD3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link w:val="Titre2Car"/>
    <w:rsid w:val="007F0AD3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rsid w:val="007F0AD3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7F0AD3"/>
    <w:rPr>
      <w:rFonts w:ascii="Arial" w:eastAsia="Arial" w:hAnsi="Arial" w:cs="Arial"/>
      <w:b/>
      <w:bCs/>
      <w:sz w:val="48"/>
      <w:szCs w:val="48"/>
      <w:lang w:val="fr-FR" w:eastAsia="fr-FR"/>
    </w:rPr>
  </w:style>
  <w:style w:type="character" w:customStyle="1" w:styleId="Titre2Car">
    <w:name w:val="Titre 2 Car"/>
    <w:basedOn w:val="Policepardfaut"/>
    <w:link w:val="Titre2"/>
    <w:rsid w:val="007F0AD3"/>
    <w:rPr>
      <w:rFonts w:ascii="Arial" w:eastAsia="Arial" w:hAnsi="Arial" w:cs="Arial"/>
      <w:b/>
      <w:bCs/>
      <w:sz w:val="36"/>
      <w:szCs w:val="36"/>
      <w:lang w:val="fr-FR" w:eastAsia="fr-FR"/>
    </w:rPr>
  </w:style>
  <w:style w:type="character" w:customStyle="1" w:styleId="Titre3Car">
    <w:name w:val="Titre 3 Car"/>
    <w:basedOn w:val="Policepardfaut"/>
    <w:link w:val="Titre3"/>
    <w:rsid w:val="007F0AD3"/>
    <w:rPr>
      <w:rFonts w:ascii="Arial" w:eastAsia="Arial" w:hAnsi="Arial" w:cs="Arial"/>
      <w:b/>
      <w:bCs/>
      <w:sz w:val="28"/>
      <w:szCs w:val="28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1617</Words>
  <Characters>8897</Characters>
  <Application>Microsoft Office Word</Application>
  <DocSecurity>0</DocSecurity>
  <Lines>74</Lines>
  <Paragraphs>20</Paragraphs>
  <ScaleCrop>false</ScaleCrop>
  <Company/>
  <LinksUpToDate>false</LinksUpToDate>
  <CharactersWithSpaces>10494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2026-09-19T21:12:00Z</dcterms:created>
  <dcterms:modified xsi:type="dcterms:W3CDTF">2026-09-19T21:12:00Z</dcterms:modified>
</cp:coreProperties>
</file>