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2B3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4A98128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Updated Business Summary Report</w:t>
      </w:r>
    </w:p>
    <w:p w14:paraId="2C319F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Summary of Predictive Insights</w:t>
      </w:r>
    </w:p>
    <w:p w14:paraId="22DCE7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Based on the logistic regression model analyzing customer financial behavior, the following key insights were identified for the Collections team:</w:t>
      </w:r>
    </w:p>
    <w:p w14:paraId="31C9A58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Top Predictors of Delinquency: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The most influential variables in predicting delinquency are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Missed_Payments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Credit_Utilization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Debt_to_Income_Ratio</w:t>
      </w:r>
      <w:r>
        <w:rPr>
          <w:rFonts w:hint="default" w:ascii="Times New Roman" w:hAnsi="Times New Roman" w:cs="Times New Roman"/>
          <w:sz w:val="24"/>
          <w:szCs w:val="24"/>
        </w:rPr>
        <w:t>. Customers with high credit utilization (&gt;70%) and a history of missed payments are significantly more likely to become delinquent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4E08B0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High-Risk Segments:</w:t>
      </w:r>
      <w:r>
        <w:rPr>
          <w:rFonts w:hint="default" w:ascii="Times New Roman" w:hAnsi="Times New Roman" w:cs="Times New Roman"/>
          <w:sz w:val="24"/>
          <w:szCs w:val="24"/>
        </w:rPr>
        <w:t xml:space="preserve"> Customers who are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Unemployed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Self-employed</w:t>
      </w:r>
      <w:r>
        <w:rPr>
          <w:rFonts w:hint="default" w:ascii="Times New Roman" w:hAnsi="Times New Roman" w:cs="Times New Roman"/>
          <w:sz w:val="24"/>
          <w:szCs w:val="24"/>
        </w:rPr>
        <w:t xml:space="preserve"> with low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Account_Tenure</w:t>
      </w:r>
      <w:r>
        <w:rPr>
          <w:rFonts w:hint="default" w:ascii="Times New Roman" w:hAnsi="Times New Roman" w:cs="Times New Roman"/>
          <w:sz w:val="24"/>
          <w:szCs w:val="24"/>
        </w:rPr>
        <w:t xml:space="preserve"> (less than 6 months) show the highest delinquency rates. Additionally, customers with more than 3 missed payments in the last 6 months (from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Month_1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Month_6</w:t>
      </w:r>
      <w:r>
        <w:rPr>
          <w:rFonts w:hint="default" w:ascii="Times New Roman" w:hAnsi="Times New Roman" w:cs="Times New Roman"/>
          <w:sz w:val="24"/>
          <w:szCs w:val="24"/>
        </w:rPr>
        <w:t>) are at critical risk.</w:t>
      </w:r>
    </w:p>
    <w:p w14:paraId="219296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Income is not the strongest predictor:</w:t>
      </w:r>
      <w:r>
        <w:rPr>
          <w:rFonts w:hint="default" w:ascii="Times New Roman" w:hAnsi="Times New Roman" w:cs="Times New Roman"/>
          <w:sz w:val="24"/>
          <w:szCs w:val="24"/>
        </w:rPr>
        <w:t xml:space="preserve"> Interestingly, high-income customers can still become delinquent if their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Debt_to_Income_Ratio</w:t>
      </w:r>
      <w:r>
        <w:rPr>
          <w:rFonts w:hint="default" w:ascii="Times New Roman" w:hAnsi="Times New Roman" w:cs="Times New Roman"/>
          <w:sz w:val="24"/>
          <w:szCs w:val="24"/>
        </w:rPr>
        <w:t xml:space="preserve"> exceeds 0.4. This suggests that debt burden matters more than income alone.</w:t>
      </w:r>
    </w:p>
    <w:p w14:paraId="3E1A15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Insights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1827"/>
        <w:gridCol w:w="2642"/>
        <w:gridCol w:w="2165"/>
      </w:tblGrid>
      <w:tr w14:paraId="61A41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E744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Insight</w:t>
            </w:r>
          </w:p>
        </w:tc>
        <w:tc>
          <w:tcPr>
            <w:tcW w:w="0" w:type="auto"/>
            <w:shd w:val="clear"/>
            <w:vAlign w:val="center"/>
          </w:tcPr>
          <w:p w14:paraId="46B117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Segment</w:t>
            </w:r>
          </w:p>
        </w:tc>
        <w:tc>
          <w:tcPr>
            <w:tcW w:w="0" w:type="auto"/>
            <w:shd w:val="clear"/>
            <w:vAlign w:val="center"/>
          </w:tcPr>
          <w:p w14:paraId="62BEA9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Influencing Variables</w:t>
            </w:r>
          </w:p>
        </w:tc>
        <w:tc>
          <w:tcPr>
            <w:tcW w:w="0" w:type="auto"/>
            <w:shd w:val="clear"/>
            <w:vAlign w:val="center"/>
          </w:tcPr>
          <w:p w14:paraId="0B6DF8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Potential Impact</w:t>
            </w:r>
          </w:p>
        </w:tc>
      </w:tr>
      <w:tr w14:paraId="21E8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BB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credit utilization drives risk</w:t>
            </w:r>
          </w:p>
        </w:tc>
        <w:tc>
          <w:tcPr>
            <w:tcW w:w="0" w:type="auto"/>
            <w:shd w:val="clear"/>
            <w:vAlign w:val="center"/>
          </w:tcPr>
          <w:p w14:paraId="51362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 with &gt;70% credit utilization</w:t>
            </w:r>
          </w:p>
        </w:tc>
        <w:tc>
          <w:tcPr>
            <w:tcW w:w="0" w:type="auto"/>
            <w:shd w:val="clear"/>
            <w:vAlign w:val="center"/>
          </w:tcPr>
          <w:p w14:paraId="68743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Credit_Utilization, Credit_Score</w:t>
            </w:r>
          </w:p>
        </w:tc>
        <w:tc>
          <w:tcPr>
            <w:tcW w:w="0" w:type="auto"/>
            <w:shd w:val="clear"/>
            <w:vAlign w:val="center"/>
          </w:tcPr>
          <w:p w14:paraId="32B87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Proactively offer credit limit increases or payment plans</w:t>
            </w:r>
          </w:p>
        </w:tc>
      </w:tr>
      <w:tr w14:paraId="78FD3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06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Missed payments predict future delinquency</w:t>
            </w:r>
          </w:p>
        </w:tc>
        <w:tc>
          <w:tcPr>
            <w:tcW w:w="0" w:type="auto"/>
            <w:shd w:val="clear"/>
            <w:vAlign w:val="center"/>
          </w:tcPr>
          <w:p w14:paraId="661DF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 with 3+ missed payments in 6 months</w:t>
            </w:r>
          </w:p>
        </w:tc>
        <w:tc>
          <w:tcPr>
            <w:tcW w:w="0" w:type="auto"/>
            <w:shd w:val="clear"/>
            <w:vAlign w:val="center"/>
          </w:tcPr>
          <w:p w14:paraId="3F3CF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Missed_Payments, Month_1 to Month_6</w:t>
            </w:r>
          </w:p>
        </w:tc>
        <w:tc>
          <w:tcPr>
            <w:tcW w:w="0" w:type="auto"/>
            <w:shd w:val="clear"/>
            <w:vAlign w:val="center"/>
          </w:tcPr>
          <w:p w14:paraId="6F73C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Early intervention via SMS or call before account becomes delinquent</w:t>
            </w:r>
          </w:p>
        </w:tc>
      </w:tr>
      <w:tr w14:paraId="11422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22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Debt-to-income ratio &gt;0.4 is a red flag</w:t>
            </w:r>
          </w:p>
        </w:tc>
        <w:tc>
          <w:tcPr>
            <w:tcW w:w="0" w:type="auto"/>
            <w:shd w:val="clear"/>
            <w:vAlign w:val="center"/>
          </w:tcPr>
          <w:p w14:paraId="1A5AB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Employed and self-employed customers with high debt</w:t>
            </w:r>
          </w:p>
        </w:tc>
        <w:tc>
          <w:tcPr>
            <w:tcW w:w="0" w:type="auto"/>
            <w:shd w:val="clear"/>
            <w:vAlign w:val="center"/>
          </w:tcPr>
          <w:p w14:paraId="7DFCA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Debt_to_Income_Ratio, Loan_Balance</w:t>
            </w:r>
          </w:p>
        </w:tc>
        <w:tc>
          <w:tcPr>
            <w:tcW w:w="0" w:type="auto"/>
            <w:shd w:val="clear"/>
            <w:vAlign w:val="center"/>
          </w:tcPr>
          <w:p w14:paraId="62656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Restructure loans or offer financial counseling</w:t>
            </w:r>
          </w:p>
        </w:tc>
      </w:tr>
    </w:tbl>
    <w:p w14:paraId="2220B1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87E24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Recommendation Framework</w:t>
      </w:r>
    </w:p>
    <w:p w14:paraId="3B60CE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Restated Insight: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Customers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3 or more missed payments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last 6 months are highly likely to become delinquent within the next billing cycle.</w:t>
      </w:r>
    </w:p>
    <w:p w14:paraId="6E920CC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Proposed Recommendation: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Launch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proactive early intervention outreach program</w:t>
      </w:r>
      <w:r>
        <w:rPr>
          <w:rFonts w:hint="default" w:ascii="Times New Roman" w:hAnsi="Times New Roman" w:cs="Times New Roman"/>
          <w:sz w:val="24"/>
          <w:szCs w:val="24"/>
        </w:rPr>
        <w:t xml:space="preserve"> targeting customers who miss 2 or more payments within a 90-day window.</w:t>
      </w:r>
    </w:p>
    <w:p w14:paraId="502100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429E1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SMART Breakdown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6"/>
        <w:gridCol w:w="7170"/>
      </w:tblGrid>
      <w:tr w14:paraId="667B0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8ABD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/>
            <w:vAlign w:val="center"/>
          </w:tcPr>
          <w:p w14:paraId="4DCEA3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4762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5C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Specific</w:t>
            </w:r>
          </w:p>
        </w:tc>
        <w:tc>
          <w:tcPr>
            <w:tcW w:w="0" w:type="auto"/>
            <w:shd w:val="clear"/>
            <w:vAlign w:val="center"/>
          </w:tcPr>
          <w:p w14:paraId="359A5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customers via SMS and email after their 2nd missed payment in a 90-day period. Offer a 15-day payment extension or a small fee waiver.</w:t>
            </w:r>
          </w:p>
        </w:tc>
      </w:tr>
      <w:tr w14:paraId="64C6D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73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Measurable</w:t>
            </w:r>
          </w:p>
        </w:tc>
        <w:tc>
          <w:tcPr>
            <w:tcW w:w="0" w:type="auto"/>
            <w:shd w:val="clear"/>
            <w:vAlign w:val="center"/>
          </w:tcPr>
          <w:p w14:paraId="390A7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Track reduction in delinquency rate among contacted customers vs. a control group. Target: 20% reduction in 90-day delinquency.</w:t>
            </w:r>
          </w:p>
        </w:tc>
      </w:tr>
      <w:tr w14:paraId="45ACE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11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Actionable</w:t>
            </w:r>
          </w:p>
        </w:tc>
        <w:tc>
          <w:tcPr>
            <w:tcW w:w="0" w:type="auto"/>
            <w:shd w:val="clear"/>
            <w:vAlign w:val="center"/>
          </w:tcPr>
          <w:p w14:paraId="77CCF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Collections team uses automated alerts from the predictive model to trigger outreach. Customers receive a link to request payment assistance.</w:t>
            </w:r>
          </w:p>
        </w:tc>
      </w:tr>
      <w:tr w14:paraId="6C360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C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Relevant</w:t>
            </w:r>
          </w:p>
        </w:tc>
        <w:tc>
          <w:tcPr>
            <w:tcW w:w="0" w:type="auto"/>
            <w:shd w:val="clear"/>
            <w:vAlign w:val="center"/>
          </w:tcPr>
          <w:p w14:paraId="0E1BF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Directly addresses the model's finding that missed payments are the strongest delinquency predictor.</w:t>
            </w:r>
          </w:p>
        </w:tc>
      </w:tr>
      <w:tr w14:paraId="46446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2E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Time-bound</w:t>
            </w:r>
          </w:p>
        </w:tc>
        <w:tc>
          <w:tcPr>
            <w:tcW w:w="0" w:type="auto"/>
            <w:shd w:val="clear"/>
            <w:vAlign w:val="center"/>
          </w:tcPr>
          <w:p w14:paraId="721A0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Pilot program runs for 90 days. Evaluate results within 30 days after pilot ends.</w:t>
            </w:r>
          </w:p>
        </w:tc>
      </w:tr>
    </w:tbl>
    <w:p w14:paraId="522D44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Justification and Business Rationale: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Intervening after the 2nd missed payment (instead of waiting for the 3rd or 4th) gives Geldium a window to retain the customer before they become officially delinquent. This reduces write-offs, preserves customer relationships, and lowers collections costs. The model shows that customers rarely recover after 3 missed payments, so action must come earlier.</w:t>
      </w:r>
    </w:p>
    <w:p w14:paraId="5B8F516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04B98D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Ethical and Responsible AI Considerations</w:t>
      </w:r>
    </w:p>
    <w:p w14:paraId="5D734B8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Potential for Bias: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model may unfairly flag customers based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Employment_Status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self-employed customers might be systematically rated higher risk). This could lead to unequal access to payment assistance.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Mitigation: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Regularly audit model predictions across employment and location groups.</w:t>
      </w:r>
    </w:p>
    <w:p w14:paraId="46A38E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Explainability: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Logistic regression is highly transparent. Each customer's risk score can be explained using the coefficient values (e.g., "Your missed payments increased your risk score by X points"). This supports fair customer communication.</w:t>
      </w:r>
    </w:p>
    <w:p w14:paraId="69DCBB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Responsible Financial Decision-Making: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recommendation focuses on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customer support</w:t>
      </w:r>
      <w:r>
        <w:rPr>
          <w:rFonts w:hint="default" w:ascii="Times New Roman" w:hAnsi="Times New Roman" w:cs="Times New Roman"/>
          <w:sz w:val="24"/>
          <w:szCs w:val="24"/>
        </w:rPr>
        <w:t xml:space="preserve"> (payment extensions, counseling) rather than punitive actions like immediate collections or account closure. This aligns with responsible lending practices.</w:t>
      </w:r>
    </w:p>
    <w:p w14:paraId="185F2AA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Data Privacy: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Customer payment data is sensitive. Ensure model outputs are only accessible to authorized Collections team members. Do not share individual risk scores externally without customer consent.</w:t>
      </w:r>
    </w:p>
    <w:p w14:paraId="6FC3DB8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2E99A1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Transparency &amp; Accountability: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Customers should be informed if a model is used to flag their account. Provide a clear appeals process for customers who believe they were mis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s-</w:t>
      </w:r>
      <w:r>
        <w:rPr>
          <w:rFonts w:hint="default" w:ascii="Times New Roman" w:hAnsi="Times New Roman" w:cs="Times New Roman"/>
          <w:sz w:val="24"/>
          <w:szCs w:val="24"/>
        </w:rPr>
        <w:t>classified.</w:t>
      </w:r>
      <w:bookmarkStart w:id="0" w:name="_GoBack"/>
      <w:bookmarkEnd w:id="0"/>
    </w:p>
    <w:p w14:paraId="21F20DD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363F43"/>
    <w:multiLevelType w:val="singleLevel"/>
    <w:tmpl w:val="72363F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61BBC"/>
    <w:rsid w:val="1E8E1814"/>
    <w:rsid w:val="3CD61BBC"/>
    <w:rsid w:val="6AB9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2026-04-09T16:30:00Z</dcterms:created>
  <dc:creator>WPS_1762876839</dc:creator>
  <cp:lastModifiedBy>WPS_1762876839</cp:lastModifiedBy>
  <dcterms:modified xsi:type="dcterms:W3CDTF">2026-04-09T16:37:51Z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A3A90F5B55234B1F96C7FAA1E70003E0_11</vt:lpwstr>
  </property>
</Properties>
</file>