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DB2841"/>
          <w:sz w:val="44"/>
          <w:szCs w:val="44"/>
        </w:rPr>
        <w:t xml:space="preserve">PERFUSION MOBILE APPLICATION</w:t>
      </w:r>
    </w:p>
    <w:p>
      <w:pPr>
        <w:spacing w:after="300"/>
      </w:pPr>
      <w:r>
        <w:rPr>
          <w:color w:val="2A2A2A"/>
          <w:sz w:val="26"/>
          <w:szCs w:val="26"/>
        </w:rPr>
        <w:t xml:space="preserve">Care Provider + Care Seeker — Reconciled Build Specification</w:t>
      </w:r>
    </w:p>
    <w:p>
      <w:pPr>
        <w:spacing w:after="120"/>
      </w:pPr>
      <w:r>
        <w:rPr>
          <w:b w:val="false"/>
          <w:bCs w:val="false"/>
          <w:i/>
          <w:iCs/>
          <w:color w:val="7A7F8A"/>
        </w:rPr>
        <w:t xml:space="preserve">Document status: This is the authoritative specification. It supersedes the original wireframe document (Perfusion_Mobile_Provider_Seeker_User_Journey.docx) and the ChatGPT-generated screen draft wherever the two conflict with decisions made during the Claude design sessions. Non-conflicting boilerplate (Authentication, Terms, Help, base Security posture) is carried over from the original document unchanged.</w:t>
      </w:r>
    </w:p>
    <w:p>
      <w:pPr>
        <w:spacing w:after="200"/>
      </w:pPr>
    </w:p>
    <w:p>
      <w:pPr>
        <w:pStyle w:val="Heading1"/>
        <w:spacing w:after="200" w:before="400"/>
      </w:pPr>
      <w:r>
        <w:t xml:space="preserve">1. How to Use This Document</w:t>
      </w:r>
    </w:p>
    <w:p>
      <w:pPr>
        <w:spacing w:after="120"/>
      </w:pPr>
      <w:r>
        <w:rPr>
          <w:b w:val="false"/>
          <w:bCs w:val="false"/>
          <w:i w:val="false"/>
          <w:iCs w:val="false"/>
        </w:rPr>
        <w:t xml:space="preserve">Screens are split into two tiers. Do not treat every screen the same way — that is what made the prior draft unusable.</w:t>
      </w:r>
    </w:p>
    <w:p>
      <w:pPr>
        <w:pStyle w:val="Heading3"/>
        <w:spacing w:after="100" w:before="240"/>
      </w:pPr>
      <w:r>
        <w:rPr>
          <w:b/>
          <w:bCs/>
          <w:color w:val="2A2A2A"/>
        </w:rPr>
        <w:t xml:space="preserve">Tier 1 — Clinical/UX judgment required. Fully specified here.</w:t>
      </w:r>
    </w:p>
    <w:p>
      <w:pPr>
        <w:pStyle w:val="ListParagraph"/>
        <w:numPr>
          <w:ilvl w:val="0"/>
          <w:numId w:val="2"/>
        </w:numPr>
        <w:spacing w:after="60"/>
      </w:pPr>
      <w:r>
        <w:rPr>
          <w:b w:val="false"/>
          <w:bCs w:val="false"/>
        </w:rPr>
        <w:t xml:space="preserve">Provider Dashboard, Provider Case File (Chat + Vitals + Clinical Summary + Patient Profile + Clinical Advisory), Seeker Dashboard, Seeker Case File, the follow-up pause mechanism, the new-advisory unread badge — each has a live HTML reference file, a purpose statement, and a Locked Decisions list.</w:t>
      </w:r>
    </w:p>
    <w:p>
      <w:pPr>
        <w:pStyle w:val="ListParagraph"/>
        <w:numPr>
          <w:ilvl w:val="0"/>
          <w:numId w:val="2"/>
        </w:numPr>
        <w:spacing w:after="60"/>
      </w:pPr>
      <w:r>
        <w:rPr>
          <w:b w:val="false"/>
          <w:bCs w:val="false"/>
        </w:rPr>
        <w:t xml:space="preserve">A short list of Tier-1 screens are named in Section 9 but NOT yet designed (Live Call, Booking flow, Consultations/Search/Filters, Availability, Billing, Profile). Build these only after they receive the same design treatment — do not let an engineering agent improvise them from the Tier-2 pattern.</w:t>
      </w:r>
    </w:p>
    <w:p>
      <w:pPr>
        <w:pStyle w:val="Heading3"/>
        <w:spacing w:after="100" w:before="240"/>
      </w:pPr>
      <w:r>
        <w:rPr>
          <w:b/>
          <w:bCs/>
          <w:color w:val="2A2A2A"/>
        </w:rPr>
        <w:t xml:space="preserve">Tier 2 — Standard patterns. One line + pointer to source.</w:t>
      </w:r>
    </w:p>
    <w:p>
      <w:pPr>
        <w:pStyle w:val="ListParagraph"/>
        <w:numPr>
          <w:ilvl w:val="0"/>
          <w:numId w:val="2"/>
        </w:numPr>
        <w:spacing w:after="60"/>
      </w:pPr>
      <w:r>
        <w:rPr>
          <w:b w:val="false"/>
          <w:bCs w:val="false"/>
        </w:rPr>
        <w:t xml:space="preserve">Login, Signup, OTP, Terms &amp; Conditions, Change Password, Logout, Suspended Account, Help &amp; Support, Registration Documents, Portfolio. These follow well-known conventions; build from the original wireframe document's field lists (unaffected by anything in this document).</w:t>
      </w:r>
    </w:p>
    <w:p>
      <w:pPr>
        <w:spacing w:after="100"/>
      </w:pP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val="false"/>
                <w:bCs w:val="false"/>
                <w:color w:val="2A2A2A"/>
              </w:rPr>
              <w:t xml:space="preserve">For every Tier-1 screen below: the "Locked Decisions" list is not optional styling — it states constraints a coding agent will otherwise silently violate (e.g. reaching for ellipsis-truncation, or treating red as a generic accent color). Treat that list as acceptance criteria.</w:t>
            </w:r>
          </w:p>
        </w:tc>
      </w:tr>
    </w:tbl>
    <w:p>
      <w:r>
        <w:br w:type="page"/>
      </w:r>
    </w:p>
    <w:p>
      <w:pPr>
        <w:pStyle w:val="Heading1"/>
        <w:spacing w:after="200" w:before="400"/>
      </w:pPr>
      <w:r>
        <w:t xml:space="preserve">2. Rejected Alternatives — Do Not Resurrect These</w:t>
      </w:r>
    </w:p>
    <w:p>
      <w:pPr>
        <w:spacing w:after="120"/>
      </w:pPr>
      <w:r>
        <w:rPr>
          <w:b w:val="false"/>
          <w:bCs w:val="false"/>
          <w:i w:val="false"/>
          <w:iCs w:val="false"/>
        </w:rPr>
        <w:t xml:space="preserve">These were proposed at various points (by ChatGPT's draft or the original wireframe doc) and explicitly rejected. Listed so nobody re-introduces them from an old reference by accident.</w:t>
      </w:r>
    </w:p>
    <w:p>
      <w:pPr>
        <w:spacing w:after="100"/>
      </w:pP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500"/>
        <w:gridCol w:w="3200"/>
        <w:gridCol w:w="2900"/>
        <w:gridCol w:w="2750"/>
      </w:tblGrid>
      <w:tr>
        <w:trPr>
          <w:tblHeader/>
        </w:trPr>
        <w:tc>
          <w:tcPr>
            <w:tcW w:type="dxa" w:w="500"/>
            <w:shd w:fill="2A2A2A" w:val="clear"/>
            <w:tcMar>
              <w:top w:type="dxa" w:w="100"/>
              <w:left w:type="dxa" w:w="120"/>
              <w:bottom w:type="dxa" w:w="100"/>
              <w:right w:type="dxa" w:w="120"/>
            </w:tcMar>
          </w:tcPr>
          <w:p>
            <w:r>
              <w:rPr>
                <w:b/>
                <w:bCs/>
                <w:color w:val="FFFFFF"/>
                <w:sz w:val="18"/>
                <w:szCs w:val="18"/>
              </w:rPr>
              <w:t xml:space="preserve">#</w:t>
            </w:r>
          </w:p>
        </w:tc>
        <w:tc>
          <w:tcPr>
            <w:tcW w:type="dxa" w:w="3200"/>
            <w:shd w:fill="2A2A2A" w:val="clear"/>
            <w:tcMar>
              <w:top w:type="dxa" w:w="100"/>
              <w:left w:type="dxa" w:w="120"/>
              <w:bottom w:type="dxa" w:w="100"/>
              <w:right w:type="dxa" w:w="120"/>
            </w:tcMar>
          </w:tcPr>
          <w:p>
            <w:r>
              <w:rPr>
                <w:b/>
                <w:bCs/>
                <w:color w:val="FFFFFF"/>
                <w:sz w:val="18"/>
                <w:szCs w:val="18"/>
              </w:rPr>
              <w:t xml:space="preserve">Proposed (rejected)</w:t>
            </w:r>
          </w:p>
        </w:tc>
        <w:tc>
          <w:tcPr>
            <w:tcW w:type="dxa" w:w="2900"/>
            <w:shd w:fill="2A2A2A" w:val="clear"/>
            <w:tcMar>
              <w:top w:type="dxa" w:w="100"/>
              <w:left w:type="dxa" w:w="120"/>
              <w:bottom w:type="dxa" w:w="100"/>
              <w:right w:type="dxa" w:w="120"/>
            </w:tcMar>
          </w:tcPr>
          <w:p>
            <w:r>
              <w:rPr>
                <w:b/>
                <w:bCs/>
                <w:color w:val="FFFFFF"/>
                <w:sz w:val="18"/>
                <w:szCs w:val="18"/>
              </w:rPr>
              <w:t xml:space="preserve">What stands instead</w:t>
            </w:r>
          </w:p>
        </w:tc>
        <w:tc>
          <w:tcPr>
            <w:tcW w:type="dxa" w:w="2750"/>
            <w:shd w:fill="2A2A2A" w:val="clear"/>
            <w:tcMar>
              <w:top w:type="dxa" w:w="100"/>
              <w:left w:type="dxa" w:w="120"/>
              <w:bottom w:type="dxa" w:w="100"/>
              <w:right w:type="dxa" w:w="120"/>
            </w:tcMar>
          </w:tcPr>
          <w:p>
            <w:r>
              <w:rPr>
                <w:b/>
                <w:bCs/>
                <w:color w:val="FFFFFF"/>
                <w:sz w:val="18"/>
                <w:szCs w:val="18"/>
              </w:rPr>
              <w:t xml:space="preserve">Why</w:t>
            </w:r>
          </w:p>
        </w:tc>
      </w:tr>
      <w:tr>
        <w:tc>
          <w:tcPr>
            <w:tcW w:type="dxa" w:w="500"/>
            <w:shd w:fill="FFFFFF" w:val="clear"/>
            <w:tcMar>
              <w:top w:type="dxa" w:w="90"/>
              <w:left w:type="dxa" w:w="120"/>
              <w:bottom w:type="dxa" w:w="90"/>
              <w:right w:type="dxa" w:w="120"/>
            </w:tcMar>
          </w:tcPr>
          <w:p>
            <w:r>
              <w:rPr>
                <w:sz w:val="18"/>
                <w:szCs w:val="18"/>
              </w:rPr>
              <w:t xml:space="preserve">1</w:t>
            </w:r>
          </w:p>
        </w:tc>
        <w:tc>
          <w:tcPr>
            <w:tcW w:type="dxa" w:w="3200"/>
            <w:shd w:fill="FFFFFF" w:val="clear"/>
            <w:tcMar>
              <w:top w:type="dxa" w:w="90"/>
              <w:left w:type="dxa" w:w="120"/>
              <w:bottom w:type="dxa" w:w="90"/>
              <w:right w:type="dxa" w:w="120"/>
            </w:tcMar>
          </w:tcPr>
          <w:p>
            <w:r>
              <w:rPr>
                <w:sz w:val="18"/>
                <w:szCs w:val="18"/>
              </w:rPr>
              <w:t xml:space="preserve">Shared multi-provider chat room per patient ("Ramesh Kumar_City Care Hospital" room with 3 providers as participants)</w:t>
            </w:r>
          </w:p>
        </w:tc>
        <w:tc>
          <w:tcPr>
            <w:tcW w:type="dxa" w:w="2900"/>
            <w:shd w:fill="FFFFFF" w:val="clear"/>
            <w:tcMar>
              <w:top w:type="dxa" w:w="90"/>
              <w:left w:type="dxa" w:w="120"/>
              <w:bottom w:type="dxa" w:w="90"/>
              <w:right w:type="dxa" w:w="120"/>
            </w:tcMar>
          </w:tcPr>
          <w:p>
            <w:r>
              <w:rPr>
                <w:sz w:val="18"/>
                <w:szCs w:val="18"/>
              </w:rPr>
              <w:t xml:space="preserve">One chat per patient-provider pairing, inside that consultant's Case File</w:t>
            </w:r>
          </w:p>
        </w:tc>
        <w:tc>
          <w:tcPr>
            <w:tcW w:type="dxa" w:w="2750"/>
            <w:shd w:fill="FFFFFF" w:val="clear"/>
            <w:tcMar>
              <w:top w:type="dxa" w:w="90"/>
              <w:left w:type="dxa" w:w="120"/>
              <w:bottom w:type="dxa" w:w="90"/>
              <w:right w:type="dxa" w:w="120"/>
            </w:tcMar>
          </w:tcPr>
          <w:p>
            <w:r>
              <w:rPr>
                <w:sz w:val="18"/>
                <w:szCs w:val="18"/>
              </w:rPr>
              <w:t xml:space="preserve">The follow-up-pause window, the 24h engagement clock, and the Clinical Advisory trail are all scoped to one provider's relationship with one patient. A shared room breaks that model entirely — it is a different data model, not a styling choice.</w:t>
            </w:r>
          </w:p>
        </w:tc>
      </w:tr>
      <w:tr>
        <w:tc>
          <w:tcPr>
            <w:tcW w:type="dxa" w:w="500"/>
            <w:shd w:fill="F7F7F9" w:val="clear"/>
            <w:tcMar>
              <w:top w:type="dxa" w:w="90"/>
              <w:left w:type="dxa" w:w="120"/>
              <w:bottom w:type="dxa" w:w="90"/>
              <w:right w:type="dxa" w:w="120"/>
            </w:tcMar>
          </w:tcPr>
          <w:p>
            <w:r>
              <w:rPr>
                <w:sz w:val="18"/>
                <w:szCs w:val="18"/>
              </w:rPr>
              <w:t xml:space="preserve">2</w:t>
            </w:r>
          </w:p>
        </w:tc>
        <w:tc>
          <w:tcPr>
            <w:tcW w:type="dxa" w:w="3200"/>
            <w:shd w:fill="F7F7F9" w:val="clear"/>
            <w:tcMar>
              <w:top w:type="dxa" w:w="90"/>
              <w:left w:type="dxa" w:w="120"/>
              <w:bottom w:type="dxa" w:w="90"/>
              <w:right w:type="dxa" w:w="120"/>
            </w:tcMar>
          </w:tcPr>
          <w:p>
            <w:r>
              <w:rPr>
                <w:sz w:val="18"/>
                <w:szCs w:val="18"/>
              </w:rPr>
              <w:t xml:space="preserve">"Prescription" artifact + two-checkbox follow-up permission ("Allow follow-up call" / "Allow follow-up video", granted at consultation completion)</w:t>
            </w:r>
          </w:p>
        </w:tc>
        <w:tc>
          <w:tcPr>
            <w:tcW w:type="dxa" w:w="2900"/>
            <w:shd w:fill="F7F7F9" w:val="clear"/>
            <w:tcMar>
              <w:top w:type="dxa" w:w="90"/>
              <w:left w:type="dxa" w:w="120"/>
              <w:bottom w:type="dxa" w:w="90"/>
              <w:right w:type="dxa" w:w="120"/>
            </w:tcMar>
          </w:tcPr>
          <w:p>
            <w:r>
              <w:rPr>
                <w:sz w:val="18"/>
                <w:szCs w:val="18"/>
              </w:rPr>
              <w:t xml:space="preserve">Clinical Advisory (free-text only, no drug-field structure) for the content; a single always-on-until-paused toggle for access, not two independently granted checkboxes</w:t>
            </w:r>
          </w:p>
        </w:tc>
        <w:tc>
          <w:tcPr>
            <w:tcW w:type="dxa" w:w="2750"/>
            <w:shd w:fill="F7F7F9" w:val="clear"/>
            <w:tcMar>
              <w:top w:type="dxa" w:w="90"/>
              <w:left w:type="dxa" w:w="120"/>
              <w:bottom w:type="dxa" w:w="90"/>
              <w:right w:type="dxa" w:w="120"/>
            </w:tcMar>
          </w:tcPr>
          <w:p>
            <w:r>
              <w:rPr>
                <w:sz w:val="18"/>
                <w:szCs w:val="18"/>
              </w:rPr>
              <w:t xml:space="preserve">"Prescription" implies Perfusion is the prescriber of record — the exact liability exposure the business deliberately avoids. The two-checkbox model was replaced because access is default-active for the full 24h window, not opt-in per channel.</w:t>
            </w:r>
          </w:p>
        </w:tc>
      </w:tr>
      <w:tr>
        <w:tc>
          <w:tcPr>
            <w:tcW w:type="dxa" w:w="500"/>
            <w:shd w:fill="FFFFFF" w:val="clear"/>
            <w:tcMar>
              <w:top w:type="dxa" w:w="90"/>
              <w:left w:type="dxa" w:w="120"/>
              <w:bottom w:type="dxa" w:w="90"/>
              <w:right w:type="dxa" w:w="120"/>
            </w:tcMar>
          </w:tcPr>
          <w:p>
            <w:r>
              <w:rPr>
                <w:sz w:val="18"/>
                <w:szCs w:val="18"/>
              </w:rPr>
              <w:t xml:space="preserve">3</w:t>
            </w:r>
          </w:p>
        </w:tc>
        <w:tc>
          <w:tcPr>
            <w:tcW w:type="dxa" w:w="3200"/>
            <w:shd w:fill="FFFFFF" w:val="clear"/>
            <w:tcMar>
              <w:top w:type="dxa" w:w="90"/>
              <w:left w:type="dxa" w:w="120"/>
              <w:bottom w:type="dxa" w:w="90"/>
              <w:right w:type="dxa" w:w="120"/>
            </w:tcMar>
          </w:tcPr>
          <w:p>
            <w:r>
              <w:rPr>
                <w:sz w:val="18"/>
                <w:szCs w:val="18"/>
              </w:rPr>
              <w:t xml:space="preserve">"Pause All" toggle merging Availability's Pause Consultations with the per-patient follow-up call/video mute</w:t>
            </w:r>
          </w:p>
        </w:tc>
        <w:tc>
          <w:tcPr>
            <w:tcW w:type="dxa" w:w="2900"/>
            <w:shd w:fill="FFFFFF" w:val="clear"/>
            <w:tcMar>
              <w:top w:type="dxa" w:w="90"/>
              <w:left w:type="dxa" w:w="120"/>
              <w:bottom w:type="dxa" w:w="90"/>
              <w:right w:type="dxa" w:w="120"/>
            </w:tcMar>
          </w:tcPr>
          <w:p>
            <w:r>
              <w:rPr>
                <w:sz w:val="18"/>
                <w:szCs w:val="18"/>
              </w:rPr>
              <w:t xml:space="preserve">Two separate, separately-triggered features</w:t>
            </w:r>
          </w:p>
        </w:tc>
        <w:tc>
          <w:tcPr>
            <w:tcW w:type="dxa" w:w="2750"/>
            <w:shd w:fill="FFFFFF" w:val="clear"/>
            <w:tcMar>
              <w:top w:type="dxa" w:w="90"/>
              <w:left w:type="dxa" w:w="120"/>
              <w:bottom w:type="dxa" w:w="90"/>
              <w:right w:type="dxa" w:w="120"/>
            </w:tcMar>
          </w:tcPr>
          <w:p>
            <w:r>
              <w:rPr>
                <w:sz w:val="18"/>
                <w:szCs w:val="18"/>
              </w:rPr>
              <w:t xml:space="preserve">Pause Consultations (Availability) stops new bookings platform-wide. The follow-up pause mutes call/video for one specific patient mid-engagement, seeker-side only. Merging them means one button could accidentally block new patients when a provider only meant to quiet one case.</w:t>
            </w:r>
          </w:p>
        </w:tc>
      </w:tr>
    </w:tbl>
    <w:p>
      <w:r>
        <w:br w:type="page"/>
      </w:r>
    </w:p>
    <w:p>
      <w:pPr>
        <w:pStyle w:val="Heading1"/>
        <w:spacing w:after="200" w:before="400"/>
      </w:pPr>
      <w:r>
        <w:t xml:space="preserve">3. Role Architecture</w:t>
      </w:r>
    </w:p>
    <w:p>
      <w:pPr>
        <w:spacing w:after="120"/>
      </w:pPr>
      <w:r>
        <w:rPr>
          <w:b w:val="false"/>
          <w:bCs w:val="false"/>
          <w:i w:val="false"/>
          <w:iCs w:val="false"/>
        </w:rPr>
        <w:t xml:space="preserve">A user has exactly one role (Care Provider or Care Seeker), fixed at signup, never switchable in-app. The backend role is authoritative — the mobile client never determines authorization from a locally stored flag.</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Dashboard</w:t>
      </w:r>
    </w:p>
    <w:p>
      <w:pPr>
        <w:pStyle w:val="ListParagraph"/>
        <w:numPr>
          <w:ilvl w:val="0"/>
          <w:numId w:val="2"/>
        </w:numPr>
        <w:spacing w:after="60"/>
      </w:pPr>
      <w:r>
        <w:rPr>
          <w:b/>
          <w:bCs/>
        </w:rPr>
        <w:t xml:space="preserve">Case File  —  merged screen: Chat + docked Vitals/I-O/GCS strip + Clinical Summary + Patient Profile + Clinical Advisory (composer + trail). This replaces the original document's separate Patient Detail, Chat, and Follow-up Permission screens — they are not three destinations, they are one screen with linked sub-pages.</w:t>
      </w:r>
    </w:p>
    <w:p>
      <w:pPr>
        <w:pStyle w:val="ListParagraph"/>
        <w:numPr>
          <w:ilvl w:val="0"/>
          <w:numId w:val="2"/>
        </w:numPr>
        <w:spacing w:after="60"/>
      </w:pPr>
      <w:r>
        <w:rPr>
          <w:b w:val="false"/>
          <w:bCs w:val="false"/>
        </w:rPr>
        <w:t xml:space="preserve">Consultations (full history, search, filters) — not yet designed, see Section 9</w:t>
      </w:r>
    </w:p>
    <w:p>
      <w:pPr>
        <w:pStyle w:val="ListParagraph"/>
        <w:numPr>
          <w:ilvl w:val="0"/>
          <w:numId w:val="2"/>
        </w:numPr>
        <w:spacing w:after="60"/>
      </w:pPr>
      <w:r>
        <w:rPr>
          <w:b w:val="false"/>
          <w:bCs w:val="false"/>
        </w:rPr>
        <w:t xml:space="preserve">Live Consultation (voice/video) — not yet designed, see Section 9</w:t>
      </w:r>
    </w:p>
    <w:p>
      <w:pPr>
        <w:pStyle w:val="ListParagraph"/>
        <w:numPr>
          <w:ilvl w:val="0"/>
          <w:numId w:val="2"/>
        </w:numPr>
        <w:spacing w:after="60"/>
      </w:pPr>
      <w:r>
        <w:rPr>
          <w:b w:val="false"/>
          <w:bCs w:val="false"/>
        </w:rPr>
        <w:t xml:space="preserve">Billing — not yet designed, see Section 9</w:t>
      </w:r>
    </w:p>
    <w:p>
      <w:pPr>
        <w:pStyle w:val="ListParagraph"/>
        <w:numPr>
          <w:ilvl w:val="0"/>
          <w:numId w:val="2"/>
        </w:numPr>
        <w:spacing w:after="60"/>
      </w:pPr>
      <w:r>
        <w:rPr>
          <w:b w:val="false"/>
          <w:bCs w:val="false"/>
        </w:rPr>
        <w:t xml:space="preserve">My Profile, Availability, Notifications, Help — Tier 2 / not yet designed, see Section 9</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Dashboard (includes New Consultation entry point)</w:t>
      </w:r>
    </w:p>
    <w:p>
      <w:pPr>
        <w:pStyle w:val="ListParagraph"/>
        <w:numPr>
          <w:ilvl w:val="0"/>
          <w:numId w:val="2"/>
        </w:numPr>
        <w:spacing w:after="60"/>
      </w:pPr>
      <w:r>
        <w:rPr>
          <w:b/>
          <w:bCs/>
        </w:rPr>
        <w:t xml:space="preserve">Case File  —  same merged architecture as Provider, adapted for Seeker's role: Add Vitals (separate from the view-chart tap), attachment source picker + category flag bar, Clinical Advisory as view + download only (never composed by Seeker).</w:t>
      </w:r>
    </w:p>
    <w:p>
      <w:pPr>
        <w:pStyle w:val="ListParagraph"/>
        <w:numPr>
          <w:ilvl w:val="0"/>
          <w:numId w:val="2"/>
        </w:numPr>
        <w:spacing w:after="60"/>
      </w:pPr>
      <w:r>
        <w:rPr>
          <w:b w:val="false"/>
          <w:bCs w:val="false"/>
        </w:rPr>
        <w:t xml:space="preserve">New Consultation booking flow (patient select → provider compare → slot → review → confirm) — not yet designed, see Section 9</w:t>
      </w:r>
    </w:p>
    <w:p>
      <w:pPr>
        <w:pStyle w:val="ListParagraph"/>
        <w:numPr>
          <w:ilvl w:val="0"/>
          <w:numId w:val="2"/>
        </w:numPr>
        <w:spacing w:after="60"/>
      </w:pPr>
      <w:r>
        <w:rPr>
          <w:b w:val="false"/>
          <w:bCs w:val="false"/>
        </w:rPr>
        <w:t xml:space="preserve">Consultations, Live Consultation, Billing (reserved/placeholder only), My Profile, Notifications, Help — Tier 2 / not yet designed, see Section 9</w:t>
      </w:r>
    </w:p>
    <w:p>
      <w:r>
        <w:br w:type="page"/>
      </w:r>
    </w:p>
    <w:p>
      <w:pPr>
        <w:pStyle w:val="Heading1"/>
        <w:spacing w:after="200" w:before="400"/>
      </w:pPr>
      <w:r>
        <w:t xml:space="preserve">4. Locked Consultation &amp; Engagement Model</w:t>
      </w:r>
    </w:p>
    <w:p>
      <w:pPr>
        <w:spacing w:after="120"/>
      </w:pPr>
      <w:r>
        <w:rPr>
          <w:b w:val="false"/>
          <w:bCs w:val="false"/>
          <w:i w:val="false"/>
          <w:iCs w:val="false"/>
        </w:rPr>
        <w:t xml:space="preserve">This section supersedes Section 5 and Section 8 of the original wireframe document and all of Sections 6.6, 6.7, 7.10, 7.11, and 16 wherever they describe a discrete-call, granted-permission model. Read this section as the single source of truth for status, access, and the pay-per-use engagement window.</w:t>
      </w:r>
    </w:p>
    <w:p>
      <w:pPr>
        <w:pStyle w:val="Heading3"/>
        <w:spacing w:after="100" w:before="240"/>
      </w:pPr>
      <w:r>
        <w:rPr>
          <w:b/>
          <w:bCs/>
          <w:color w:val="2A2A2A"/>
        </w:rPr>
        <w:t xml:space="preserve">4.1 The engagement is a continuous window, not a single call</w:t>
      </w:r>
    </w:p>
    <w:p>
      <w:pPr>
        <w:pStyle w:val="ListParagraph"/>
        <w:numPr>
          <w:ilvl w:val="0"/>
          <w:numId w:val="2"/>
        </w:numPr>
        <w:spacing w:after="60"/>
      </w:pPr>
      <w:r>
        <w:rPr>
          <w:b w:val="false"/>
          <w:bCs w:val="false"/>
        </w:rPr>
        <w:t xml:space="preserve">Once a consultation begins, it is Ongoing for a full 24-hour window from booking/start — not just for the duration of an active call. Both parties can call, video call, and chat with each other freely at any point inside this window.</w:t>
      </w:r>
    </w:p>
    <w:p>
      <w:pPr>
        <w:pStyle w:val="ListParagraph"/>
        <w:numPr>
          <w:ilvl w:val="0"/>
          <w:numId w:val="2"/>
        </w:numPr>
        <w:spacing w:after="60"/>
      </w:pPr>
      <w:r>
        <w:rPr>
          <w:b w:val="false"/>
          <w:bCs w:val="false"/>
        </w:rPr>
        <w:t xml:space="preserve">There is no "Completed" state reached simply because one call ended. The engagement remains Ongoing until the 24-hour window naturally elapses.</w:t>
      </w:r>
    </w:p>
    <w:p>
      <w:pPr>
        <w:pStyle w:val="ListParagraph"/>
        <w:numPr>
          <w:ilvl w:val="0"/>
          <w:numId w:val="2"/>
        </w:numPr>
        <w:spacing w:after="60"/>
      </w:pPr>
      <w:r>
        <w:rPr>
          <w:b w:val="false"/>
          <w:bCs w:val="false"/>
        </w:rPr>
        <w:t xml:space="preserve">At the 24-hour mark, the engagement becomes Completed and Call, Video, and Chat all close for both parties simultaneously. Nothing remains live after this point for either side.</w:t>
      </w:r>
    </w:p>
    <w:p>
      <w:pPr>
        <w:pStyle w:val="ListParagraph"/>
        <w:numPr>
          <w:ilvl w:val="0"/>
          <w:numId w:val="2"/>
        </w:numPr>
        <w:spacing w:after="60"/>
      </w:pPr>
      <w:r>
        <w:rPr>
          <w:b w:val="false"/>
          <w:bCs w:val="false"/>
        </w:rPr>
        <w:t xml:space="preserve">The historical record does not disappear at Completed: Case File, Clinical Summary, Patient Profile, and the Clinical Advisory trail all remain permanently viewable as read-only record. Only live communication channels close.</w:t>
      </w:r>
    </w:p>
    <w:p>
      <w:pPr>
        <w:pStyle w:val="Heading3"/>
        <w:spacing w:after="100" w:before="240"/>
      </w:pPr>
      <w:r>
        <w:rPr>
          <w:b/>
          <w:bCs/>
          <w:color w:val="2A2A2A"/>
        </w:rPr>
        <w:t xml:space="preserve">4.2 Two visually distinct sub-states within "Ongoing" — do not conflate them</w:t>
      </w:r>
    </w:p>
    <w:p>
      <w:pPr>
        <w:pStyle w:val="ListParagraph"/>
        <w:numPr>
          <w:ilvl w:val="0"/>
          <w:numId w:val="2"/>
        </w:numPr>
        <w:spacing w:after="60"/>
      </w:pPr>
      <w:r>
        <w:rPr>
          <w:b w:val="false"/>
          <w:bCs w:val="false"/>
        </w:rPr>
        <w:t xml:space="preserve">Live: an actual call/page is happening right now. Pulsing red status dot, bold red "Ongoing" label. This is the only place red is used for a non-brand purpose in the entire UI — reserved strictly for this meaning.</w:t>
      </w:r>
    </w:p>
    <w:p>
      <w:pPr>
        <w:pStyle w:val="ListParagraph"/>
        <w:numPr>
          <w:ilvl w:val="0"/>
          <w:numId w:val="2"/>
        </w:numPr>
        <w:spacing w:after="60"/>
      </w:pPr>
      <w:r>
        <w:rPr>
          <w:b w:val="false"/>
          <w:bCs w:val="false"/>
        </w:rPr>
        <w:t xml:space="preserve">Quiet: the window is open but nothing is happening at this instant. Calmer, non-pulsing muted-rose dot; label reads "Ongoing · Nh left" (remaining window time). Do not render this identically to Live — doing so causes alarm fatigue (a dashboard full of pulsing red rows when most patients simply have an open window, not an active emergency).</w:t>
      </w:r>
    </w:p>
    <w:p>
      <w:pPr>
        <w:pStyle w:val="Heading3"/>
        <w:spacing w:after="100" w:before="240"/>
      </w:pPr>
      <w:r>
        <w:rPr>
          <w:b/>
          <w:bCs/>
          <w:color w:val="2A2A2A"/>
        </w:rPr>
        <w:t xml:space="preserve">4.3 Follow-up pause — one toggle, Seeker-side effect only</w:t>
      </w:r>
    </w:p>
    <w:p>
      <w:pPr>
        <w:pStyle w:val="ListParagraph"/>
        <w:numPr>
          <w:ilvl w:val="0"/>
          <w:numId w:val="2"/>
        </w:numPr>
        <w:spacing w:after="60"/>
      </w:pPr>
      <w:r>
        <w:rPr>
          <w:b w:val="false"/>
          <w:bCs w:val="false"/>
        </w:rPr>
        <w:t xml:space="preserve">The provider can mute Call and Video for one specific patient at any point during the Ongoing window. This is a single toggle (Active / Paused), not two independently granted permissions.</w:t>
      </w:r>
    </w:p>
    <w:p>
      <w:pPr>
        <w:pStyle w:val="ListParagraph"/>
        <w:numPr>
          <w:ilvl w:val="0"/>
          <w:numId w:val="2"/>
        </w:numPr>
        <w:spacing w:after="60"/>
      </w:pPr>
      <w:r>
        <w:rPr>
          <w:b w:val="false"/>
          <w:bCs w:val="false"/>
        </w:rPr>
        <w:t xml:space="preserve">Pausing affects only whether the SEEKER can initiate a call/video to the provider. It never disables the provider's own ability to call the seeker — the provider can always call, unaffected by this toggle.</w:t>
      </w:r>
    </w:p>
    <w:p>
      <w:pPr>
        <w:pStyle w:val="ListParagraph"/>
        <w:numPr>
          <w:ilvl w:val="0"/>
          <w:numId w:val="2"/>
        </w:numPr>
        <w:spacing w:after="60"/>
      </w:pPr>
      <w:r>
        <w:rPr>
          <w:b w:val="false"/>
          <w:bCs w:val="false"/>
        </w:rPr>
        <w:t xml:space="preserve">Chat is never affected by this toggle. Chat stays open for the full 24-hour window regardless of pause state; only the natural 24-hour expiry closes chat.</w:t>
      </w:r>
    </w:p>
    <w:p>
      <w:pPr>
        <w:pStyle w:val="ListParagraph"/>
        <w:numPr>
          <w:ilvl w:val="0"/>
          <w:numId w:val="2"/>
        </w:numPr>
        <w:spacing w:after="60"/>
      </w:pPr>
      <w:r>
        <w:rPr>
          <w:b w:val="false"/>
          <w:bCs w:val="false"/>
        </w:rPr>
        <w:t xml:space="preserve">On Provider's UI, the toggle is the status word itself (tap "Ongoing" → it becomes "Paused", full word swap, not a color-only change) — chosen deliberately after testing showed a separate switch component or subtle color shift were both missed by users. No new UI element, no added row.</w:t>
      </w:r>
    </w:p>
    <w:p>
      <w:pPr>
        <w:pStyle w:val="ListParagraph"/>
        <w:numPr>
          <w:ilvl w:val="0"/>
          <w:numId w:val="2"/>
        </w:numPr>
        <w:spacing w:after="60"/>
      </w:pPr>
      <w:r>
        <w:rPr>
          <w:b w:val="false"/>
          <w:bCs w:val="false"/>
        </w:rPr>
        <w:t xml:space="preserve">On Seeker's UI, this state is read-only. No tappable word, no visible toggle, no explanatory label of any kind — the Call/Video icons simply enable or disable silently, matching the original document's explicit instruction: "Do not show an additional follow-up status/label."</w:t>
      </w:r>
    </w:p>
    <w:p>
      <w:pPr>
        <w:pStyle w:val="Heading3"/>
        <w:spacing w:after="100" w:before="240"/>
      </w:pPr>
      <w:r>
        <w:rPr>
          <w:b/>
          <w:bCs/>
          <w:color w:val="2A2A2A"/>
        </w:rPr>
        <w:t xml:space="preserve">4.4 Clinical Advisory replaces "prescription" / "documentation"</w:t>
      </w:r>
    </w:p>
    <w:p>
      <w:pPr>
        <w:pStyle w:val="ListParagraph"/>
        <w:numPr>
          <w:ilvl w:val="0"/>
          <w:numId w:val="2"/>
        </w:numPr>
        <w:spacing w:after="60"/>
      </w:pPr>
      <w:r>
        <w:rPr>
          <w:b w:val="false"/>
          <w:bCs w:val="false"/>
        </w:rPr>
        <w:t xml:space="preserve">Terminology: "Clinical Advisory" everywhere (screen title, chat card, button label "Advise"). Never "Prescription", never "Order".</w:t>
      </w:r>
    </w:p>
    <w:p>
      <w:pPr>
        <w:pStyle w:val="ListParagraph"/>
        <w:numPr>
          <w:ilvl w:val="0"/>
          <w:numId w:val="2"/>
        </w:numPr>
        <w:spacing w:after="60"/>
      </w:pPr>
      <w:r>
        <w:rPr>
          <w:b w:val="false"/>
          <w:bCs w:val="false"/>
        </w:rPr>
        <w:t xml:space="preserve">Content is free-text narrative only. No structured Drug/Dose/Route/Frequency fields — a structured field set visually reads as a prescription pad regardless of its label, which undermines the advisory-not-prescriber legal positioning.</w:t>
      </w:r>
    </w:p>
    <w:p>
      <w:pPr>
        <w:pStyle w:val="ListParagraph"/>
        <w:numPr>
          <w:ilvl w:val="0"/>
          <w:numId w:val="2"/>
        </w:numPr>
        <w:spacing w:after="60"/>
      </w:pPr>
      <w:r>
        <w:rPr>
          <w:b w:val="false"/>
          <w:bCs w:val="false"/>
        </w:rPr>
        <w:t xml:space="preserve">Format: one running document per patient. A header (patient identity, hospital, allergies, a fixed disclaimer sentence) appears once at the top — never repeated per entry. Entries below are chronological, oldest to top, newest at bottom, each just a timestamp + optional status line + the advisory text.</w:t>
      </w:r>
    </w:p>
    <w:p>
      <w:pPr>
        <w:pStyle w:val="ListParagraph"/>
        <w:numPr>
          <w:ilvl w:val="0"/>
          <w:numId w:val="2"/>
        </w:numPr>
        <w:spacing w:after="60"/>
      </w:pPr>
      <w:r>
        <w:rPr>
          <w:b w:val="false"/>
          <w:bCs w:val="false"/>
        </w:rPr>
        <w:t xml:space="preserve">Provider: composes advisories via a lightweight bottom-sheet triggered from the chat input bar (a dedicated pencil icon) and from the Dashboard row's 4th expand action ("Advise"). Every submission appends live to both the chat feed (as a distinct card) and the trail document.</w:t>
      </w:r>
    </w:p>
    <w:p>
      <w:pPr>
        <w:pStyle w:val="ListParagraph"/>
        <w:numPr>
          <w:ilvl w:val="0"/>
          <w:numId w:val="2"/>
        </w:numPr>
        <w:spacing w:after="60"/>
      </w:pPr>
      <w:r>
        <w:rPr>
          <w:b w:val="false"/>
          <w:bCs w:val="false"/>
        </w:rPr>
        <w:t xml:space="preserve">Seeker: view + download only. No composer, no edit affordance, anywhere.</w:t>
      </w:r>
    </w:p>
    <w:p>
      <w:pPr>
        <w:pStyle w:val="ListParagraph"/>
        <w:numPr>
          <w:ilvl w:val="0"/>
          <w:numId w:val="2"/>
        </w:numPr>
        <w:spacing w:after="60"/>
      </w:pPr>
      <w:r>
        <w:rPr>
          <w:b w:val="false"/>
          <w:bCs w:val="false"/>
        </w:rPr>
        <w:t xml:space="preserve">Disclaimer text (draft, needs legal review before shipping): "This Clinical Advisory reflects clinical opinion and support provided by Perfusion's consulting physician to the treating team. Treatment and prescribing responsibility remains with the treating physicians at [Hospital]." Claude is not a lawyer; this wording is a product-design placeholder, not legal sign-off.</w:t>
      </w:r>
    </w:p>
    <w:p>
      <w:pPr>
        <w:pStyle w:val="Heading3"/>
        <w:spacing w:after="100" w:before="240"/>
      </w:pPr>
      <w:r>
        <w:rPr>
          <w:b/>
          <w:bCs/>
          <w:color w:val="2A2A2A"/>
        </w:rPr>
        <w:t xml:space="preserve">4.5 Vitals / Intake-Output / GCS (tele-ICU Level 1 only — no cameras, no IoT, no PACS)</w:t>
      </w:r>
    </w:p>
    <w:p>
      <w:pPr>
        <w:pStyle w:val="ListParagraph"/>
        <w:numPr>
          <w:ilvl w:val="0"/>
          <w:numId w:val="2"/>
        </w:numPr>
        <w:spacing w:after="60"/>
      </w:pPr>
      <w:r>
        <w:rPr>
          <w:b w:val="false"/>
          <w:bCs w:val="false"/>
        </w:rPr>
        <w:t xml:space="preserve">A docked strip sits below the static safety-info area in the Case File, sticky through scroll (unlike static facts, this data must survive scrolling — the whole point is answering "what were vitals 4 hours ago" while reading old chat).</w:t>
      </w:r>
    </w:p>
    <w:p>
      <w:pPr>
        <w:pStyle w:val="ListParagraph"/>
        <w:numPr>
          <w:ilvl w:val="0"/>
          <w:numId w:val="2"/>
        </w:numPr>
        <w:spacing w:after="60"/>
      </w:pPr>
      <w:r>
        <w:rPr>
          <w:b w:val="false"/>
          <w:bCs w:val="false"/>
        </w:rPr>
        <w:t xml:space="preserve">Shows only the latest entry per parameter (BP primary, HR/RR secondary line, I/O with hourly urine output, GCS) plus a timestamp and a staleness dot: green = fresh, amber = aging, red = stale. Silence (no update in hours) is itself a clinical signal and must be visible, not just the raw numbers.</w:t>
      </w:r>
    </w:p>
    <w:p>
      <w:pPr>
        <w:pStyle w:val="ListParagraph"/>
        <w:numPr>
          <w:ilvl w:val="0"/>
          <w:numId w:val="2"/>
        </w:numPr>
        <w:spacing w:after="60"/>
      </w:pPr>
      <w:r>
        <w:rPr>
          <w:b w:val="false"/>
          <w:bCs w:val="false"/>
        </w:rPr>
        <w:t xml:space="preserve">Tapping the strip body opens the full flowsheet (time-down-the-rows, all parameters as columns — one continuous table telling the trend story, not separate per-parameter graphs). Missing entries render as a dash, not blank space or an interpolated value — gaps in reporting must stay visible.</w:t>
      </w:r>
    </w:p>
    <w:p>
      <w:pPr>
        <w:pStyle w:val="ListParagraph"/>
        <w:numPr>
          <w:ilvl w:val="0"/>
          <w:numId w:val="2"/>
        </w:numPr>
        <w:spacing w:after="60"/>
      </w:pPr>
      <w:r>
        <w:rPr>
          <w:b w:val="false"/>
          <w:bCs w:val="false"/>
        </w:rPr>
        <w:t xml:space="preserve">Seeker only: a separate, visually distinct "+" button next to the flowsheet link opens a quick Add Vitals sheet. This is deliberately NOT the same tap target as viewing the chart — overloading one control with both meanings is the exact mistake this document exists to prevent repeating.</w:t>
      </w:r>
    </w:p>
    <w:p>
      <w:pPr>
        <w:pStyle w:val="Heading3"/>
        <w:spacing w:after="100" w:before="240"/>
      </w:pPr>
      <w:r>
        <w:rPr>
          <w:b/>
          <w:bCs/>
          <w:color w:val="2A2A2A"/>
        </w:rPr>
        <w:t xml:space="preserve">4.6 Presenting Complaint / Clinical Summary (locked at intake)</w:t>
      </w:r>
    </w:p>
    <w:p>
      <w:pPr>
        <w:pStyle w:val="ListParagraph"/>
        <w:numPr>
          <w:ilvl w:val="0"/>
          <w:numId w:val="2"/>
        </w:numPr>
        <w:spacing w:after="60"/>
      </w:pPr>
      <w:r>
        <w:rPr>
          <w:b w:val="false"/>
          <w:bCs w:val="false"/>
        </w:rPr>
        <w:t xml:space="preserve">Captured once at initial assessment/booking and never edited afterward. Do not build an edit affordance for this content on either role.</w:t>
      </w:r>
    </w:p>
    <w:p>
      <w:pPr>
        <w:pStyle w:val="ListParagraph"/>
        <w:numPr>
          <w:ilvl w:val="0"/>
          <w:numId w:val="2"/>
        </w:numPr>
        <w:spacing w:after="60"/>
      </w:pPr>
      <w:r>
        <w:rPr>
          <w:b w:val="false"/>
          <w:bCs w:val="false"/>
        </w:rPr>
        <w:t xml:space="preserve">A one-line summary strip is always visible on opening the Case File (not sticky through scroll — unlike Vitals, this is a fixed historical fact, not a trend needing constant re-surfacing).</w:t>
      </w:r>
    </w:p>
    <w:p>
      <w:pPr>
        <w:pStyle w:val="ListParagraph"/>
        <w:numPr>
          <w:ilvl w:val="0"/>
          <w:numId w:val="2"/>
        </w:numPr>
        <w:spacing w:after="60"/>
      </w:pPr>
      <w:r>
        <w:rPr>
          <w:b w:val="false"/>
          <w:bCs w:val="false"/>
        </w:rPr>
        <w:t xml:space="preserve">Tapping either the Presenting Complaint strip OR the allergy/comorbidity chips opens the same merged screen: Allergies → Comorbidities → Presenting Complaint → Working Diagnosis → Clinical History → Submitted By (resident, hospital, timestamp). One destination for both entry points, not two screens.</w:t>
      </w:r>
    </w:p>
    <w:p>
      <w:pPr>
        <w:pStyle w:val="ListParagraph"/>
        <w:numPr>
          <w:ilvl w:val="0"/>
          <w:numId w:val="2"/>
        </w:numPr>
        <w:spacing w:after="60"/>
      </w:pPr>
      <w:r>
        <w:rPr>
          <w:b w:val="false"/>
          <w:bCs w:val="false"/>
        </w:rPr>
        <w:t xml:space="preserve">This screen ends with a plain-style button, "View Patient Profile &amp; Past Records", linking into the permanent Patient Profile. Clinical Summary (this encounter's intake) and Patient Profile (everything ever known about this patient) are related but intentionally distinct — allergies/comorbidities legitimately appear in both.</w:t>
      </w:r>
    </w:p>
    <w:p>
      <w:pPr>
        <w:pStyle w:val="Heading3"/>
        <w:spacing w:after="100" w:before="240"/>
      </w:pPr>
      <w:r>
        <w:rPr>
          <w:b/>
          <w:bCs/>
          <w:color w:val="2A2A2A"/>
        </w:rPr>
        <w:t xml:space="preserve">4.7 Chat attachment flagging</w:t>
      </w:r>
    </w:p>
    <w:p>
      <w:pPr>
        <w:pStyle w:val="ListParagraph"/>
        <w:numPr>
          <w:ilvl w:val="0"/>
          <w:numId w:val="2"/>
        </w:numPr>
        <w:spacing w:after="60"/>
      </w:pPr>
      <w:r>
        <w:rPr>
          <w:b w:val="false"/>
          <w:bCs w:val="false"/>
        </w:rPr>
        <w:t xml:space="preserve">Tapping the attach icon opens a source picker sheet (Camera / Photo Gallery / Document) — do not skip straight to a flag selector before the person has actually chosen a source.</w:t>
      </w:r>
    </w:p>
    <w:p>
      <w:pPr>
        <w:pStyle w:val="ListParagraph"/>
        <w:numPr>
          <w:ilvl w:val="0"/>
          <w:numId w:val="2"/>
        </w:numPr>
        <w:spacing w:after="60"/>
      </w:pPr>
      <w:r>
        <w:rPr>
          <w:b w:val="false"/>
          <w:bCs w:val="false"/>
        </w:rPr>
        <w:t xml:space="preserve">After a source is picked, a chip bar floats above the input (not a dropdown menu) with the file preview and category chips: Lab / Radiology / Treatment Chart / General. One active at a time. The bar exists only for the duration of that attach action and disappears on send or cancel — it is not a persistent UI element.</w:t>
      </w:r>
    </w:p>
    <w:p>
      <w:pPr>
        <w:pStyle w:val="Heading3"/>
        <w:spacing w:after="100" w:before="240"/>
      </w:pPr>
      <w:r>
        <w:rPr>
          <w:b/>
          <w:bCs/>
          <w:color w:val="2A2A2A"/>
        </w:rPr>
        <w:t xml:space="preserve">4.8 Video call minimize — OS-level Picture-in-Picture, not an in-app floating window</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PiP = system-level video-call continuation across the entire device, not merely navigation within the Perfusion app.</w:t>
            </w:r>
          </w:p>
        </w:tc>
      </w:tr>
    </w:tbl>
    <w:p>
      <w:pPr>
        <w:spacing w:after="100"/>
      </w:pPr>
    </w:p>
    <w:p>
      <w:pPr>
        <w:pStyle w:val="ListParagraph"/>
        <w:numPr>
          <w:ilvl w:val="0"/>
          <w:numId w:val="2"/>
        </w:numPr>
        <w:spacing w:after="60"/>
      </w:pPr>
      <w:r>
        <w:rPr>
          <w:b w:val="false"/>
          <w:bCs w:val="false"/>
        </w:rPr>
        <w:t xml:space="preserve">When a user minimizes an active Perfusion video call, the call must continue in Picture-in-Picture mode at the OS level (same behavior class as WhatsApp's call PiP) — not a custom in-app floating window rendered inside the Perfusion UI.</w:t>
      </w:r>
    </w:p>
    <w:p>
      <w:pPr>
        <w:pStyle w:val="ListParagraph"/>
        <w:numPr>
          <w:ilvl w:val="0"/>
          <w:numId w:val="2"/>
        </w:numPr>
        <w:spacing w:after="60"/>
      </w:pPr>
      <w:r>
        <w:rPr>
          <w:b w:val="false"/>
          <w:bCs w:val="false"/>
        </w:rPr>
        <w:t xml:space="preserve">Implementation must use native platform capability: Android's PictureInPictureParams / enterPictureInPictureMode, iOS's AVKit PiP support for calls. Do not build a floating view that only exists while the Perfusion app itself is foregrounded.</w:t>
      </w:r>
    </w:p>
    <w:p>
      <w:pPr>
        <w:pStyle w:val="ListParagraph"/>
        <w:numPr>
          <w:ilvl w:val="0"/>
          <w:numId w:val="2"/>
        </w:numPr>
        <w:spacing w:after="60"/>
      </w:pPr>
      <w:r>
        <w:rPr>
          <w:b w:val="false"/>
          <w:bCs w:val="false"/>
        </w:rPr>
        <w:t xml:space="preserve">The user can leave the Perfusion app completely — open WhatsApp, Chrome, Phone, Gallery, any other app — and the PiP window remains visible over it, subject to OS PiP behavior/permissions. This must work exactly like leaving a WhatsApp video call running in its PiP bubble.</w:t>
      </w:r>
    </w:p>
    <w:p>
      <w:pPr>
        <w:pStyle w:val="ListParagraph"/>
        <w:numPr>
          <w:ilvl w:val="0"/>
          <w:numId w:val="2"/>
        </w:numPr>
        <w:spacing w:after="60"/>
      </w:pPr>
      <w:r>
        <w:rPr>
          <w:b w:val="false"/>
          <w:bCs w:val="false"/>
        </w:rPr>
        <w:t xml:space="preserve">Minimizing must NOT terminate the consultation or video session. The call continues live; only its presentation changes.</w:t>
      </w:r>
    </w:p>
    <w:p>
      <w:pPr>
        <w:pStyle w:val="ListParagraph"/>
        <w:numPr>
          <w:ilvl w:val="0"/>
          <w:numId w:val="2"/>
        </w:numPr>
        <w:spacing w:after="60"/>
      </w:pPr>
      <w:r>
        <w:rPr>
          <w:b w:val="false"/>
          <w:bCs w:val="false"/>
        </w:rPr>
        <w:t xml:space="preserve">Perfusion-specific behavior for what sits underneath the PiP bubble while the user stays inside the app: minimizing a call must land the user on that patient's Case File / Chat screen — regardless of which screen the call was initiated from (Dashboard, Case File, or an incoming call answered while the user was outside the app entirely), and regardless of whether the call was outgoing or incoming. Never the Dashboard, never wherever the user happened to be beforehand. Sequence: [any starting screen] → Video Call → Minimize → that patient's Case File/Chat (with OS PiP bubble overlaid) → user may keep browsing reports/chat/vitals in-app, or leave the app entirely → tapping the PiP bubble at any point returns to the full-screen call.</w:t>
      </w:r>
    </w:p>
    <w:p>
      <w:pPr>
        <w:pStyle w:val="ListParagraph"/>
        <w:numPr>
          <w:ilvl w:val="0"/>
          <w:numId w:val="2"/>
        </w:numPr>
        <w:spacing w:after="60"/>
      </w:pPr>
      <w:r>
        <w:rPr>
          <w:b w:val="false"/>
          <w:bCs w:val="false"/>
        </w:rPr>
        <w:t xml:space="preserve">This is a native-platform requirement, not a styling decision — flag explicitly to engineering so it isn't built as a cheaper in-app substitute.</w:t>
      </w:r>
    </w:p>
    <w:p>
      <w:pPr>
        <w:pStyle w:val="Heading3"/>
        <w:spacing w:after="100" w:before="240"/>
      </w:pPr>
      <w:r>
        <w:rPr>
          <w:b/>
          <w:bCs/>
          <w:color w:val="2A2A2A"/>
        </w:rPr>
        <w:t xml:space="preserve">4.9 Incoming calls must wake a locked or fully-closed device — native telephony integration, not a push notification</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A normal push notification cannot reliably wake a killed app to show an incoming-call screen. This requires each platform's dedicated call-telephony framework, the same mechanism WhatsApp and Signal use — not a bigger or louder notification.</w:t>
            </w:r>
          </w:p>
        </w:tc>
      </w:tr>
    </w:tbl>
    <w:p>
      <w:pPr>
        <w:spacing w:after="100"/>
      </w:pPr>
    </w:p>
    <w:p>
      <w:pPr>
        <w:pStyle w:val="ListParagraph"/>
        <w:numPr>
          <w:ilvl w:val="0"/>
          <w:numId w:val="2"/>
        </w:numPr>
        <w:spacing w:after="60"/>
      </w:pPr>
      <w:r>
        <w:rPr>
          <w:b w:val="false"/>
          <w:bCs w:val="false"/>
        </w:rPr>
        <w:t xml:space="preserve">The user must receive and be able to answer a Perfusion voice/video call even when the phone screen is off and the app has been fully closed (not merely backgrounded) — identical behavior to WhatsApp/Signal incoming calls.</w:t>
      </w:r>
    </w:p>
    <w:p>
      <w:pPr>
        <w:pStyle w:val="ListParagraph"/>
        <w:numPr>
          <w:ilvl w:val="0"/>
          <w:numId w:val="2"/>
        </w:numPr>
        <w:spacing w:after="60"/>
      </w:pPr>
      <w:r>
        <w:rPr>
          <w:b w:val="false"/>
          <w:bCs w:val="false"/>
        </w:rPr>
        <w:t xml:space="preserve">iOS: implement via PushKit VoIP push + CallKit. A VoIP push can wake the app from a fully-terminated state; CallKit renders Apple's native incoming-call screen over the lock screen with Accept/Decline. This is the only Apple-sanctioned path for this behavior — a standard APNs push does not reliably wake a killed app for a call.</w:t>
      </w:r>
    </w:p>
    <w:p>
      <w:pPr>
        <w:pStyle w:val="ListParagraph"/>
        <w:numPr>
          <w:ilvl w:val="0"/>
          <w:numId w:val="2"/>
        </w:numPr>
        <w:spacing w:after="60"/>
      </w:pPr>
      <w:r>
        <w:rPr>
          <w:b w:val="false"/>
          <w:bCs w:val="false"/>
        </w:rPr>
        <w:t xml:space="preserve">Android: implement via a high-priority FCM message triggering a full-screen intent notification (able to launch an Activity directly over the lock screen), typically paired with the Telecom framework / ConnectionService for native call handling.</w:t>
      </w:r>
    </w:p>
    <w:p>
      <w:pPr>
        <w:pStyle w:val="ListParagraph"/>
        <w:numPr>
          <w:ilvl w:val="0"/>
          <w:numId w:val="2"/>
        </w:numPr>
        <w:spacing w:after="60"/>
      </w:pPr>
      <w:r>
        <w:rPr>
          <w:b w:val="false"/>
          <w:bCs w:val="false"/>
        </w:rPr>
        <w:t xml:space="preserve">Regardless of platform, answering an incoming call from this native call UI must land the user inside the Perfusion app on that patient's Case File / active call screen — not the Dashboard, consistent with Section 4.8's minimize-destination rule.</w:t>
      </w:r>
    </w:p>
    <w:p>
      <w:pPr>
        <w:pStyle w:val="ListParagraph"/>
        <w:numPr>
          <w:ilvl w:val="0"/>
          <w:numId w:val="2"/>
        </w:numPr>
        <w:spacing w:after="60"/>
      </w:pPr>
      <w:r>
        <w:rPr>
          <w:b w:val="false"/>
          <w:bCs w:val="false"/>
        </w:rPr>
        <w:t xml:space="preserve">Flag explicitly to engineering: this is telephony-framework integration work with real platform permission and configuration requirements (VoIP capability entitlement on iOS, Telecom/ConnectionService registration on Android) — it cannot be approximated with a louder or higher-priority ordinary notification.</w:t>
      </w:r>
    </w:p>
    <w:p>
      <w:pPr>
        <w:pStyle w:val="Heading3"/>
        <w:spacing w:after="100" w:before="240"/>
      </w:pPr>
      <w:r>
        <w:rPr>
          <w:b/>
          <w:bCs/>
          <w:color w:val="2A2A2A"/>
        </w:rPr>
        <w:t xml:space="preserve">4.10 URGENT — Call routing must target one specific recipient, never every logged-in session on the account</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Confirmed active defect in the existing product: a Provider call currently rings every session logged into that hospital's Perfusion account simultaneously — e.g. 5 residents and the hospital owner all ring at once for a call meant for one patient. This must be fixed before Provider–Seeker calling ships on mobile.</w:t>
            </w:r>
          </w:p>
        </w:tc>
      </w:tr>
    </w:tbl>
    <w:p>
      <w:pPr>
        <w:spacing w:after="100"/>
      </w:pPr>
    </w:p>
    <w:p>
      <w:pPr>
        <w:pStyle w:val="ListParagraph"/>
        <w:numPr>
          <w:ilvl w:val="0"/>
          <w:numId w:val="2"/>
        </w:numPr>
        <w:spacing w:after="60"/>
      </w:pPr>
      <w:r>
        <w:rPr>
          <w:b w:val="false"/>
          <w:bCs w:val="false"/>
        </w:rPr>
        <w:t xml:space="preserve">A Seeker-side hospital account can have multiple staff members authenticated simultaneously (residents, hospital owner, etc.). An incoming call from a Provider must ring exactly one target, never fan out to every authenticated session on that account.</w:t>
      </w:r>
    </w:p>
    <w:p>
      <w:pPr>
        <w:pStyle w:val="ListParagraph"/>
        <w:numPr>
          <w:ilvl w:val="0"/>
          <w:numId w:val="2"/>
        </w:numPr>
        <w:spacing w:after="60"/>
      </w:pPr>
      <w:r>
        <w:rPr>
          <w:b w:val="false"/>
          <w:bCs w:val="false"/>
        </w:rPr>
        <w:t xml:space="preserve">The routing target is a Seeker account’s currently-set Callback Device (Section 4.11) — not a per-booking selection. There is no Ward Contact/callback-number step in the booking flow; Callback Device is the single, account-level routing mechanism for both web and mobile.</w:t>
      </w:r>
    </w:p>
    <w:p>
      <w:pPr>
        <w:pStyle w:val="ListParagraph"/>
        <w:numPr>
          <w:ilvl w:val="0"/>
          <w:numId w:val="2"/>
        </w:numPr>
        <w:spacing w:after="60"/>
      </w:pPr>
      <w:r>
        <w:rPr>
          <w:b w:val="false"/>
          <w:bCs w:val="false"/>
        </w:rPr>
        <w:t xml:space="preserve">This is backend/session-routing logic, not a client-side UI concern — the fix lives in how the call invite (VoIP push / CallKit or Android ConnectionService target, per Section 4.9) is addressed, not in which screen displays it.</w:t>
      </w:r>
    </w:p>
    <w:p>
      <w:pPr>
        <w:pStyle w:val="ListParagraph"/>
        <w:numPr>
          <w:ilvl w:val="0"/>
          <w:numId w:val="2"/>
        </w:numPr>
        <w:spacing w:after="60"/>
      </w:pPr>
      <w:r>
        <w:rPr>
          <w:b w:val="false"/>
          <w:bCs w:val="false"/>
        </w:rPr>
        <w:t xml:space="preserve">Before shipping calling on mobile, confirm with backend/engineering exactly how the current web app decides which session(s) to ring, and correct that logic to target a single recipient. Do not let mobile calling launch on top of the existing broadcast-to-all-sessions behavior.</w:t>
      </w:r>
    </w:p>
    <w:p>
      <w:pPr>
        <w:pStyle w:val="Heading3"/>
        <w:spacing w:after="100" w:before="240"/>
      </w:pPr>
      <w:r>
        <w:rPr>
          <w:b/>
          <w:bCs/>
          <w:color w:val="2A2A2A"/>
        </w:rPr>
        <w:t xml:space="preserve">4.11 Callback Device (Care Seeker only — Provider is exempt)</w:t>
      </w:r>
    </w:p>
    <w:p>
      <w:pPr>
        <w:pStyle w:val="ListParagraph"/>
        <w:numPr>
          <w:ilvl w:val="0"/>
          <w:numId w:val="2"/>
        </w:numPr>
        <w:spacing w:after="60"/>
      </w:pPr>
      <w:r>
        <w:rPr>
          <w:b w:val="false"/>
          <w:bCs w:val="false"/>
        </w:rPr>
        <w:t xml:space="preserve">Every Seeker-side hospital account maintains a directory of named devices/sessions (e.g. “Dr. Rohan's S24 Ultra”, “Dr. Brajesh's Laptop”), each tied to a (device install + account) pairing — this directory is the mechanism behind Section 4.10's routing fix.</w:t>
      </w:r>
    </w:p>
    <w:p>
      <w:pPr>
        <w:pStyle w:val="ListParagraph"/>
        <w:numPr>
          <w:ilvl w:val="0"/>
          <w:numId w:val="2"/>
        </w:numPr>
        <w:spacing w:after="60"/>
      </w:pPr>
      <w:r>
        <w:rPr>
          <w:b w:val="false"/>
          <w:bCs w:val="false"/>
        </w:rPr>
        <w:t xml:space="preserve">Captured at first login, on both web and mobile: the user is prompted once for a Callback Device name AND a personal mobile number, together, in a single step — not two separate prompts, and not at booking time. This is an account-level setting, not a per-booking one.</w:t>
      </w:r>
    </w:p>
    <w:p>
      <w:pPr>
        <w:pStyle w:val="ListParagraph"/>
        <w:numPr>
          <w:ilvl w:val="0"/>
          <w:numId w:val="2"/>
        </w:numPr>
        <w:spacing w:after="60"/>
      </w:pPr>
      <w:r>
        <w:rPr>
          <w:b w:val="false"/>
          <w:bCs w:val="false"/>
        </w:rPr>
        <w:t xml:space="preserve">The device name becomes the account’s call-routing target immediately. It is reassignable at any point from inside the Case File — mirrors the follow-up-pause pattern (Section 4.3): set once by default, changeable anytime, never locked.</w:t>
      </w:r>
    </w:p>
    <w:p>
      <w:pPr>
        <w:pStyle w:val="ListParagraph"/>
        <w:numPr>
          <w:ilvl w:val="0"/>
          <w:numId w:val="2"/>
        </w:numPr>
        <w:spacing w:after="60"/>
      </w:pPr>
      <w:r>
        <w:rPr>
          <w:b w:val="false"/>
          <w:bCs w:val="false"/>
        </w:rPr>
        <w:t xml:space="preserve">The mobile number captured at the same step does NOT route calls and never triggers anything automatically. It is stored purely as an emergency-contact record for Perfusion admin's own use if a human needs to reach someone directly — a database entry, not a feature.</w:t>
      </w:r>
    </w:p>
    <w:p>
      <w:pPr>
        <w:pStyle w:val="ListParagraph"/>
        <w:numPr>
          <w:ilvl w:val="0"/>
          <w:numId w:val="2"/>
        </w:numPr>
        <w:spacing w:after="60"/>
      </w:pPr>
      <w:r>
        <w:rPr>
          <w:b w:val="false"/>
          <w:bCs w:val="false"/>
        </w:rPr>
        <w:t xml:space="preserve">Device naming is asked once, ever, per (device, account) pairing — never re-prompted on ordinary re-login. Re-prompt triggers only if a different account authenticates on a device previously named under someone else.</w:t>
      </w:r>
    </w:p>
    <w:p>
      <w:pPr>
        <w:pStyle w:val="ListParagraph"/>
        <w:numPr>
          <w:ilvl w:val="0"/>
          <w:numId w:val="2"/>
        </w:numPr>
        <w:spacing w:after="60"/>
      </w:pPr>
      <w:r>
        <w:rPr>
          <w:b w:val="false"/>
          <w:bCs w:val="false"/>
        </w:rPr>
        <w:t xml:space="preserve">Suggested name pre-fills as “[person's name]'s [device model]”, editable. Duplicate names within one hospital account are rejected — the backend must enforce uniqueness, prompting for a different name on collision.</w:t>
      </w:r>
    </w:p>
    <w:p>
      <w:pPr>
        <w:pStyle w:val="ListParagraph"/>
        <w:numPr>
          <w:ilvl w:val="0"/>
          <w:numId w:val="2"/>
        </w:numPr>
        <w:spacing w:after="60"/>
      </w:pPr>
      <w:r>
        <w:rPr>
          <w:b w:val="false"/>
          <w:bCs w:val="false"/>
        </w:rPr>
        <w:t xml:space="preserve">Device management (rename/delete) lives in Settings, not the Case File.</w:t>
      </w:r>
    </w:p>
    <w:p>
      <w:pPr>
        <w:pStyle w:val="ListParagraph"/>
        <w:numPr>
          <w:ilvl w:val="0"/>
          <w:numId w:val="2"/>
        </w:numPr>
        <w:spacing w:after="60"/>
      </w:pPr>
      <w:r>
        <w:rPr>
          <w:b w:val="false"/>
          <w:bCs w:val="false"/>
        </w:rPr>
        <w:t xml:space="preserve">A recurring reminder (every 4 hours) nudges reconfirmation of the current callback device. This surfaces as: (a) the Callback Device row itself entering a blinking/attention visual state directly inside the Case File — no separate banner or in-app notification tray element — and (b) a standard OS push notification, added to the existing Notifications category list. This is deliberately Case-File-only: a Dashboard placement was tried during design and removed as visually too cluttered — do not re-add it to the Dashboard.</w:t>
      </w:r>
    </w:p>
    <w:p>
      <w:pPr>
        <w:pStyle w:val="ListParagraph"/>
        <w:numPr>
          <w:ilvl w:val="0"/>
          <w:numId w:val="2"/>
        </w:numPr>
        <w:spacing w:after="60"/>
      </w:pPr>
      <w:r>
        <w:rPr>
          <w:b w:val="false"/>
          <w:bCs w:val="false"/>
        </w:rPr>
        <w:t xml:space="preserve">Selecting (or re-selecting) a device from the picker clears the “due” state — re-confirming the current device is a valid way to resolve the reminder, not just switching to a different one.</w:t>
      </w:r>
    </w:p>
    <w:p>
      <w:pPr>
        <w:pStyle w:val="ListParagraph"/>
        <w:numPr>
          <w:ilvl w:val="0"/>
          <w:numId w:val="2"/>
        </w:numPr>
        <w:spacing w:after="60"/>
      </w:pPr>
      <w:r>
        <w:rPr>
          <w:b w:val="false"/>
          <w:bCs w:val="false"/>
        </w:rPr>
        <w:t xml:space="preserve">No-answer escalation: if the targeted callback device does not answer, the system places a real PSTN call via the existing (paused-but-preserved, see Section 4.13) Twilio integration to Perfusion's OWN admin — regardless of direction (Provider-calling-Seeker or Seeker-calling-Provider). This is a Perfusion-internal escalation call, distinct from the now-removed Seeker↔Provider cellular calling — there is no hospital-side admin escalation target; it is always Perfusion's admin.</w:t>
      </w:r>
    </w:p>
    <w:p>
      <w:pPr>
        <w:pStyle w:val="ListParagraph"/>
        <w:numPr>
          <w:ilvl w:val="0"/>
          <w:numId w:val="2"/>
        </w:numPr>
        <w:spacing w:after="60"/>
      </w:pPr>
      <w:r>
        <w:rPr>
          <w:b w:val="false"/>
          <w:bCs w:val="false"/>
        </w:rPr>
        <w:t xml:space="preserve">Provider carries none of this — no device directory, no callback selection UI, nothing. Provider is a single-user account and manages their own calls directly; the escalation-to-Perfusion's-admin path still applies if a Provider fails to answer, but there is no routing/device layer on their side to build.</w:t>
      </w:r>
    </w:p>
    <w:p>
      <w:pPr>
        <w:pStyle w:val="ListParagraph"/>
        <w:numPr>
          <w:ilvl w:val="0"/>
          <w:numId w:val="2"/>
        </w:numPr>
        <w:spacing w:after="60"/>
      </w:pPr>
      <w:r>
        <w:rPr>
          <w:b w:val="false"/>
          <w:bCs w:val="false"/>
        </w:rPr>
        <w:t xml:space="preserve">Cross-platform scope: Care Seeker is mobile/tablet-only by product decision (no laptop/web login) — the bedside, patient-facing use case requires a handheld device. Care Provider may use any device including the existing web app, so this directory does not need to span platforms on the Seeker side, but Provider-side session/device identity (relevant to future CallKit/telephony work) does need to work across both.</w:t>
      </w:r>
    </w:p>
    <w:p>
      <w:pPr>
        <w:pStyle w:val="Heading3"/>
        <w:spacing w:after="100" w:before="240"/>
      </w:pPr>
      <w:r>
        <w:rPr>
          <w:b/>
          <w:bCs/>
          <w:color w:val="2A2A2A"/>
        </w:rPr>
        <w:t xml:space="preserve">4.12 Session persistence — explicit override of the original specification's AUTH-05</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This section deliberately reverses two requirements stated in the original wireframe document. Both overrides are intentional and confirmed, not an oversight to reconcile later.</w:t>
            </w:r>
          </w:p>
        </w:tc>
      </w:tr>
    </w:tbl>
    <w:p>
      <w:pPr>
        <w:spacing w:after="100"/>
      </w:pPr>
    </w:p>
    <w:p>
      <w:pPr>
        <w:pStyle w:val="ListParagraph"/>
        <w:numPr>
          <w:ilvl w:val="0"/>
          <w:numId w:val="2"/>
        </w:numPr>
        <w:spacing w:after="60"/>
      </w:pPr>
      <w:r>
        <w:rPr>
          <w:b w:val="false"/>
          <w:bCs w:val="false"/>
        </w:rPr>
        <w:t xml:space="preserve">The application keeps the user logged in indefinitely — WhatsApp-style — until the user manually logs out from Settings. This replaces the original document's 15-day session expiry (Section 10, AUTH-05) in full, for both Provider and Seeker.</w:t>
      </w:r>
    </w:p>
    <w:p>
      <w:pPr>
        <w:pStyle w:val="ListParagraph"/>
        <w:numPr>
          <w:ilvl w:val="0"/>
          <w:numId w:val="2"/>
        </w:numPr>
        <w:spacing w:after="60"/>
      </w:pPr>
      <w:r>
        <w:rPr>
          <w:b w:val="false"/>
          <w:bCs w:val="false"/>
        </w:rPr>
        <w:t xml:space="preserve">A successful password change no longer forces logout. This overrides the original document's explicit requirement that password change terminates the session and requires re-login.</w:t>
      </w:r>
    </w:p>
    <w:p>
      <w:pPr>
        <w:pStyle w:val="ListParagraph"/>
        <w:numPr>
          <w:ilvl w:val="0"/>
          <w:numId w:val="2"/>
        </w:numPr>
        <w:spacing w:after="60"/>
      </w:pPr>
      <w:r>
        <w:rPr>
          <w:b w:val="false"/>
          <w:bCs w:val="false"/>
        </w:rPr>
        <w:t xml:space="preserve">Implementation guidance, not a product requirement change: “feels infinite to the user” should still be implemented securely underneath via silently rotating/refreshable auth tokens, not one credential valid forever with no renewal. The product requirement governs user-facing experience; it is not license to skip standard token-refresh hygiene.</w:t>
      </w:r>
    </w:p>
    <w:p>
      <w:pPr>
        <w:pStyle w:val="ListParagraph"/>
        <w:numPr>
          <w:ilvl w:val="0"/>
          <w:numId w:val="2"/>
        </w:numPr>
        <w:spacing w:after="60"/>
      </w:pPr>
      <w:r>
        <w:rPr>
          <w:b w:val="false"/>
          <w:bCs w:val="false"/>
        </w:rPr>
        <w:t xml:space="preserve">Logout is placed deliberately deep inside Settings — not a one-tap action reachable from any primary screen — specifically to prevent impulsive or accidental logouts, consistent with the persistent-login model. This friction is intentional.</w:t>
      </w:r>
    </w:p>
    <w:p>
      <w:pPr>
        <w:pStyle w:val="Heading3"/>
        <w:spacing w:after="100" w:before="240"/>
      </w:pPr>
      <w:r>
        <w:rPr>
          <w:b/>
          <w:bCs/>
          <w:color w:val="2A2A2A"/>
        </w:rPr>
        <w:t xml:space="preserve">4.13 Calling UX — VoIP-only, no waiting-room step, Twilio paused not deleted</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All Seeker↔Provider calling — voice and video — happens via in-app VoIP, exactly like WhatsApp. There is no cellular/Twilio call triggered from tapping Call or Video, on web or mobile, from this point forward.</w:t>
            </w:r>
          </w:p>
        </w:tc>
      </w:tr>
    </w:tbl>
    <w:p>
      <w:pPr>
        <w:spacing w:after="100"/>
      </w:pPr>
    </w:p>
    <w:p>
      <w:pPr>
        <w:pStyle w:val="ListParagraph"/>
        <w:numPr>
          <w:ilvl w:val="0"/>
          <w:numId w:val="2"/>
        </w:numPr>
        <w:spacing w:after="60"/>
      </w:pPr>
      <w:r>
        <w:rPr>
          <w:b w:val="false"/>
          <w:bCs w:val="false"/>
        </w:rPr>
        <w:t xml:space="preserve">Tapping Call or Video fires the existing in-app ring system directly (ring/accept/decline/cancel, push notifications). There is no intermediate “waiting for the other party” screen with a manual “Call”/“Ring” button — that step is removed entirely, not relabeled.</w:t>
      </w:r>
    </w:p>
    <w:p>
      <w:pPr>
        <w:pStyle w:val="ListParagraph"/>
        <w:numPr>
          <w:ilvl w:val="0"/>
          <w:numId w:val="2"/>
        </w:numPr>
        <w:spacing w:after="60"/>
      </w:pPr>
      <w:r>
        <w:rPr>
          <w:b w:val="false"/>
          <w:bCs w:val="false"/>
        </w:rPr>
        <w:t xml:space="preserve">The Twilio cellular-bridge backend, Ward Contacts data, and all related routes/services are NOT deleted — they are paused behind a server-side feature flag (default disabled) and hidden from every frontend surface on both web and mobile. This preserves the option to reintroduce Twilio-to-real-number calling later as a connectivity fallback, without rebuilding it from scratch.</w:t>
      </w:r>
    </w:p>
    <w:p>
      <w:pPr>
        <w:pStyle w:val="ListParagraph"/>
        <w:numPr>
          <w:ilvl w:val="0"/>
          <w:numId w:val="2"/>
        </w:numPr>
        <w:spacing w:after="60"/>
      </w:pPr>
      <w:r>
        <w:rPr>
          <w:b w:val="false"/>
          <w:bCs w:val="false"/>
        </w:rPr>
        <w:t xml:space="preserve">Ward Contacts (the saved MICU/resident phone numbers) remain stored and editable in the Seeker profile, with copy corrected to describe them as dormant records rather than active call-routing data. They no longer drive any booking or calling behavior — Callback Device (Section 4.11) is the sole routing mechanism now.</w:t>
      </w:r>
    </w:p>
    <w:p>
      <w:pPr>
        <w:pStyle w:val="ListParagraph"/>
        <w:numPr>
          <w:ilvl w:val="0"/>
          <w:numId w:val="2"/>
        </w:numPr>
        <w:spacing w:after="60"/>
      </w:pPr>
      <w:r>
        <w:rPr>
          <w:b w:val="false"/>
          <w:bCs w:val="false"/>
        </w:rPr>
        <w:t xml:space="preserve">The `callbackPhone` field is no longer required anywhere in the booking flow, on either platform — see Section 7.7, which no longer includes a Call-back Number field at all.</w:t>
      </w:r>
    </w:p>
    <w:p>
      <w:r>
        <w:br w:type="page"/>
      </w:r>
    </w:p>
    <w:p>
      <w:pPr>
        <w:pStyle w:val="Heading1"/>
        <w:spacing w:after="200" w:before="400"/>
      </w:pPr>
      <w:r>
        <w:t xml:space="preserve">5. Communication Permission Matrix (rewritten)</w:t>
      </w:r>
    </w:p>
    <w:p>
      <w:pPr>
        <w:spacing w:after="120"/>
      </w:pPr>
      <w:r>
        <w:rPr>
          <w:b w:val="false"/>
          <w:bCs w:val="false"/>
          <w:i w:val="false"/>
          <w:iCs w:val="false"/>
        </w:rPr>
        <w:t xml:space="preserve">This table replaces Section 8 of the original document in full.</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2400"/>
        <w:gridCol w:w="2300"/>
        <w:gridCol w:w="2300"/>
        <w:gridCol w:w="2350"/>
      </w:tblGrid>
      <w:tr>
        <w:trPr>
          <w:tblHeader/>
        </w:trPr>
        <w:tc>
          <w:tcPr>
            <w:tcW w:type="dxa" w:w="2400"/>
            <w:shd w:fill="2A2A2A" w:val="clear"/>
            <w:tcMar>
              <w:top w:type="dxa" w:w="100"/>
              <w:left w:type="dxa" w:w="120"/>
              <w:bottom w:type="dxa" w:w="100"/>
              <w:right w:type="dxa" w:w="120"/>
            </w:tcMar>
          </w:tcPr>
          <w:p>
            <w:r>
              <w:rPr>
                <w:b/>
                <w:bCs/>
                <w:color w:val="FFFFFF"/>
                <w:sz w:val="18"/>
                <w:szCs w:val="18"/>
              </w:rPr>
              <w:t xml:space="preserve">Window state</w:t>
            </w:r>
          </w:p>
        </w:tc>
        <w:tc>
          <w:tcPr>
            <w:tcW w:type="dxa" w:w="2300"/>
            <w:shd w:fill="2A2A2A" w:val="clear"/>
            <w:tcMar>
              <w:top w:type="dxa" w:w="100"/>
              <w:left w:type="dxa" w:w="120"/>
              <w:bottom w:type="dxa" w:w="100"/>
              <w:right w:type="dxa" w:w="120"/>
            </w:tcMar>
          </w:tcPr>
          <w:p>
            <w:r>
              <w:rPr>
                <w:b/>
                <w:bCs/>
                <w:color w:val="FFFFFF"/>
                <w:sz w:val="18"/>
                <w:szCs w:val="18"/>
              </w:rPr>
              <w:t xml:space="preserve">Provider Call/Video</w:t>
            </w:r>
          </w:p>
        </w:tc>
        <w:tc>
          <w:tcPr>
            <w:tcW w:type="dxa" w:w="2300"/>
            <w:shd w:fill="2A2A2A" w:val="clear"/>
            <w:tcMar>
              <w:top w:type="dxa" w:w="100"/>
              <w:left w:type="dxa" w:w="120"/>
              <w:bottom w:type="dxa" w:w="100"/>
              <w:right w:type="dxa" w:w="120"/>
            </w:tcMar>
          </w:tcPr>
          <w:p>
            <w:r>
              <w:rPr>
                <w:b/>
                <w:bCs/>
                <w:color w:val="FFFFFF"/>
                <w:sz w:val="18"/>
                <w:szCs w:val="18"/>
              </w:rPr>
              <w:t xml:space="preserve">Seeker Call/Video</w:t>
            </w:r>
          </w:p>
        </w:tc>
        <w:tc>
          <w:tcPr>
            <w:tcW w:type="dxa" w:w="2350"/>
            <w:shd w:fill="2A2A2A" w:val="clear"/>
            <w:tcMar>
              <w:top w:type="dxa" w:w="100"/>
              <w:left w:type="dxa" w:w="120"/>
              <w:bottom w:type="dxa" w:w="100"/>
              <w:right w:type="dxa" w:w="120"/>
            </w:tcMar>
          </w:tcPr>
          <w:p>
            <w:r>
              <w:rPr>
                <w:b/>
                <w:bCs/>
                <w:color w:val="FFFFFF"/>
                <w:sz w:val="18"/>
                <w:szCs w:val="18"/>
              </w:rPr>
              <w:t xml:space="preserve">Chat (both sides)</w:t>
            </w:r>
          </w:p>
        </w:tc>
      </w:tr>
      <w:tr>
        <w:tc>
          <w:tcPr>
            <w:tcW w:type="dxa" w:w="2400"/>
            <w:shd w:fill="FFFFFF" w:val="clear"/>
            <w:tcMar>
              <w:top w:type="dxa" w:w="90"/>
              <w:left w:type="dxa" w:w="120"/>
              <w:bottom w:type="dxa" w:w="90"/>
              <w:right w:type="dxa" w:w="120"/>
            </w:tcMar>
          </w:tcPr>
          <w:p>
            <w:r>
              <w:rPr>
                <w:sz w:val="18"/>
                <w:szCs w:val="18"/>
              </w:rPr>
              <w:t xml:space="preserve">Ongoing — Live (active call right now)</w:t>
            </w:r>
          </w:p>
        </w:tc>
        <w:tc>
          <w:tcPr>
            <w:tcW w:type="dxa" w:w="2300"/>
            <w:shd w:fill="FFFFFF" w:val="clear"/>
            <w:tcMar>
              <w:top w:type="dxa" w:w="90"/>
              <w:left w:type="dxa" w:w="120"/>
              <w:bottom w:type="dxa" w:w="90"/>
              <w:right w:type="dxa" w:w="120"/>
            </w:tcMar>
          </w:tcPr>
          <w:p>
            <w:r>
              <w:rPr>
                <w:sz w:val="18"/>
                <w:szCs w:val="18"/>
              </w:rPr>
              <w:t xml:space="preserve">Always available</w:t>
            </w:r>
          </w:p>
        </w:tc>
        <w:tc>
          <w:tcPr>
            <w:tcW w:type="dxa" w:w="2300"/>
            <w:shd w:fill="FFFFFF" w:val="clear"/>
            <w:tcMar>
              <w:top w:type="dxa" w:w="90"/>
              <w:left w:type="dxa" w:w="120"/>
              <w:bottom w:type="dxa" w:w="90"/>
              <w:right w:type="dxa" w:w="120"/>
            </w:tcMar>
          </w:tcPr>
          <w:p>
            <w:r>
              <w:rPr>
                <w:sz w:val="18"/>
                <w:szCs w:val="18"/>
              </w:rPr>
              <w:t xml:space="preserve">Always available</w:t>
            </w:r>
          </w:p>
        </w:tc>
        <w:tc>
          <w:tcPr>
            <w:tcW w:type="dxa" w:w="2350"/>
            <w:shd w:fill="FFFFFF" w:val="clear"/>
            <w:tcMar>
              <w:top w:type="dxa" w:w="90"/>
              <w:left w:type="dxa" w:w="120"/>
              <w:bottom w:type="dxa" w:w="90"/>
              <w:right w:type="dxa" w:w="120"/>
            </w:tcMar>
          </w:tcPr>
          <w:p>
            <w:r>
              <w:rPr>
                <w:sz w:val="18"/>
                <w:szCs w:val="18"/>
              </w:rPr>
              <w:t xml:space="preserve">Available</w:t>
            </w:r>
          </w:p>
        </w:tc>
      </w:tr>
      <w:tr>
        <w:tc>
          <w:tcPr>
            <w:tcW w:type="dxa" w:w="2400"/>
            <w:shd w:fill="F7F7F9" w:val="clear"/>
            <w:tcMar>
              <w:top w:type="dxa" w:w="90"/>
              <w:left w:type="dxa" w:w="120"/>
              <w:bottom w:type="dxa" w:w="90"/>
              <w:right w:type="dxa" w:w="120"/>
            </w:tcMar>
          </w:tcPr>
          <w:p>
            <w:r>
              <w:rPr>
                <w:sz w:val="18"/>
                <w:szCs w:val="18"/>
              </w:rPr>
              <w:t xml:space="preserve">Ongoing — Quiet, follow-up Active</w:t>
            </w:r>
          </w:p>
        </w:tc>
        <w:tc>
          <w:tcPr>
            <w:tcW w:type="dxa" w:w="2300"/>
            <w:shd w:fill="F7F7F9" w:val="clear"/>
            <w:tcMar>
              <w:top w:type="dxa" w:w="90"/>
              <w:left w:type="dxa" w:w="120"/>
              <w:bottom w:type="dxa" w:w="90"/>
              <w:right w:type="dxa" w:w="120"/>
            </w:tcMar>
          </w:tcPr>
          <w:p>
            <w:r>
              <w:rPr>
                <w:sz w:val="18"/>
                <w:szCs w:val="18"/>
              </w:rPr>
              <w:t xml:space="preserve">Always available</w:t>
            </w:r>
          </w:p>
        </w:tc>
        <w:tc>
          <w:tcPr>
            <w:tcW w:type="dxa" w:w="2300"/>
            <w:shd w:fill="F7F7F9" w:val="clear"/>
            <w:tcMar>
              <w:top w:type="dxa" w:w="90"/>
              <w:left w:type="dxa" w:w="120"/>
              <w:bottom w:type="dxa" w:w="90"/>
              <w:right w:type="dxa" w:w="120"/>
            </w:tcMar>
          </w:tcPr>
          <w:p>
            <w:r>
              <w:rPr>
                <w:sz w:val="18"/>
                <w:szCs w:val="18"/>
              </w:rPr>
              <w:t xml:space="preserve">Available</w:t>
            </w:r>
          </w:p>
        </w:tc>
        <w:tc>
          <w:tcPr>
            <w:tcW w:type="dxa" w:w="2350"/>
            <w:shd w:fill="F7F7F9" w:val="clear"/>
            <w:tcMar>
              <w:top w:type="dxa" w:w="90"/>
              <w:left w:type="dxa" w:w="120"/>
              <w:bottom w:type="dxa" w:w="90"/>
              <w:right w:type="dxa" w:w="120"/>
            </w:tcMar>
          </w:tcPr>
          <w:p>
            <w:r>
              <w:rPr>
                <w:sz w:val="18"/>
                <w:szCs w:val="18"/>
              </w:rPr>
              <w:t xml:space="preserve">Available</w:t>
            </w:r>
          </w:p>
        </w:tc>
      </w:tr>
      <w:tr>
        <w:tc>
          <w:tcPr>
            <w:tcW w:type="dxa" w:w="2400"/>
            <w:shd w:fill="FFFFFF" w:val="clear"/>
            <w:tcMar>
              <w:top w:type="dxa" w:w="90"/>
              <w:left w:type="dxa" w:w="120"/>
              <w:bottom w:type="dxa" w:w="90"/>
              <w:right w:type="dxa" w:w="120"/>
            </w:tcMar>
          </w:tcPr>
          <w:p>
            <w:r>
              <w:rPr>
                <w:sz w:val="18"/>
                <w:szCs w:val="18"/>
              </w:rPr>
              <w:t xml:space="preserve">Ongoing — Quiet, follow-up Paused</w:t>
            </w:r>
          </w:p>
        </w:tc>
        <w:tc>
          <w:tcPr>
            <w:tcW w:type="dxa" w:w="2300"/>
            <w:shd w:fill="FFFFFF" w:val="clear"/>
            <w:tcMar>
              <w:top w:type="dxa" w:w="90"/>
              <w:left w:type="dxa" w:w="120"/>
              <w:bottom w:type="dxa" w:w="90"/>
              <w:right w:type="dxa" w:w="120"/>
            </w:tcMar>
          </w:tcPr>
          <w:p>
            <w:r>
              <w:rPr>
                <w:sz w:val="18"/>
                <w:szCs w:val="18"/>
              </w:rPr>
              <w:t xml:space="preserve">Always available (unaffected)</w:t>
            </w:r>
          </w:p>
        </w:tc>
        <w:tc>
          <w:tcPr>
            <w:tcW w:type="dxa" w:w="2300"/>
            <w:shd w:fill="FFFFFF" w:val="clear"/>
            <w:tcMar>
              <w:top w:type="dxa" w:w="90"/>
              <w:left w:type="dxa" w:w="120"/>
              <w:bottom w:type="dxa" w:w="90"/>
              <w:right w:type="dxa" w:w="120"/>
            </w:tcMar>
          </w:tcPr>
          <w:p>
            <w:r>
              <w:rPr>
                <w:sz w:val="18"/>
                <w:szCs w:val="18"/>
              </w:rPr>
              <w:t xml:space="preserve">Unavailable — silent, no label</w:t>
            </w:r>
          </w:p>
        </w:tc>
        <w:tc>
          <w:tcPr>
            <w:tcW w:type="dxa" w:w="2350"/>
            <w:shd w:fill="FFFFFF" w:val="clear"/>
            <w:tcMar>
              <w:top w:type="dxa" w:w="90"/>
              <w:left w:type="dxa" w:w="120"/>
              <w:bottom w:type="dxa" w:w="90"/>
              <w:right w:type="dxa" w:w="120"/>
            </w:tcMar>
          </w:tcPr>
          <w:p>
            <w:r>
              <w:rPr>
                <w:sz w:val="18"/>
                <w:szCs w:val="18"/>
              </w:rPr>
              <w:t xml:space="preserve">Available (unaffected by pause)</w:t>
            </w:r>
          </w:p>
        </w:tc>
      </w:tr>
      <w:tr>
        <w:tc>
          <w:tcPr>
            <w:tcW w:type="dxa" w:w="2400"/>
            <w:shd w:fill="F7F7F9" w:val="clear"/>
            <w:tcMar>
              <w:top w:type="dxa" w:w="90"/>
              <w:left w:type="dxa" w:w="120"/>
              <w:bottom w:type="dxa" w:w="90"/>
              <w:right w:type="dxa" w:w="120"/>
            </w:tcMar>
          </w:tcPr>
          <w:p>
            <w:r>
              <w:rPr>
                <w:sz w:val="18"/>
                <w:szCs w:val="18"/>
              </w:rPr>
              <w:t xml:space="preserve">Completed (24h window elapsed)</w:t>
            </w:r>
          </w:p>
        </w:tc>
        <w:tc>
          <w:tcPr>
            <w:tcW w:type="dxa" w:w="2300"/>
            <w:shd w:fill="F7F7F9" w:val="clear"/>
            <w:tcMar>
              <w:top w:type="dxa" w:w="90"/>
              <w:left w:type="dxa" w:w="120"/>
              <w:bottom w:type="dxa" w:w="90"/>
              <w:right w:type="dxa" w:w="120"/>
            </w:tcMar>
          </w:tcPr>
          <w:p>
            <w:r>
              <w:rPr>
                <w:sz w:val="18"/>
                <w:szCs w:val="18"/>
              </w:rPr>
              <w:t xml:space="preserve">Unavailable</w:t>
            </w:r>
          </w:p>
        </w:tc>
        <w:tc>
          <w:tcPr>
            <w:tcW w:type="dxa" w:w="2300"/>
            <w:shd w:fill="F7F7F9" w:val="clear"/>
            <w:tcMar>
              <w:top w:type="dxa" w:w="90"/>
              <w:left w:type="dxa" w:w="120"/>
              <w:bottom w:type="dxa" w:w="90"/>
              <w:right w:type="dxa" w:w="120"/>
            </w:tcMar>
          </w:tcPr>
          <w:p>
            <w:r>
              <w:rPr>
                <w:sz w:val="18"/>
                <w:szCs w:val="18"/>
              </w:rPr>
              <w:t xml:space="preserve">Unavailable</w:t>
            </w:r>
          </w:p>
        </w:tc>
        <w:tc>
          <w:tcPr>
            <w:tcW w:type="dxa" w:w="2350"/>
            <w:shd w:fill="F7F7F9" w:val="clear"/>
            <w:tcMar>
              <w:top w:type="dxa" w:w="90"/>
              <w:left w:type="dxa" w:w="120"/>
              <w:bottom w:type="dxa" w:w="90"/>
              <w:right w:type="dxa" w:w="120"/>
            </w:tcMar>
          </w:tcPr>
          <w:p>
            <w:r>
              <w:rPr>
                <w:sz w:val="18"/>
                <w:szCs w:val="18"/>
              </w:rPr>
              <w:t xml:space="preserve">Unavailable — record remains view-only via Case File</w:t>
            </w:r>
          </w:p>
        </w:tc>
      </w:tr>
      <w:tr>
        <w:tc>
          <w:tcPr>
            <w:tcW w:type="dxa" w:w="2400"/>
            <w:shd w:fill="FFFFFF" w:val="clear"/>
            <w:tcMar>
              <w:top w:type="dxa" w:w="90"/>
              <w:left w:type="dxa" w:w="120"/>
              <w:bottom w:type="dxa" w:w="90"/>
              <w:right w:type="dxa" w:w="120"/>
            </w:tcMar>
          </w:tcPr>
          <w:p>
            <w:r>
              <w:rPr>
                <w:sz w:val="18"/>
                <w:szCs w:val="18"/>
              </w:rPr>
              <w:t xml:space="preserve">Cancelled / Rejected / Missed / Expired</w:t>
            </w:r>
          </w:p>
        </w:tc>
        <w:tc>
          <w:tcPr>
            <w:tcW w:type="dxa" w:w="2300"/>
            <w:shd w:fill="FFFFFF" w:val="clear"/>
            <w:tcMar>
              <w:top w:type="dxa" w:w="90"/>
              <w:left w:type="dxa" w:w="120"/>
              <w:bottom w:type="dxa" w:w="90"/>
              <w:right w:type="dxa" w:w="120"/>
            </w:tcMar>
          </w:tcPr>
          <w:p>
            <w:r>
              <w:rPr>
                <w:sz w:val="18"/>
                <w:szCs w:val="18"/>
              </w:rPr>
              <w:t xml:space="preserve">Unavailable</w:t>
            </w:r>
          </w:p>
        </w:tc>
        <w:tc>
          <w:tcPr>
            <w:tcW w:type="dxa" w:w="2300"/>
            <w:shd w:fill="FFFFFF" w:val="clear"/>
            <w:tcMar>
              <w:top w:type="dxa" w:w="90"/>
              <w:left w:type="dxa" w:w="120"/>
              <w:bottom w:type="dxa" w:w="90"/>
              <w:right w:type="dxa" w:w="120"/>
            </w:tcMar>
          </w:tcPr>
          <w:p>
            <w:r>
              <w:rPr>
                <w:sz w:val="18"/>
                <w:szCs w:val="18"/>
              </w:rPr>
              <w:t xml:space="preserve">Unavailable</w:t>
            </w:r>
          </w:p>
        </w:tc>
        <w:tc>
          <w:tcPr>
            <w:tcW w:type="dxa" w:w="2350"/>
            <w:shd w:fill="FFFFFF" w:val="clear"/>
            <w:tcMar>
              <w:top w:type="dxa" w:w="90"/>
              <w:left w:type="dxa" w:w="120"/>
              <w:bottom w:type="dxa" w:w="90"/>
              <w:right w:type="dxa" w:w="120"/>
            </w:tcMar>
          </w:tcPr>
          <w:p>
            <w:r>
              <w:rPr>
                <w:sz w:val="18"/>
                <w:szCs w:val="18"/>
              </w:rPr>
              <w:t xml:space="preserve">Unavailable — Case File remains viewable; Clinical Advisory not applicable (nothing to advise on)</w:t>
            </w:r>
          </w:p>
        </w:tc>
      </w:tr>
    </w:tbl>
    <w:p>
      <w:r>
        <w:br w:type="page"/>
      </w:r>
    </w:p>
    <w:p>
      <w:pPr>
        <w:pStyle w:val="Heading1"/>
        <w:spacing w:after="200" w:before="400"/>
      </w:pPr>
      <w:r>
        <w:t xml:space="preserve">6. Screen Inventory</w:t>
      </w:r>
    </w:p>
    <w:p>
      <w:pPr>
        <w:pStyle w:val="Heading2"/>
        <w:spacing w:after="150" w:before="300"/>
      </w:pPr>
      <w:r>
        <w:t xml:space="preserve">6.1 Tier 1 — Designed, full spec in Section 7</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500"/>
        <w:gridCol w:w="4200"/>
        <w:gridCol w:w="1000"/>
        <w:gridCol w:w="2650"/>
      </w:tblGrid>
      <w:tr>
        <w:trPr>
          <w:tblHeader/>
        </w:trPr>
        <w:tc>
          <w:tcPr>
            <w:tcW w:type="dxa" w:w="1500"/>
            <w:shd w:fill="2A2A2A" w:val="clear"/>
            <w:tcMar>
              <w:top w:type="dxa" w:w="100"/>
              <w:left w:type="dxa" w:w="120"/>
              <w:bottom w:type="dxa" w:w="100"/>
              <w:right w:type="dxa" w:w="120"/>
            </w:tcMar>
          </w:tcPr>
          <w:p>
            <w:r>
              <w:rPr>
                <w:b/>
                <w:bCs/>
                <w:color w:val="FFFFFF"/>
                <w:sz w:val="18"/>
                <w:szCs w:val="18"/>
              </w:rPr>
              <w:t xml:space="preserve">ID</w:t>
            </w:r>
          </w:p>
        </w:tc>
        <w:tc>
          <w:tcPr>
            <w:tcW w:type="dxa" w:w="4200"/>
            <w:shd w:fill="2A2A2A" w:val="clear"/>
            <w:tcMar>
              <w:top w:type="dxa" w:w="100"/>
              <w:left w:type="dxa" w:w="120"/>
              <w:bottom w:type="dxa" w:w="100"/>
              <w:right w:type="dxa" w:w="120"/>
            </w:tcMar>
          </w:tcPr>
          <w:p>
            <w:r>
              <w:rPr>
                <w:b/>
                <w:bCs/>
                <w:color w:val="FFFFFF"/>
                <w:sz w:val="18"/>
                <w:szCs w:val="18"/>
              </w:rPr>
              <w:t xml:space="preserve">Screen</w:t>
            </w:r>
          </w:p>
        </w:tc>
        <w:tc>
          <w:tcPr>
            <w:tcW w:type="dxa" w:w="1000"/>
            <w:shd w:fill="2A2A2A" w:val="clear"/>
            <w:tcMar>
              <w:top w:type="dxa" w:w="100"/>
              <w:left w:type="dxa" w:w="120"/>
              <w:bottom w:type="dxa" w:w="100"/>
              <w:right w:type="dxa" w:w="120"/>
            </w:tcMar>
          </w:tcPr>
          <w:p>
            <w:r>
              <w:rPr>
                <w:b/>
                <w:bCs/>
                <w:color w:val="FFFFFF"/>
                <w:sz w:val="18"/>
                <w:szCs w:val="18"/>
              </w:rPr>
              <w:t xml:space="preserve">Role</w:t>
            </w:r>
          </w:p>
        </w:tc>
        <w:tc>
          <w:tcPr>
            <w:tcW w:type="dxa" w:w="2650"/>
            <w:shd w:fill="2A2A2A" w:val="clear"/>
            <w:tcMar>
              <w:top w:type="dxa" w:w="100"/>
              <w:left w:type="dxa" w:w="120"/>
              <w:bottom w:type="dxa" w:w="100"/>
              <w:right w:type="dxa" w:w="120"/>
            </w:tcMar>
          </w:tcPr>
          <w:p>
            <w:r>
              <w:rPr>
                <w:b/>
                <w:bCs/>
                <w:color w:val="FFFFFF"/>
                <w:sz w:val="18"/>
                <w:szCs w:val="18"/>
              </w:rPr>
              <w:t xml:space="preserve">Reference file</w:t>
            </w:r>
          </w:p>
        </w:tc>
      </w:tr>
      <w:tr>
        <w:tc>
          <w:tcPr>
            <w:tcW w:type="dxa" w:w="1500"/>
            <w:shd w:fill="FFFFFF" w:val="clear"/>
            <w:tcMar>
              <w:top w:type="dxa" w:w="90"/>
              <w:left w:type="dxa" w:w="120"/>
              <w:bottom w:type="dxa" w:w="90"/>
              <w:right w:type="dxa" w:w="120"/>
            </w:tcMar>
          </w:tcPr>
          <w:p>
            <w:r>
              <w:rPr>
                <w:sz w:val="18"/>
                <w:szCs w:val="18"/>
              </w:rPr>
              <w:t xml:space="preserve">CP-01</w:t>
            </w:r>
          </w:p>
        </w:tc>
        <w:tc>
          <w:tcPr>
            <w:tcW w:type="dxa" w:w="4200"/>
            <w:shd w:fill="FFFFFF" w:val="clear"/>
            <w:tcMar>
              <w:top w:type="dxa" w:w="90"/>
              <w:left w:type="dxa" w:w="120"/>
              <w:bottom w:type="dxa" w:w="90"/>
              <w:right w:type="dxa" w:w="120"/>
            </w:tcMar>
          </w:tcPr>
          <w:p>
            <w:r>
              <w:rPr>
                <w:sz w:val="18"/>
                <w:szCs w:val="18"/>
              </w:rPr>
              <w:t xml:space="preserve">Provider Dashboard</w:t>
            </w:r>
          </w:p>
        </w:tc>
        <w:tc>
          <w:tcPr>
            <w:tcW w:type="dxa" w:w="1000"/>
            <w:shd w:fill="FFFFFF" w:val="clear"/>
            <w:tcMar>
              <w:top w:type="dxa" w:w="90"/>
              <w:left w:type="dxa" w:w="120"/>
              <w:bottom w:type="dxa" w:w="90"/>
              <w:right w:type="dxa" w:w="120"/>
            </w:tcMar>
          </w:tcPr>
          <w:p>
            <w:r>
              <w:rPr>
                <w:sz w:val="18"/>
                <w:szCs w:val="18"/>
              </w:rPr>
              <w:t xml:space="preserve">Provider</w:t>
            </w:r>
          </w:p>
        </w:tc>
        <w:tc>
          <w:tcPr>
            <w:tcW w:type="dxa" w:w="2650"/>
            <w:shd w:fill="FFFFFF" w:val="clear"/>
            <w:tcMar>
              <w:top w:type="dxa" w:w="90"/>
              <w:left w:type="dxa" w:w="120"/>
              <w:bottom w:type="dxa" w:w="90"/>
              <w:right w:type="dxa" w:w="120"/>
            </w:tcMar>
          </w:tcPr>
          <w:p>
            <w:r>
              <w:rPr>
                <w:sz w:val="18"/>
                <w:szCs w:val="18"/>
              </w:rPr>
              <w:t xml:space="preserve">perfusion-dashboard-cp01.html</w:t>
            </w:r>
          </w:p>
        </w:tc>
      </w:tr>
      <w:tr>
        <w:tc>
          <w:tcPr>
            <w:tcW w:type="dxa" w:w="1500"/>
            <w:shd w:fill="F7F7F9" w:val="clear"/>
            <w:tcMar>
              <w:top w:type="dxa" w:w="90"/>
              <w:left w:type="dxa" w:w="120"/>
              <w:bottom w:type="dxa" w:w="90"/>
              <w:right w:type="dxa" w:w="120"/>
            </w:tcMar>
          </w:tcPr>
          <w:p>
            <w:r>
              <w:rPr>
                <w:sz w:val="18"/>
                <w:szCs w:val="18"/>
              </w:rPr>
              <w:t xml:space="preserve">CP-CF</w:t>
            </w:r>
          </w:p>
        </w:tc>
        <w:tc>
          <w:tcPr>
            <w:tcW w:type="dxa" w:w="4200"/>
            <w:shd w:fill="F7F7F9" w:val="clear"/>
            <w:tcMar>
              <w:top w:type="dxa" w:w="90"/>
              <w:left w:type="dxa" w:w="120"/>
              <w:bottom w:type="dxa" w:w="90"/>
              <w:right w:type="dxa" w:w="120"/>
            </w:tcMar>
          </w:tcPr>
          <w:p>
            <w:r>
              <w:rPr>
                <w:sz w:val="18"/>
                <w:szCs w:val="18"/>
              </w:rPr>
              <w:t xml:space="preserve">Provider Case File (Chat + Vitals + Clinical Summary + Patient Profile + Advisory)</w:t>
            </w:r>
          </w:p>
        </w:tc>
        <w:tc>
          <w:tcPr>
            <w:tcW w:type="dxa" w:w="1000"/>
            <w:shd w:fill="F7F7F9" w:val="clear"/>
            <w:tcMar>
              <w:top w:type="dxa" w:w="90"/>
              <w:left w:type="dxa" w:w="120"/>
              <w:bottom w:type="dxa" w:w="90"/>
              <w:right w:type="dxa" w:w="120"/>
            </w:tcMar>
          </w:tcPr>
          <w:p>
            <w:r>
              <w:rPr>
                <w:sz w:val="18"/>
                <w:szCs w:val="18"/>
              </w:rPr>
              <w:t xml:space="preserve">Provider</w:t>
            </w:r>
          </w:p>
        </w:tc>
        <w:tc>
          <w:tcPr>
            <w:tcW w:type="dxa" w:w="2650"/>
            <w:shd w:fill="F7F7F9" w:val="clear"/>
            <w:tcMar>
              <w:top w:type="dxa" w:w="90"/>
              <w:left w:type="dxa" w:w="120"/>
              <w:bottom w:type="dxa" w:w="90"/>
              <w:right w:type="dxa" w:w="120"/>
            </w:tcMar>
          </w:tcPr>
          <w:p>
            <w:r>
              <w:rPr>
                <w:sz w:val="18"/>
                <w:szCs w:val="18"/>
              </w:rPr>
              <w:t xml:space="preserve">perfusion-casefile-cp03.html</w:t>
            </w:r>
          </w:p>
        </w:tc>
      </w:tr>
      <w:tr>
        <w:tc>
          <w:tcPr>
            <w:tcW w:type="dxa" w:w="1500"/>
            <w:shd w:fill="FFFFFF" w:val="clear"/>
            <w:tcMar>
              <w:top w:type="dxa" w:w="90"/>
              <w:left w:type="dxa" w:w="120"/>
              <w:bottom w:type="dxa" w:w="90"/>
              <w:right w:type="dxa" w:w="120"/>
            </w:tcMar>
          </w:tcPr>
          <w:p>
            <w:r>
              <w:rPr>
                <w:sz w:val="18"/>
                <w:szCs w:val="18"/>
              </w:rPr>
              <w:t xml:space="preserve">CS-01</w:t>
            </w:r>
          </w:p>
        </w:tc>
        <w:tc>
          <w:tcPr>
            <w:tcW w:type="dxa" w:w="4200"/>
            <w:shd w:fill="FFFFFF" w:val="clear"/>
            <w:tcMar>
              <w:top w:type="dxa" w:w="90"/>
              <w:left w:type="dxa" w:w="120"/>
              <w:bottom w:type="dxa" w:w="90"/>
              <w:right w:type="dxa" w:w="120"/>
            </w:tcMar>
          </w:tcPr>
          <w:p>
            <w:r>
              <w:rPr>
                <w:sz w:val="18"/>
                <w:szCs w:val="18"/>
              </w:rPr>
              <w:t xml:space="preserve">Seeker Dashboard</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perfusion-seeker-dashboard-cs05.html</w:t>
            </w:r>
          </w:p>
        </w:tc>
      </w:tr>
      <w:tr>
        <w:tc>
          <w:tcPr>
            <w:tcW w:type="dxa" w:w="1500"/>
            <w:shd w:fill="F7F7F9" w:val="clear"/>
            <w:tcMar>
              <w:top w:type="dxa" w:w="90"/>
              <w:left w:type="dxa" w:w="120"/>
              <w:bottom w:type="dxa" w:w="90"/>
              <w:right w:type="dxa" w:w="120"/>
            </w:tcMar>
          </w:tcPr>
          <w:p>
            <w:r>
              <w:rPr>
                <w:sz w:val="18"/>
                <w:szCs w:val="18"/>
              </w:rPr>
              <w:t xml:space="preserve">CS-CF</w:t>
            </w:r>
          </w:p>
        </w:tc>
        <w:tc>
          <w:tcPr>
            <w:tcW w:type="dxa" w:w="4200"/>
            <w:shd w:fill="F7F7F9" w:val="clear"/>
            <w:tcMar>
              <w:top w:type="dxa" w:w="90"/>
              <w:left w:type="dxa" w:w="120"/>
              <w:bottom w:type="dxa" w:w="90"/>
              <w:right w:type="dxa" w:w="120"/>
            </w:tcMar>
          </w:tcPr>
          <w:p>
            <w:r>
              <w:rPr>
                <w:sz w:val="18"/>
                <w:szCs w:val="18"/>
              </w:rPr>
              <w:t xml:space="preserve">Seeker Case File (Chat + Add Vitals + Attach/Flag + Advisory view + Callback Device)</w:t>
            </w:r>
          </w:p>
        </w:tc>
        <w:tc>
          <w:tcPr>
            <w:tcW w:type="dxa" w:w="1000"/>
            <w:shd w:fill="F7F7F9" w:val="clear"/>
            <w:tcMar>
              <w:top w:type="dxa" w:w="90"/>
              <w:left w:type="dxa" w:w="120"/>
              <w:bottom w:type="dxa" w:w="90"/>
              <w:right w:type="dxa" w:w="120"/>
            </w:tcMar>
          </w:tcPr>
          <w:p>
            <w:r>
              <w:rPr>
                <w:sz w:val="18"/>
                <w:szCs w:val="18"/>
              </w:rPr>
              <w:t xml:space="preserve">Seeker</w:t>
            </w:r>
          </w:p>
        </w:tc>
        <w:tc>
          <w:tcPr>
            <w:tcW w:type="dxa" w:w="2650"/>
            <w:shd w:fill="F7F7F9" w:val="clear"/>
            <w:tcMar>
              <w:top w:type="dxa" w:w="90"/>
              <w:left w:type="dxa" w:w="120"/>
              <w:bottom w:type="dxa" w:w="90"/>
              <w:right w:type="dxa" w:w="120"/>
            </w:tcMar>
          </w:tcPr>
          <w:p>
            <w:r>
              <w:rPr>
                <w:sz w:val="18"/>
                <w:szCs w:val="18"/>
              </w:rPr>
              <w:t xml:space="preserve">perfusion-seeker-casefile-cs18.html</w:t>
            </w:r>
          </w:p>
        </w:tc>
      </w:tr>
      <w:tr>
        <w:tc>
          <w:tcPr>
            <w:tcW w:type="dxa" w:w="1500"/>
            <w:shd w:fill="FFFFFF" w:val="clear"/>
            <w:tcMar>
              <w:top w:type="dxa" w:w="90"/>
              <w:left w:type="dxa" w:w="120"/>
              <w:bottom w:type="dxa" w:w="90"/>
              <w:right w:type="dxa" w:w="120"/>
            </w:tcMar>
          </w:tcPr>
          <w:p>
            <w:r>
              <w:rPr>
                <w:sz w:val="18"/>
                <w:szCs w:val="18"/>
              </w:rPr>
              <w:t xml:space="preserve">EDGE-01</w:t>
            </w:r>
          </w:p>
        </w:tc>
        <w:tc>
          <w:tcPr>
            <w:tcW w:type="dxa" w:w="4200"/>
            <w:shd w:fill="FFFFFF" w:val="clear"/>
            <w:tcMar>
              <w:top w:type="dxa" w:w="90"/>
              <w:left w:type="dxa" w:w="120"/>
              <w:bottom w:type="dxa" w:w="90"/>
              <w:right w:type="dxa" w:w="120"/>
            </w:tcMar>
          </w:tcPr>
          <w:p>
            <w:r>
              <w:rPr>
                <w:sz w:val="18"/>
                <w:szCs w:val="18"/>
              </w:rPr>
              <w:t xml:space="preserve">New-Advisory unread badge (edge case)</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perfusion-seeker-advisory-badge-demo.html</w:t>
            </w:r>
          </w:p>
        </w:tc>
      </w:tr>
      <w:tr>
        <w:tc>
          <w:tcPr>
            <w:tcW w:type="dxa" w:w="1500"/>
            <w:shd w:fill="F7F7F9" w:val="clear"/>
            <w:tcMar>
              <w:top w:type="dxa" w:w="90"/>
              <w:left w:type="dxa" w:w="120"/>
              <w:bottom w:type="dxa" w:w="90"/>
              <w:right w:type="dxa" w:w="120"/>
            </w:tcMar>
          </w:tcPr>
          <w:p>
            <w:r>
              <w:rPr>
                <w:sz w:val="18"/>
                <w:szCs w:val="18"/>
              </w:rPr>
              <w:t xml:space="preserve">CP-07/08, CS-16/17</w:t>
            </w:r>
          </w:p>
        </w:tc>
        <w:tc>
          <w:tcPr>
            <w:tcW w:type="dxa" w:w="4200"/>
            <w:shd w:fill="F7F7F9" w:val="clear"/>
            <w:tcMar>
              <w:top w:type="dxa" w:w="90"/>
              <w:left w:type="dxa" w:w="120"/>
              <w:bottom w:type="dxa" w:w="90"/>
              <w:right w:type="dxa" w:w="120"/>
            </w:tcMar>
          </w:tcPr>
          <w:p>
            <w:r>
              <w:rPr>
                <w:sz w:val="18"/>
                <w:szCs w:val="18"/>
              </w:rPr>
              <w:t xml:space="preserve">Live Voice/Video Consultation + OS-level PiP minimize</w:t>
            </w:r>
          </w:p>
        </w:tc>
        <w:tc>
          <w:tcPr>
            <w:tcW w:type="dxa" w:w="1000"/>
            <w:shd w:fill="F7F7F9" w:val="clear"/>
            <w:tcMar>
              <w:top w:type="dxa" w:w="90"/>
              <w:left w:type="dxa" w:w="120"/>
              <w:bottom w:type="dxa" w:w="90"/>
              <w:right w:type="dxa" w:w="120"/>
            </w:tcMar>
          </w:tcPr>
          <w:p>
            <w:r>
              <w:rPr>
                <w:sz w:val="18"/>
                <w:szCs w:val="18"/>
              </w:rPr>
              <w:t xml:space="preserve">Both</w:t>
            </w:r>
          </w:p>
        </w:tc>
        <w:tc>
          <w:tcPr>
            <w:tcW w:type="dxa" w:w="2650"/>
            <w:shd w:fill="F7F7F9" w:val="clear"/>
            <w:tcMar>
              <w:top w:type="dxa" w:w="90"/>
              <w:left w:type="dxa" w:w="120"/>
              <w:bottom w:type="dxa" w:w="90"/>
              <w:right w:type="dxa" w:w="120"/>
            </w:tcMar>
          </w:tcPr>
          <w:p>
            <w:r>
              <w:rPr>
                <w:sz w:val="18"/>
                <w:szCs w:val="18"/>
              </w:rPr>
              <w:t xml:space="preserve">perfusion-live-call-cp08.html</w:t>
            </w:r>
          </w:p>
        </w:tc>
      </w:tr>
      <w:tr>
        <w:tc>
          <w:tcPr>
            <w:tcW w:type="dxa" w:w="1500"/>
            <w:shd w:fill="FFFFFF" w:val="clear"/>
            <w:tcMar>
              <w:top w:type="dxa" w:w="90"/>
              <w:left w:type="dxa" w:w="120"/>
              <w:bottom w:type="dxa" w:w="90"/>
              <w:right w:type="dxa" w:w="120"/>
            </w:tcMar>
          </w:tcPr>
          <w:p>
            <w:r>
              <w:rPr>
                <w:sz w:val="18"/>
                <w:szCs w:val="18"/>
              </w:rPr>
              <w:t xml:space="preserve">CS-02–CS-10</w:t>
            </w:r>
          </w:p>
        </w:tc>
        <w:tc>
          <w:tcPr>
            <w:tcW w:type="dxa" w:w="4200"/>
            <w:shd w:fill="FFFFFF" w:val="clear"/>
            <w:tcMar>
              <w:top w:type="dxa" w:w="90"/>
              <w:left w:type="dxa" w:w="120"/>
              <w:bottom w:type="dxa" w:w="90"/>
              <w:right w:type="dxa" w:w="120"/>
            </w:tcMar>
          </w:tcPr>
          <w:p>
            <w:r>
              <w:rPr>
                <w:sz w:val="18"/>
                <w:szCs w:val="18"/>
              </w:rPr>
              <w:t xml:space="preserve">New Consultation booking flow (Explore Consultants → Patient &amp; Clinical Details → Book)</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perfusion-booking-flow-cs02.html</w:t>
            </w:r>
          </w:p>
        </w:tc>
      </w:tr>
      <w:tr>
        <w:tc>
          <w:tcPr>
            <w:tcW w:type="dxa" w:w="1500"/>
            <w:shd w:fill="F7F7F9" w:val="clear"/>
            <w:tcMar>
              <w:top w:type="dxa" w:w="90"/>
              <w:left w:type="dxa" w:w="120"/>
              <w:bottom w:type="dxa" w:w="90"/>
              <w:right w:type="dxa" w:w="120"/>
            </w:tcMar>
          </w:tcPr>
          <w:p>
            <w:r>
              <w:rPr>
                <w:sz w:val="18"/>
                <w:szCs w:val="18"/>
              </w:rPr>
              <w:t xml:space="preserve">CP-03/04/05 + Seeker equiv.</w:t>
            </w:r>
          </w:p>
        </w:tc>
        <w:tc>
          <w:tcPr>
            <w:tcW w:type="dxa" w:w="4200"/>
            <w:shd w:fill="F7F7F9" w:val="clear"/>
            <w:tcMar>
              <w:top w:type="dxa" w:w="90"/>
              <w:left w:type="dxa" w:w="120"/>
              <w:bottom w:type="dxa" w:w="90"/>
              <w:right w:type="dxa" w:w="120"/>
            </w:tcMar>
          </w:tcPr>
          <w:p>
            <w:r>
              <w:rPr>
                <w:sz w:val="18"/>
                <w:szCs w:val="18"/>
              </w:rPr>
              <w:t xml:space="preserve">Consultations list, Search, Filters, Consultation Detail</w:t>
            </w:r>
          </w:p>
        </w:tc>
        <w:tc>
          <w:tcPr>
            <w:tcW w:type="dxa" w:w="1000"/>
            <w:shd w:fill="F7F7F9" w:val="clear"/>
            <w:tcMar>
              <w:top w:type="dxa" w:w="90"/>
              <w:left w:type="dxa" w:w="120"/>
              <w:bottom w:type="dxa" w:w="90"/>
              <w:right w:type="dxa" w:w="120"/>
            </w:tcMar>
          </w:tcPr>
          <w:p>
            <w:r>
              <w:rPr>
                <w:sz w:val="18"/>
                <w:szCs w:val="18"/>
              </w:rPr>
              <w:t xml:space="preserve">Both</w:t>
            </w:r>
          </w:p>
        </w:tc>
        <w:tc>
          <w:tcPr>
            <w:tcW w:type="dxa" w:w="2650"/>
            <w:shd w:fill="F7F7F9" w:val="clear"/>
            <w:tcMar>
              <w:top w:type="dxa" w:w="90"/>
              <w:left w:type="dxa" w:w="120"/>
              <w:bottom w:type="dxa" w:w="90"/>
              <w:right w:type="dxa" w:w="120"/>
            </w:tcMar>
          </w:tcPr>
          <w:p>
            <w:r>
              <w:rPr>
                <w:sz w:val="18"/>
                <w:szCs w:val="18"/>
              </w:rPr>
              <w:t xml:space="preserve">perfusion-consultations-list.html</w:t>
            </w:r>
          </w:p>
        </w:tc>
      </w:tr>
      <w:tr>
        <w:tc>
          <w:tcPr>
            <w:tcW w:type="dxa" w:w="1500"/>
            <w:shd w:fill="FFFFFF" w:val="clear"/>
            <w:tcMar>
              <w:top w:type="dxa" w:w="90"/>
              <w:left w:type="dxa" w:w="120"/>
              <w:bottom w:type="dxa" w:w="90"/>
              <w:right w:type="dxa" w:w="120"/>
            </w:tcMar>
          </w:tcPr>
          <w:p>
            <w:r>
              <w:rPr>
                <w:sz w:val="18"/>
                <w:szCs w:val="18"/>
              </w:rPr>
              <w:t xml:space="preserve">CP-19/20</w:t>
            </w:r>
          </w:p>
        </w:tc>
        <w:tc>
          <w:tcPr>
            <w:tcW w:type="dxa" w:w="4200"/>
            <w:shd w:fill="FFFFFF" w:val="clear"/>
            <w:tcMar>
              <w:top w:type="dxa" w:w="90"/>
              <w:left w:type="dxa" w:w="120"/>
              <w:bottom w:type="dxa" w:w="90"/>
              <w:right w:type="dxa" w:w="120"/>
            </w:tcMar>
          </w:tcPr>
          <w:p>
            <w:r>
              <w:rPr>
                <w:sz w:val="18"/>
                <w:szCs w:val="18"/>
              </w:rPr>
              <w:t xml:space="preserve">Availability + Pause Consultations</w:t>
            </w:r>
          </w:p>
        </w:tc>
        <w:tc>
          <w:tcPr>
            <w:tcW w:type="dxa" w:w="1000"/>
            <w:shd w:fill="FFFFFF" w:val="clear"/>
            <w:tcMar>
              <w:top w:type="dxa" w:w="90"/>
              <w:left w:type="dxa" w:w="120"/>
              <w:bottom w:type="dxa" w:w="90"/>
              <w:right w:type="dxa" w:w="120"/>
            </w:tcMar>
          </w:tcPr>
          <w:p>
            <w:r>
              <w:rPr>
                <w:sz w:val="18"/>
                <w:szCs w:val="18"/>
              </w:rPr>
              <w:t xml:space="preserve">Provider</w:t>
            </w:r>
          </w:p>
        </w:tc>
        <w:tc>
          <w:tcPr>
            <w:tcW w:type="dxa" w:w="2650"/>
            <w:shd w:fill="FFFFFF" w:val="clear"/>
            <w:tcMar>
              <w:top w:type="dxa" w:w="90"/>
              <w:left w:type="dxa" w:w="120"/>
              <w:bottom w:type="dxa" w:w="90"/>
              <w:right w:type="dxa" w:w="120"/>
            </w:tcMar>
          </w:tcPr>
          <w:p>
            <w:r>
              <w:rPr>
                <w:sz w:val="18"/>
                <w:szCs w:val="18"/>
              </w:rPr>
              <w:t xml:space="preserve">perfusion-availability-cp19.html</w:t>
            </w:r>
          </w:p>
        </w:tc>
      </w:tr>
      <w:tr>
        <w:tc>
          <w:tcPr>
            <w:tcW w:type="dxa" w:w="1500"/>
            <w:shd w:fill="F7F7F9" w:val="clear"/>
            <w:tcMar>
              <w:top w:type="dxa" w:w="90"/>
              <w:left w:type="dxa" w:w="120"/>
              <w:bottom w:type="dxa" w:w="90"/>
              <w:right w:type="dxa" w:w="120"/>
            </w:tcMar>
          </w:tcPr>
          <w:p>
            <w:r>
              <w:rPr>
                <w:sz w:val="18"/>
                <w:szCs w:val="18"/>
              </w:rPr>
              <w:t xml:space="preserve">CP-12/13</w:t>
            </w:r>
          </w:p>
        </w:tc>
        <w:tc>
          <w:tcPr>
            <w:tcW w:type="dxa" w:w="4200"/>
            <w:shd w:fill="F7F7F9" w:val="clear"/>
            <w:tcMar>
              <w:top w:type="dxa" w:w="90"/>
              <w:left w:type="dxa" w:w="120"/>
              <w:bottom w:type="dxa" w:w="90"/>
              <w:right w:type="dxa" w:w="120"/>
            </w:tcMar>
          </w:tcPr>
          <w:p>
            <w:r>
              <w:rPr>
                <w:sz w:val="18"/>
                <w:szCs w:val="18"/>
              </w:rPr>
              <w:t xml:space="preserve">Billing</w:t>
            </w:r>
          </w:p>
        </w:tc>
        <w:tc>
          <w:tcPr>
            <w:tcW w:type="dxa" w:w="1000"/>
            <w:shd w:fill="F7F7F9" w:val="clear"/>
            <w:tcMar>
              <w:top w:type="dxa" w:w="90"/>
              <w:left w:type="dxa" w:w="120"/>
              <w:bottom w:type="dxa" w:w="90"/>
              <w:right w:type="dxa" w:w="120"/>
            </w:tcMar>
          </w:tcPr>
          <w:p>
            <w:r>
              <w:rPr>
                <w:sz w:val="18"/>
                <w:szCs w:val="18"/>
              </w:rPr>
              <w:t xml:space="preserve">Both</w:t>
            </w:r>
          </w:p>
        </w:tc>
        <w:tc>
          <w:tcPr>
            <w:tcW w:type="dxa" w:w="2650"/>
            <w:shd w:fill="F7F7F9" w:val="clear"/>
            <w:tcMar>
              <w:top w:type="dxa" w:w="90"/>
              <w:left w:type="dxa" w:w="120"/>
              <w:bottom w:type="dxa" w:w="90"/>
              <w:right w:type="dxa" w:w="120"/>
            </w:tcMar>
          </w:tcPr>
          <w:p>
            <w:r>
              <w:rPr>
                <w:sz w:val="18"/>
                <w:szCs w:val="18"/>
              </w:rPr>
              <w:t xml:space="preserve">perfusion-billing-cp12.html</w:t>
            </w:r>
          </w:p>
        </w:tc>
      </w:tr>
      <w:tr>
        <w:tc>
          <w:tcPr>
            <w:tcW w:type="dxa" w:w="1500"/>
            <w:shd w:fill="FFFFFF" w:val="clear"/>
            <w:tcMar>
              <w:top w:type="dxa" w:w="90"/>
              <w:left w:type="dxa" w:w="120"/>
              <w:bottom w:type="dxa" w:w="90"/>
              <w:right w:type="dxa" w:w="120"/>
            </w:tcMar>
          </w:tcPr>
          <w:p>
            <w:r>
              <w:rPr>
                <w:sz w:val="18"/>
                <w:szCs w:val="18"/>
              </w:rPr>
              <w:t xml:space="preserve">CP-14–CP-18, CS-21</w:t>
            </w:r>
          </w:p>
        </w:tc>
        <w:tc>
          <w:tcPr>
            <w:tcW w:type="dxa" w:w="4200"/>
            <w:shd w:fill="FFFFFF" w:val="clear"/>
            <w:tcMar>
              <w:top w:type="dxa" w:w="90"/>
              <w:left w:type="dxa" w:w="120"/>
              <w:bottom w:type="dxa" w:w="90"/>
              <w:right w:type="dxa" w:w="120"/>
            </w:tcMar>
          </w:tcPr>
          <w:p>
            <w:r>
              <w:rPr>
                <w:sz w:val="18"/>
                <w:szCs w:val="18"/>
              </w:rPr>
              <w:t xml:space="preserve">My Profile, incl. Edit Profile, Portfolio, Registration Documents, Signature</w:t>
            </w:r>
          </w:p>
        </w:tc>
        <w:tc>
          <w:tcPr>
            <w:tcW w:type="dxa" w:w="1000"/>
            <w:shd w:fill="FFFFFF" w:val="clear"/>
            <w:tcMar>
              <w:top w:type="dxa" w:w="90"/>
              <w:left w:type="dxa" w:w="120"/>
              <w:bottom w:type="dxa" w:w="90"/>
              <w:right w:type="dxa" w:w="120"/>
            </w:tcMar>
          </w:tcPr>
          <w:p>
            <w:r>
              <w:rPr>
                <w:sz w:val="18"/>
                <w:szCs w:val="18"/>
              </w:rPr>
              <w:t xml:space="preserve">Both</w:t>
            </w:r>
          </w:p>
        </w:tc>
        <w:tc>
          <w:tcPr>
            <w:tcW w:type="dxa" w:w="2650"/>
            <w:shd w:fill="FFFFFF" w:val="clear"/>
            <w:tcMar>
              <w:top w:type="dxa" w:w="90"/>
              <w:left w:type="dxa" w:w="120"/>
              <w:bottom w:type="dxa" w:w="90"/>
              <w:right w:type="dxa" w:w="120"/>
            </w:tcMar>
          </w:tcPr>
          <w:p>
            <w:r>
              <w:rPr>
                <w:sz w:val="18"/>
                <w:szCs w:val="18"/>
              </w:rPr>
              <w:t xml:space="preserve">perfusion-profile.html</w:t>
            </w:r>
          </w:p>
        </w:tc>
      </w:tr>
    </w:tbl>
    <w:p>
      <w:pPr>
        <w:pStyle w:val="Heading2"/>
        <w:spacing w:after="150" w:before="300"/>
      </w:pPr>
      <w:r>
        <w:t xml:space="preserve">6.2 Tier 1 — Named, NOT yet designed</w:t>
      </w:r>
    </w:p>
    <w:p>
      <w:pPr>
        <w:spacing w:after="120"/>
      </w:pPr>
      <w:r>
        <w:rPr>
          <w:b w:val="false"/>
          <w:bCs w:val="false"/>
          <w:i w:val="false"/>
          <w:iCs w:val="false"/>
        </w:rPr>
        <w:t xml:space="preserve">None remaining. Every Tier-1 screen identified during design is now built and specified in Section 7.</w:t>
      </w:r>
    </w:p>
    <w:p>
      <w:pPr>
        <w:pStyle w:val="Heading2"/>
        <w:spacing w:after="150" w:before="300"/>
      </w:pPr>
      <w:r>
        <w:t xml:space="preserve">6.3 Tier 2 — Standard patterns, fully specified in Section 8</w:t>
      </w:r>
    </w:p>
    <w:p>
      <w:pPr>
        <w:spacing w:after="120"/>
      </w:pPr>
      <w:r>
        <w:rPr>
          <w:b w:val="false"/>
          <w:bCs w:val="false"/>
          <w:i w:val="false"/>
          <w:iCs w:val="false"/>
        </w:rPr>
        <w:t xml:space="preserve">AUTH-01 Login, AUTH-02 Signup, AUTH-03 OTP, AUTH-04 Terms &amp; Conditions, Change Password, Logout Confirmation, Suspended Account, Help &amp; Support, Notifications Centre. This document is self-contained — Section 8 gives full field lists and flow for every one of these, so no other reference document is required to build them.</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Exception: session-expiry and password-change-logout behavior in Section 8.2 already reflect Section 4.12's override in full — they are written correctly here, not as the original (superseded) 15-day/forced-logout rule.</w:t>
            </w:r>
          </w:p>
        </w:tc>
      </w:tr>
    </w:tbl>
    <w:p>
      <w:r>
        <w:br w:type="page"/>
      </w:r>
    </w:p>
    <w:p>
      <w:pPr>
        <w:pStyle w:val="Heading1"/>
        <w:spacing w:after="200" w:before="400"/>
      </w:pPr>
      <w:r>
        <w:t xml:space="preserve">7. Tier 1 Screen Specifications</w:t>
      </w:r>
    </w:p>
    <w:p>
      <w:pPr>
        <w:pStyle w:val="Heading2"/>
        <w:spacing w:after="150" w:before="300"/>
      </w:pPr>
      <w:r>
        <w:t xml:space="preserve">7.1  CP-01 — Provider Dashboard</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perfusion-dashboard-cp01.html</w:t>
            </w:r>
          </w:p>
        </w:tc>
      </w:tr>
    </w:tbl>
    <w:p>
      <w:pPr>
        <w:spacing w:after="100"/>
      </w:pPr>
    </w:p>
    <w:p>
      <w:pPr>
        <w:spacing w:after="120"/>
      </w:pPr>
      <w:r>
        <w:rPr>
          <w:b/>
          <w:bCs/>
        </w:rPr>
        <w:t xml:space="preserve">Purpose: </w:t>
      </w:r>
      <w:r>
        <w:t xml:space="preserve">Provider's home screen — triage at a glance: who needs me, and how urgently.</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Consultation rows read like a native call-log entry, not a generic card: avatar-style circular badge, hairline dividers inset after the badge, one always-visible primary action (matching redial-style dialer conventions).</w:t>
      </w:r>
    </w:p>
    <w:p>
      <w:pPr>
        <w:pStyle w:val="ListParagraph"/>
        <w:numPr>
          <w:ilvl w:val="0"/>
          <w:numId w:val="2"/>
        </w:numPr>
        <w:spacing w:after="60"/>
      </w:pPr>
      <w:r>
        <w:rPr>
          <w:b w:val="false"/>
          <w:bCs w:val="false"/>
        </w:rPr>
        <w:t xml:space="preserve">Badge shows patient age + sex (e.g. "34M"), not initials — a monogram wastes the one piece of real estate a clinician actually wants at a glance.</w:t>
      </w:r>
    </w:p>
    <w:p>
      <w:pPr>
        <w:pStyle w:val="ListParagraph"/>
        <w:numPr>
          <w:ilvl w:val="0"/>
          <w:numId w:val="2"/>
        </w:numPr>
        <w:spacing w:after="60"/>
      </w:pPr>
      <w:r>
        <w:rPr>
          <w:b w:val="false"/>
          <w:bCs w:val="false"/>
        </w:rPr>
        <w:t xml:space="preserve">Row ordering is strictly by scheduled slot time, descending — never reordered by status, even though status color-coding exists for triage.</w:t>
      </w:r>
    </w:p>
    <w:p>
      <w:pPr>
        <w:pStyle w:val="ListParagraph"/>
        <w:numPr>
          <w:ilvl w:val="0"/>
          <w:numId w:val="2"/>
        </w:numPr>
        <w:spacing w:after="60"/>
      </w:pPr>
      <w:r>
        <w:rPr>
          <w:b w:val="false"/>
          <w:bCs w:val="false"/>
        </w:rPr>
        <w:t xml:space="preserve">Status color discipline: red is reserved exclusively for Ongoing-Live. Scheduled = blue, Completed = green, Missed = red-adjacent but distinguishable, Cancelled/Rejected/Expired = neutral grey. No other element on this screen may use red.</w:t>
      </w:r>
    </w:p>
    <w:p>
      <w:pPr>
        <w:pStyle w:val="ListParagraph"/>
        <w:numPr>
          <w:ilvl w:val="0"/>
          <w:numId w:val="2"/>
        </w:numPr>
        <w:spacing w:after="60"/>
      </w:pPr>
      <w:r>
        <w:rPr>
          <w:b w:val="false"/>
          <w:bCs w:val="false"/>
        </w:rPr>
        <w:t xml:space="preserve">Tap-to-expand reveals four actions: Call, Video, Case File, Advise — each icon + text label, evenly spaced. Labels exist because icon-only communication was tested and found insufficiently clear, especially for the Case File icon (a patient-figure glyph, deliberately not the WhatsApp icon and not a generic ID-card — chosen after several iterations for balance of originality and recognizability).</w:t>
      </w:r>
    </w:p>
    <w:p>
      <w:pPr>
        <w:pStyle w:val="ListParagraph"/>
        <w:numPr>
          <w:ilvl w:val="0"/>
          <w:numId w:val="2"/>
        </w:numPr>
        <w:spacing w:after="60"/>
      </w:pPr>
      <w:r>
        <w:rPr>
          <w:b w:val="false"/>
          <w:bCs w:val="false"/>
        </w:rPr>
        <w:t xml:space="preserve">Call/Video/Advise icons disable (greyed, non-interactive) according to the Section 4 permission matrix. Case File never disables — the historical record remains reachable regardless of communication state.</w:t>
      </w:r>
    </w:p>
    <w:p>
      <w:pPr>
        <w:pStyle w:val="ListParagraph"/>
        <w:numPr>
          <w:ilvl w:val="0"/>
          <w:numId w:val="2"/>
        </w:numPr>
        <w:spacing w:after="60"/>
      </w:pPr>
      <w:r>
        <w:rPr>
          <w:b w:val="false"/>
          <w:bCs w:val="false"/>
        </w:rPr>
        <w:t xml:space="preserve">The follow-up pause toggle lives on the status word itself for Ongoing rows (see Section 4.3) — no separate button, no added row.</w:t>
      </w:r>
    </w:p>
    <w:p>
      <w:pPr>
        <w:pStyle w:val="ListParagraph"/>
        <w:numPr>
          <w:ilvl w:val="0"/>
          <w:numId w:val="2"/>
        </w:numPr>
        <w:spacing w:after="60"/>
      </w:pPr>
      <w:r>
        <w:rPr>
          <w:b w:val="false"/>
          <w:bCs w:val="false"/>
        </w:rPr>
        <w:t xml:space="preserve">Empty/loading/error states required per Section 10 of the original document — unchanged.</w:t>
      </w:r>
    </w:p>
    <w:p>
      <w:pPr>
        <w:pStyle w:val="Heading2"/>
        <w:spacing w:after="150" w:before="300"/>
      </w:pPr>
      <w:r>
        <w:t xml:space="preserve">7.2  Provider Case File — Chat, Vitals, Clinical Summary, Patient Profile, Advisory</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perfusion-casefile-cp03.html</w:t>
            </w:r>
          </w:p>
        </w:tc>
      </w:tr>
    </w:tbl>
    <w:p>
      <w:pPr>
        <w:spacing w:after="100"/>
      </w:pPr>
    </w:p>
    <w:p>
      <w:pPr>
        <w:spacing w:after="120"/>
      </w:pPr>
      <w:r>
        <w:rPr>
          <w:b/>
          <w:bCs/>
        </w:rPr>
        <w:t xml:space="preserve">Purpose: </w:t>
      </w:r>
      <w:r>
        <w:t xml:space="preserve">Everything about one patient-provider engagement, structured so the provider never has to scroll back through hundreds of chat messages to find something that shouldn't have been chat content in the first place.</w:t>
      </w:r>
    </w:p>
    <w:p>
      <w:pPr>
        <w:pStyle w:val="Heading3"/>
        <w:spacing w:after="100" w:before="240"/>
      </w:pPr>
      <w:r>
        <w:rPr>
          <w:b/>
          <w:bCs/>
          <w:color w:val="2A2A2A"/>
        </w:rPr>
        <w:t xml:space="preserve">Structure, top to bottom</w:t>
      </w:r>
    </w:p>
    <w:p>
      <w:pPr>
        <w:pStyle w:val="ListParagraph"/>
        <w:numPr>
          <w:ilvl w:val="0"/>
          <w:numId w:val="2"/>
        </w:numPr>
        <w:spacing w:after="60"/>
      </w:pPr>
      <w:r>
        <w:rPr>
          <w:b w:val="false"/>
          <w:bCs w:val="false"/>
        </w:rPr>
        <w:t xml:space="preserve">Sticky header: patient identity (name, age/sex badge, hospital/place), follow-up pause word (Section 4.3), Call/Video icons. Tapping the name opens Clinical Summary → Patient Profile chain.</w:t>
      </w:r>
    </w:p>
    <w:p>
      <w:pPr>
        <w:pStyle w:val="ListParagraph"/>
        <w:numPr>
          <w:ilvl w:val="0"/>
          <w:numId w:val="2"/>
        </w:numPr>
        <w:spacing w:after="60"/>
      </w:pPr>
      <w:r>
        <w:rPr>
          <w:b w:val="false"/>
          <w:bCs w:val="false"/>
        </w:rPr>
        <w:t xml:space="preserve">Allergy/comorbidity chips — visible on open, scrolls away with content (not sticky). Allergy chips are visually loud (red-tinted, warning icon) on purpose; comorbidity chips are neutral.</w:t>
      </w:r>
    </w:p>
    <w:p>
      <w:pPr>
        <w:pStyle w:val="ListParagraph"/>
        <w:numPr>
          <w:ilvl w:val="0"/>
          <w:numId w:val="2"/>
        </w:numPr>
        <w:spacing w:after="60"/>
      </w:pPr>
      <w:r>
        <w:rPr>
          <w:b w:val="false"/>
          <w:bCs w:val="false"/>
        </w:rPr>
        <w:t xml:space="preserve">Presenting Complaint strip — visible on open, scrolls away. See Section 4.6.</w:t>
      </w:r>
    </w:p>
    <w:p>
      <w:pPr>
        <w:pStyle w:val="ListParagraph"/>
        <w:numPr>
          <w:ilvl w:val="0"/>
          <w:numId w:val="2"/>
        </w:numPr>
        <w:spacing w:after="60"/>
      </w:pPr>
      <w:r>
        <w:rPr>
          <w:b w:val="false"/>
          <w:bCs w:val="false"/>
        </w:rPr>
        <w:t xml:space="preserve">Vitals/I-O/GCS dock — sticky, survives scroll. See Section 4.5.</w:t>
      </w:r>
    </w:p>
    <w:p>
      <w:pPr>
        <w:pStyle w:val="ListParagraph"/>
        <w:numPr>
          <w:ilvl w:val="0"/>
          <w:numId w:val="2"/>
        </w:numPr>
        <w:spacing w:after="60"/>
      </w:pPr>
      <w:r>
        <w:rPr>
          <w:b w:val="false"/>
          <w:bCs w:val="false"/>
        </w:rPr>
        <w:t xml:space="preserve">Chat feed — text, file/report bubbles, and a visually distinct Clinical Advisory card (bordered, pencil icon, "View full advisory" link). A prescription-styled card was explicitly rejected here — see Section 2, item 2.</w:t>
      </w:r>
    </w:p>
    <w:p>
      <w:pPr>
        <w:pStyle w:val="ListParagraph"/>
        <w:numPr>
          <w:ilvl w:val="0"/>
          <w:numId w:val="2"/>
        </w:numPr>
        <w:spacing w:after="60"/>
      </w:pPr>
      <w:r>
        <w:rPr>
          <w:b w:val="false"/>
          <w:bCs w:val="false"/>
        </w:rPr>
        <w:t xml:space="preserve">Bottom-sheet composers: Clinical Advisory (pencil icon in input bar + Dashboard's 4th action) for Provider only.</w:t>
      </w:r>
    </w:p>
    <w:p>
      <w:pPr>
        <w:pStyle w:val="Heading3"/>
        <w:spacing w:after="100" w:before="240"/>
      </w:pPr>
      <w:r>
        <w:rPr>
          <w:b/>
          <w:bCs/>
          <w:color w:val="2A2A2A"/>
        </w:rPr>
        <w:t xml:space="preserve">Linked sub-pages (same file, internal navigation, not separate app screens)</w:t>
      </w:r>
    </w:p>
    <w:p>
      <w:pPr>
        <w:pStyle w:val="ListParagraph"/>
        <w:numPr>
          <w:ilvl w:val="0"/>
          <w:numId w:val="2"/>
        </w:numPr>
        <w:spacing w:after="60"/>
      </w:pPr>
      <w:r>
        <w:rPr>
          <w:b w:val="false"/>
          <w:bCs w:val="false"/>
        </w:rPr>
        <w:t xml:space="preserve">Clinical Summary — see Section 4.6. One continuous scroll, no further clickable sub-sections.</w:t>
      </w:r>
    </w:p>
    <w:p>
      <w:pPr>
        <w:pStyle w:val="ListParagraph"/>
        <w:numPr>
          <w:ilvl w:val="0"/>
          <w:numId w:val="2"/>
        </w:numPr>
        <w:spacing w:after="60"/>
      </w:pPr>
      <w:r>
        <w:rPr>
          <w:b w:val="false"/>
          <w:bCs w:val="false"/>
        </w:rPr>
        <w:t xml:space="preserve">Patient Profile — permanent record (allergies, comorbidities, baseline meds, baseline parameters, past admissions, emergency contact). One continuous scroll, no sub-navigation, reached from Clinical Summary's closing button or the header name tap.</w:t>
      </w:r>
    </w:p>
    <w:p>
      <w:pPr>
        <w:pStyle w:val="ListParagraph"/>
        <w:numPr>
          <w:ilvl w:val="0"/>
          <w:numId w:val="2"/>
        </w:numPr>
        <w:spacing w:after="60"/>
      </w:pPr>
      <w:r>
        <w:rPr>
          <w:b w:val="false"/>
          <w:bCs w:val="false"/>
        </w:rPr>
        <w:t xml:space="preserve">Vitals flowsheet — see Section 4.5.</w:t>
      </w:r>
    </w:p>
    <w:p>
      <w:pPr>
        <w:pStyle w:val="ListParagraph"/>
        <w:numPr>
          <w:ilvl w:val="0"/>
          <w:numId w:val="2"/>
        </w:numPr>
        <w:spacing w:after="60"/>
      </w:pPr>
      <w:r>
        <w:rPr>
          <w:b w:val="false"/>
          <w:bCs w:val="false"/>
        </w:rPr>
        <w:t xml:space="preserve">Clinical Advisory trail — see Section 4.4.</w:t>
      </w:r>
    </w:p>
    <w:p>
      <w:pPr>
        <w:pStyle w:val="Heading2"/>
        <w:spacing w:after="150" w:before="300"/>
      </w:pPr>
      <w:r>
        <w:t xml:space="preserve">7.3  CS-01 — Seeker Dashboard</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perfusion-seeker-dashboard-cs05.html</w:t>
            </w:r>
          </w:p>
        </w:tc>
      </w:tr>
    </w:tbl>
    <w:p>
      <w:pPr>
        <w:spacing w:after="100"/>
      </w:pPr>
    </w:p>
    <w:p>
      <w:pPr>
        <w:spacing w:after="120"/>
      </w:pPr>
      <w:r>
        <w:rPr>
          <w:b/>
          <w:bCs/>
        </w:rPr>
        <w:t xml:space="preserve">Purpose: </w:t>
      </w:r>
      <w:r>
        <w:t xml:space="preserve">Answers a different question than Provider's dashboard: not "who needs me" but "is the specialist support we're paying for being delivered, and do I need to ask for more."</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Row identity is inverted from Provider's: a resident dials by department + consultant surname ("Cardiology · Dr. S. Sharma"), mirroring how a saved contact reads in a native phone log — not by patient name first.</w:t>
      </w:r>
    </w:p>
    <w:p>
      <w:pPr>
        <w:pStyle w:val="ListParagraph"/>
        <w:numPr>
          <w:ilvl w:val="0"/>
          <w:numId w:val="2"/>
        </w:numPr>
        <w:spacing w:after="60"/>
      </w:pPr>
      <w:r>
        <w:rPr>
          <w:b w:val="false"/>
          <w:bCs w:val="false"/>
        </w:rPr>
        <w:t xml:space="preserve">Row structure (final, after several iterations): Line 1 = Specialty · Doctor name, bold, wraps to a second line if long rather than truncating with an ellipsis — doctor identity must never be silently cut off. Line 2 = Hospital, Place (place bold, hospital name muted) with Time riding the end of this same line. Line 3 = patient name with Status alongside it. This split (Time on line 2, Status on line 3) was chosen deliberately over pairing them together on one line, after direct visual comparison.</w:t>
      </w:r>
    </w:p>
    <w:p>
      <w:pPr>
        <w:pStyle w:val="ListParagraph"/>
        <w:numPr>
          <w:ilvl w:val="0"/>
          <w:numId w:val="2"/>
        </w:numPr>
        <w:spacing w:after="60"/>
      </w:pPr>
      <w:r>
        <w:rPr>
          <w:b w:val="false"/>
          <w:bCs w:val="false"/>
        </w:rPr>
        <w:t xml:space="preserve">Badge shows the consultant's city, first three letters ("HYD", "RAI", "MUM") — not an invented two-letter code, and not the hospital chain’s initials. This is the deliberate psychological hook: a resident glancing at the log should register “my patients are getting specialist input from a network of major cities/institutions” without reading a word of body text.</w:t>
      </w:r>
    </w:p>
    <w:p>
      <w:pPr>
        <w:pStyle w:val="ListParagraph"/>
        <w:numPr>
          <w:ilvl w:val="0"/>
          <w:numId w:val="2"/>
        </w:numPr>
        <w:spacing w:after="60"/>
      </w:pPr>
      <w:r>
        <w:rPr>
          <w:b w:val="false"/>
          <w:bCs w:val="false"/>
        </w:rPr>
        <w:t xml:space="preserve">No interactive status anywhere on this screen. Per the original document’s explicit instruction (“Do not show an additional follow-up status/label”), Seeker never gets a tappable word or visible toggle — Call/Video icons simply enable or disable silently.</w:t>
      </w:r>
    </w:p>
    <w:p>
      <w:pPr>
        <w:pStyle w:val="ListParagraph"/>
        <w:numPr>
          <w:ilvl w:val="0"/>
          <w:numId w:val="2"/>
        </w:numPr>
        <w:spacing w:after="60"/>
      </w:pPr>
      <w:r>
        <w:rPr>
          <w:b w:val="false"/>
          <w:bCs w:val="false"/>
        </w:rPr>
        <w:t xml:space="preserve">A prominent “New Consultation” entry point sits near the top — the one structurally new element versus Provider’s dashboard, since Seeker must initiate rather than react.</w:t>
      </w:r>
    </w:p>
    <w:p>
      <w:pPr>
        <w:pStyle w:val="ListParagraph"/>
        <w:numPr>
          <w:ilvl w:val="0"/>
          <w:numId w:val="2"/>
        </w:numPr>
        <w:spacing w:after="60"/>
      </w:pPr>
      <w:r>
        <w:rPr>
          <w:b w:val="false"/>
          <w:bCs w:val="false"/>
        </w:rPr>
        <w:t xml:space="preserve">Expand reveals four actions: Call, Video, Case File, Advisory. Advisory’s icon and behavior differ from Provider’s: it is view + download only, never a composer.</w:t>
      </w:r>
    </w:p>
    <w:p>
      <w:pPr>
        <w:pStyle w:val="Heading2"/>
        <w:spacing w:after="150" w:before="300"/>
      </w:pPr>
      <w:r>
        <w:t xml:space="preserve">7.4  Seeker Case File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perfusion-seeker-casefile-cs18.html</w:t>
            </w:r>
          </w:p>
        </w:tc>
      </w:tr>
    </w:tbl>
    <w:p>
      <w:pPr>
        <w:spacing w:after="100"/>
      </w:pPr>
    </w:p>
    <w:p>
      <w:pPr>
        <w:spacing w:after="120"/>
      </w:pPr>
      <w:r>
        <w:rPr>
          <w:b/>
          <w:bCs/>
        </w:rPr>
        <w:t xml:space="preserve">Purpose: </w:t>
      </w:r>
      <w:r>
        <w:t xml:space="preserve">Same architecture as Provider’s Case File, with Seeker’s actual edit rights: this is the side that submits vitals and clinical material, not the side that gives clinical direction.</w:t>
      </w:r>
    </w:p>
    <w:p>
      <w:pPr>
        <w:pStyle w:val="Heading3"/>
        <w:spacing w:after="100" w:before="240"/>
      </w:pPr>
      <w:r>
        <w:rPr>
          <w:b/>
          <w:bCs/>
          <w:color w:val="2A2A2A"/>
        </w:rPr>
        <w:t xml:space="preserve">What differs from Provider’s Case File</w:t>
      </w:r>
    </w:p>
    <w:p>
      <w:pPr>
        <w:pStyle w:val="ListParagraph"/>
        <w:numPr>
          <w:ilvl w:val="0"/>
          <w:numId w:val="2"/>
        </w:numPr>
        <w:spacing w:after="60"/>
      </w:pPr>
      <w:r>
        <w:rPr>
          <w:b w:val="false"/>
          <w:bCs w:val="false"/>
        </w:rPr>
        <w:t xml:space="preserve">Header follow-up state is read-only text (no tap, no toggle) — matches Dashboard’s rule.</w:t>
      </w:r>
    </w:p>
    <w:p>
      <w:pPr>
        <w:pStyle w:val="ListParagraph"/>
        <w:numPr>
          <w:ilvl w:val="0"/>
          <w:numId w:val="2"/>
        </w:numPr>
        <w:spacing w:after="60"/>
      </w:pPr>
      <w:r>
        <w:rPr>
          <w:b w:val="false"/>
          <w:bCs w:val="false"/>
        </w:rPr>
        <w:t xml:space="preserve">Vitals dock gets an additional small “+” button beside the “Full chart” link — deliberately a separate, visually distinct control (filled, brand-colored) from the strip’s body tap, which still opens the read/view chart. Tapping “+” opens a quick Add Vitals sheet (BP, HR, RR, SpO2, GCS, I/O) that appends live to both the dock and the flowsheet.</w:t>
      </w:r>
    </w:p>
    <w:p>
      <w:pPr>
        <w:pStyle w:val="ListParagraph"/>
        <w:numPr>
          <w:ilvl w:val="0"/>
          <w:numId w:val="2"/>
        </w:numPr>
        <w:spacing w:after="60"/>
      </w:pPr>
      <w:r>
        <w:rPr>
          <w:b w:val="false"/>
          <w:bCs w:val="false"/>
        </w:rPr>
        <w:t xml:space="preserve">Chat input bar has no Advise/pencil icon (Seeker doesn’t compose advisories) — only the attach icon, which triggers the source picker → category flag bar flow (Section 4.7).</w:t>
      </w:r>
    </w:p>
    <w:p>
      <w:pPr>
        <w:pStyle w:val="ListParagraph"/>
        <w:numPr>
          <w:ilvl w:val="0"/>
          <w:numId w:val="2"/>
        </w:numPr>
        <w:spacing w:after="60"/>
      </w:pPr>
      <w:r>
        <w:rPr>
          <w:b w:val="false"/>
          <w:bCs w:val="false"/>
        </w:rPr>
        <w:t xml:space="preserve">Clinical Advisory trail page gets a download icon in its header; no compose affordance anywhere.</w:t>
      </w:r>
    </w:p>
    <w:p>
      <w:pPr>
        <w:pStyle w:val="Heading2"/>
        <w:spacing w:after="150" w:before="300"/>
      </w:pPr>
      <w:r>
        <w:t xml:space="preserve">7.5  Edge case — New Clinical Advisory unread indicator</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perfusion-seeker-advisory-badge-demo.html</w:t>
            </w:r>
          </w:p>
        </w:tc>
      </w:tr>
    </w:tbl>
    <w:p>
      <w:pPr>
        <w:spacing w:after="100"/>
      </w:pPr>
    </w:p>
    <w:p>
      <w:pPr>
        <w:spacing w:after="120"/>
      </w:pPr>
      <w:r>
        <w:rPr>
          <w:b/>
          <w:bCs/>
        </w:rPr>
        <w:t xml:space="preserve">Purpose: </w:t>
      </w:r>
      <w:r>
        <w:t xml:space="preserve">When a provider adds a new advisory, the Seeker needs a way to notice it beyond the notification itself.</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A small red count badge on the Advisory icon’s corner, same visual language as the existing unread dot on the notification bell — reusing an established pattern rather than inventing a new one.</w:t>
      </w:r>
    </w:p>
    <w:p>
      <w:pPr>
        <w:pStyle w:val="ListParagraph"/>
        <w:numPr>
          <w:ilvl w:val="0"/>
          <w:numId w:val="2"/>
        </w:numPr>
        <w:spacing w:after="60"/>
      </w:pPr>
      <w:r>
        <w:rPr>
          <w:b w:val="false"/>
          <w:bCs w:val="false"/>
        </w:rPr>
        <w:t xml:space="preserve">Badge lives inside the row’s expand panel, not on the collapsed row. Open question, not yet decided: should a smaller signal also appear on the collapsed row so “new advisory” is visible without expanding first? Flagged in Section 8.</w:t>
      </w:r>
    </w:p>
    <w:p>
      <w:pPr>
        <w:pStyle w:val="ListParagraph"/>
        <w:numPr>
          <w:ilvl w:val="0"/>
          <w:numId w:val="2"/>
        </w:numPr>
        <w:spacing w:after="60"/>
      </w:pPr>
      <w:r>
        <w:rPr>
          <w:b w:val="false"/>
          <w:bCs w:val="false"/>
        </w:rPr>
        <w:t xml:space="preserve">Tapping the icon clears the badge, mirroring “opening a notification marks it read.”</w:t>
      </w:r>
    </w:p>
    <w:p>
      <w:pPr>
        <w:pStyle w:val="Heading2"/>
        <w:spacing w:after="150" w:before="300"/>
      </w:pPr>
      <w:r>
        <w:t xml:space="preserve">7.6  CP-07/08, CS-16/17 — Live Voice/Video Consultation</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perfusion-live-call-cp08.html</w:t>
            </w:r>
          </w:p>
        </w:tc>
      </w:tr>
    </w:tbl>
    <w:p>
      <w:pPr>
        <w:spacing w:after="100"/>
      </w:pPr>
    </w:p>
    <w:p>
      <w:pPr>
        <w:spacing w:after="120"/>
      </w:pPr>
      <w:r>
        <w:rPr>
          <w:b/>
          <w:bCs/>
        </w:rPr>
        <w:t xml:space="preserve">Purpose: </w:t>
      </w:r>
      <w:r>
        <w:t xml:space="preserve">The call itself, plus continuous access to chat, patient context, and the role-specific action (Advise / Add Vitals) without ending the call to get it.</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Base layer is the call (full-screen remote video for video calls; core controls always present: mute, camera toggle, end call, speaker, flip camera). Self-view sits in a small corner PiP throughout.</w:t>
      </w:r>
    </w:p>
    <w:p>
      <w:pPr>
        <w:pStyle w:val="ListParagraph"/>
        <w:numPr>
          <w:ilvl w:val="0"/>
          <w:numId w:val="2"/>
        </w:numPr>
        <w:spacing w:after="60"/>
      </w:pPr>
      <w:r>
        <w:rPr>
          <w:b w:val="false"/>
          <w:bCs w:val="false"/>
        </w:rPr>
        <w:t xml:space="preserve">Connection states are explicit, not implied: Connected (steady green dot), Connecting (pulsing amber), Reconnecting (pulsing red). Ended/failed/permission-denied states must be added following the same visual language before this ships.</w:t>
      </w:r>
    </w:p>
    <w:p>
      <w:pPr>
        <w:pStyle w:val="ListParagraph"/>
        <w:numPr>
          <w:ilvl w:val="0"/>
          <w:numId w:val="2"/>
        </w:numPr>
        <w:spacing w:after="60"/>
      </w:pPr>
      <w:r>
        <w:rPr>
          <w:b w:val="false"/>
          <w:bCs w:val="false"/>
        </w:rPr>
        <w:t xml:space="preserve">Three quick-access icons sit above the main controls: Chat (carries an unread badge, same visual language as elsewhere in the app), Case File (a condensed read-only summary — presenting complaint, allergies, latest vitals — not the full multi-page Case File), and a third icon that is role-specific: Advise for Provider, Add Vitals for Seeker. Same icon slot, same interaction, different content — mirrors the Advise/Add-Vitals split already locked on the Dashboard and Case File.</w:t>
      </w:r>
    </w:p>
    <w:p>
      <w:pPr>
        <w:pStyle w:val="ListParagraph"/>
        <w:numPr>
          <w:ilvl w:val="0"/>
          <w:numId w:val="2"/>
        </w:numPr>
        <w:spacing w:after="60"/>
      </w:pPr>
      <w:r>
        <w:rPr>
          <w:b w:val="false"/>
          <w:bCs w:val="false"/>
        </w:rPr>
        <w:t xml:space="preserve">Tapping any quick-access icon opens a bottom sheet covering roughly 70% of the screen. The call keeps running underneath and audio is unaffected; the video shrinks to the self-view PiP corner rather than disappearing, so visual continuity with the patient is not fully lost even while the sheet is open.</w:t>
      </w:r>
    </w:p>
    <w:p>
      <w:pPr>
        <w:pStyle w:val="ListParagraph"/>
        <w:numPr>
          <w:ilvl w:val="0"/>
          <w:numId w:val="2"/>
        </w:numPr>
        <w:spacing w:after="60"/>
      </w:pPr>
      <w:r>
        <w:rPr>
          <w:b w:val="false"/>
          <w:bCs w:val="false"/>
        </w:rPr>
        <w:t xml:space="preserve">End Call is reachable by either party per the original spec and returns to that patient's Case File on completion, not to the Dashboard.</w:t>
      </w:r>
    </w:p>
    <w:p>
      <w:pPr>
        <w:pStyle w:val="ListParagraph"/>
        <w:numPr>
          <w:ilvl w:val="0"/>
          <w:numId w:val="2"/>
        </w:numPr>
        <w:spacing w:after="60"/>
      </w:pPr>
      <w:r>
        <w:rPr>
          <w:b w:val="false"/>
          <w:bCs w:val="false"/>
        </w:rPr>
        <w:t xml:space="preserve">Minimize (top-left icon) triggers OS-level Picture-in-Picture — see Section 4.8. This is the single most important behavior on this screen and must not be implemented as an in-app floating window.</w:t>
      </w:r>
    </w:p>
    <w:p>
      <w:pPr>
        <w:pStyle w:val="Heading2"/>
        <w:spacing w:after="150" w:before="300"/>
      </w:pPr>
      <w:r>
        <w:t xml:space="preserve">7.7  CS-02–CS-10 — New Consultation Booking Flow</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perfusion-booking-flow-cs02.html</w:t>
            </w:r>
          </w:p>
        </w:tc>
      </w:tr>
    </w:tbl>
    <w:p>
      <w:pPr>
        <w:spacing w:after="100"/>
      </w:pPr>
    </w:p>
    <w:p>
      <w:pPr>
        <w:spacing w:after="120"/>
      </w:pPr>
      <w:r>
        <w:rPr>
          <w:b/>
          <w:bCs/>
        </w:rPr>
        <w:t xml:space="preserve">Purpose: </w:t>
      </w:r>
      <w:r>
        <w:t xml:space="preserve">Book a specialist consultation for a patient. Shortened deliberately to two real screens plus a confirmation sheet — not a five-step wizard — since the original per-step structure added friction without adding safety.</w:t>
      </w:r>
    </w:p>
    <w:p>
      <w:pPr>
        <w:pStyle w:val="Heading3"/>
        <w:spacing w:after="100" w:before="240"/>
      </w:pPr>
      <w:r>
        <w:rPr>
          <w:b/>
          <w:bCs/>
          <w:color w:val="2A2A2A"/>
        </w:rPr>
        <w:t xml:space="preserve">Structure</w:t>
      </w:r>
    </w:p>
    <w:p>
      <w:pPr>
        <w:pStyle w:val="ListParagraph"/>
        <w:numPr>
          <w:ilvl w:val="0"/>
          <w:numId w:val="2"/>
        </w:numPr>
        <w:spacing w:after="60"/>
      </w:pPr>
      <w:r>
        <w:rPr>
          <w:b w:val="false"/>
          <w:bCs w:val="false"/>
        </w:rPr>
        <w:t xml:space="preserve">Step 1 — Explore Consultants: search + specialty chips + an “Available today” toggle (off by default). The list is sorted soonest-available first. Every card is the same fixed height: photo, name, specialty, credentials · “Perfusion network”, one green “Next available” chip (e.g. “Today, 4:30 PM”) and an “All slots ›” link. Tapping the chip selects that consultant AND that slot and goes straight to Step 2. Tapping the card or “All slots ›” opens the slot sheet.</w:t>
      </w:r>
    </w:p>
    <w:p>
      <w:pPr>
        <w:pStyle w:val="ListParagraph"/>
        <w:numPr>
          <w:ilvl w:val="0"/>
          <w:numId w:val="2"/>
        </w:numPr>
        <w:spacing w:after="60"/>
      </w:pPr>
      <w:r>
        <w:rPr>
          <w:b w:val="false"/>
          <w:bCs w:val="false"/>
        </w:rPr>
        <w:t xml:space="preserve">Step 2 — Patient &amp; Clinical Details: one combined screen, not two. Patient search (existing) or inline creation (new), followed immediately by clinical fields and attachments, ending in a single “Book Consultation” action.</w:t>
      </w:r>
    </w:p>
    <w:p>
      <w:pPr>
        <w:pStyle w:val="ListParagraph"/>
        <w:numPr>
          <w:ilvl w:val="0"/>
          <w:numId w:val="2"/>
        </w:numPr>
        <w:spacing w:after="60"/>
      </w:pPr>
      <w:r>
        <w:rPr>
          <w:b w:val="false"/>
          <w:bCs w:val="false"/>
        </w:rPr>
        <w:t xml:space="preserve">“Book” opens a confirmation sheet (not a third full screen) stating patient, provider, slot, and the irreversibility warning, before actually committing the booking.</w:t>
      </w:r>
    </w:p>
    <w:p>
      <w:pPr>
        <w:pStyle w:val="Heading3"/>
        <w:spacing w:after="100" w:before="240"/>
      </w:pPr>
      <w:r>
        <w:rPr>
          <w:b/>
          <w:bCs/>
          <w:color w:val="2A2A2A"/>
        </w:rPr>
        <w:t xml:space="preserve">Locked decisions — Explore Consultants</w:t>
      </w:r>
    </w:p>
    <w:p>
      <w:pPr>
        <w:pStyle w:val="ListParagraph"/>
        <w:numPr>
          <w:ilvl w:val="0"/>
          <w:numId w:val="2"/>
        </w:numPr>
        <w:spacing w:after="60"/>
      </w:pPr>
      <w:r>
        <w:rPr>
          <w:b w:val="false"/>
          <w:bCs w:val="false"/>
        </w:rPr>
        <w:t xml:space="preserve">Consultant cards use a photo placeholder (person-silhouette style, standing in for an actual profile photo), not the city-initial badge used on the Dashboard — that badge was a deliberate “reach” signal for reviewing past/active consultations; here the job is choosing a specific doctor, where a photo and credentials matter more for the decision.</w:t>
      </w:r>
    </w:p>
    <w:p>
      <w:pPr>
        <w:pStyle w:val="ListParagraph"/>
        <w:numPr>
          <w:ilvl w:val="0"/>
          <w:numId w:val="2"/>
        </w:numPr>
        <w:spacing w:after="60"/>
      </w:pPr>
      <w:r>
        <w:rPr>
          <w:b w:val="false"/>
          <w:bCs w:val="false"/>
        </w:rPr>
        <w:t xml:space="preserve">Specialty is visually highlighted (brand red, bold) directly under the name — it is the primary thing a Seeker is filtering by, matching the source web app's existing card treatment.</w:t>
      </w:r>
    </w:p>
    <w:p>
      <w:pPr>
        <w:pStyle w:val="ListParagraph"/>
        <w:numPr>
          <w:ilvl w:val="0"/>
          <w:numId w:val="2"/>
        </w:numPr>
        <w:spacing w:after="60"/>
      </w:pPr>
      <w:r>
        <w:rPr>
          <w:b w:val="false"/>
          <w:bCs w:val="false"/>
        </w:rPr>
        <w:t xml:space="preserve">Qualifications (e.g. “MBBS, MD, DM”) shown alongside hospital/place, both muted, secondary to name and specialty.</w:t>
      </w:r>
    </w:p>
    <w:p>
      <w:pPr>
        <w:pStyle w:val="ListParagraph"/>
        <w:numPr>
          <w:ilvl w:val="0"/>
          <w:numId w:val="2"/>
        </w:numPr>
        <w:spacing w:after="60"/>
      </w:pPr>
      <w:r>
        <w:rPr>
          <w:b w:val="false"/>
          <w:bCs w:val="false"/>
        </w:rPr>
        <w:t xml:space="preserve">Consultation fee is NOT displayed anywhere in this flow — billing is postpaid and generated later; showing a fee here would incorrectly imply a payment decision is being made at booking time.</w:t>
      </w:r>
    </w:p>
    <w:p>
      <w:pPr>
        <w:pStyle w:val="ListParagraph"/>
        <w:numPr>
          <w:ilvl w:val="0"/>
          <w:numId w:val="2"/>
        </w:numPr>
        <w:spacing w:after="60"/>
      </w:pPr>
      <w:r>
        <w:rPr>
          <w:b w:val="false"/>
          <w:bCs w:val="false"/>
        </w:rPr>
        <w:t xml:space="preserve">A consultant with no bookable slot inside the booking horizon shows a grey “Fully booked for the next 30 days” state instead of the chip, is not tappable, and sorts last.</w:t>
      </w:r>
    </w:p>
    <w:p>
      <w:pPr>
        <w:pStyle w:val="ListParagraph"/>
        <w:numPr>
          <w:ilvl w:val="0"/>
          <w:numId w:val="2"/>
        </w:numPr>
        <w:spacing w:after="60"/>
      </w:pPr>
      <w:r>
        <w:rPr>
          <w:b w:val="false"/>
          <w:bCs w:val="false"/>
        </w:rPr>
        <w:t xml:space="preserve">The next-available chip is green (soft mint background, deeper green text #0E7C57 for legibility) — it means “bookable now”. Red is never used for availability (red is reserved for live/urgent state and primary actions, Section 9.1). Its visible size is deliberately small; the tap area extends beyond the visible chip so it stays easy to hit.</w:t>
      </w:r>
    </w:p>
    <w:p>
      <w:pPr>
        <w:pStyle w:val="Heading3"/>
        <w:spacing w:after="100" w:before="240"/>
      </w:pPr>
      <w:r>
        <w:rPr>
          <w:b/>
          <w:bCs/>
          <w:color w:val="2A2A2A"/>
        </w:rPr>
        <w:t xml:space="preserve">Locked decisions — Slot sheet</w:t>
      </w:r>
    </w:p>
    <w:p>
      <w:pPr>
        <w:pStyle w:val="ListParagraph"/>
        <w:numPr>
          <w:ilvl w:val="0"/>
          <w:numId w:val="2"/>
        </w:numPr>
        <w:spacing w:after="60"/>
      </w:pPr>
      <w:r>
        <w:rPr>
          <w:b w:val="false"/>
          <w:bCs w:val="false"/>
        </w:rPr>
        <w:t xml:space="preserve">Header: the consultant’s photo, name and specialty. Below it, a 14-day date strip (today first; days with no availability are greyed and not tappable) and a calendar icon at its end that swaps the strip for a month view, used only for far-out dates, with a “Back to next 14 days” link.</w:t>
      </w:r>
    </w:p>
    <w:p>
      <w:pPr>
        <w:pStyle w:val="ListParagraph"/>
        <w:numPr>
          <w:ilvl w:val="0"/>
          <w:numId w:val="2"/>
        </w:numPr>
        <w:spacing w:after="60"/>
      </w:pPr>
      <w:r>
        <w:rPr>
          <w:b w:val="false"/>
          <w:bCs w:val="false"/>
        </w:rPr>
        <w:t xml:space="preserve">Slots appear in a 3-column grid grouped Morning (before 12 PM), Afternoon (12–5 PM) and Evening (after 5 PM). Empty groups are hidden. A summary line states the count and the date (“10 slots · Today, Mon 28 Sep”). Footer: “All times IST · 30-minute consultation”.</w:t>
      </w:r>
    </w:p>
    <w:p>
      <w:pPr>
        <w:pStyle w:val="ListParagraph"/>
        <w:numPr>
          <w:ilvl w:val="0"/>
          <w:numId w:val="2"/>
        </w:numPr>
        <w:spacing w:after="60"/>
      </w:pPr>
      <w:r>
        <w:rPr>
          <w:b w:val="false"/>
          <w:bCs w:val="false"/>
        </w:rPr>
        <w:t xml:space="preserve">Tapping a slot selects the consultant and slot and moves to Step 2. Nothing is committed until the confirmation sheet in Step 2 is confirmed, so an accidental tap costs one tap on “Change”.</w:t>
      </w:r>
    </w:p>
    <w:p>
      <w:pPr>
        <w:pStyle w:val="ListParagraph"/>
        <w:numPr>
          <w:ilvl w:val="0"/>
          <w:numId w:val="2"/>
        </w:numPr>
        <w:spacing w:after="60"/>
      </w:pPr>
      <w:r>
        <w:rPr>
          <w:b w:val="false"/>
          <w:bCs w:val="false"/>
        </w:rPr>
        <w:t xml:space="preserve">Booking horizon: 30 days ahead (working default — see Section 12, pending confirmation). The month view and date strip never offer dates beyond it.</w:t>
      </w:r>
    </w:p>
    <w:p>
      <w:pPr>
        <w:pStyle w:val="Heading3"/>
        <w:spacing w:after="100" w:before="240"/>
      </w:pPr>
      <w:r>
        <w:rPr>
          <w:b/>
          <w:bCs/>
          <w:color w:val="2A2A2A"/>
        </w:rPr>
        <w:t xml:space="preserve">Data required from the shared backend (computed server-side, never on the phone)</w:t>
      </w:r>
    </w:p>
    <w:p>
      <w:pPr>
        <w:pStyle w:val="ListParagraph"/>
        <w:numPr>
          <w:ilvl w:val="0"/>
          <w:numId w:val="2"/>
        </w:numPr>
        <w:spacing w:after="60"/>
      </w:pPr>
      <w:r>
        <w:rPr>
          <w:b w:val="false"/>
          <w:bCs w:val="false"/>
        </w:rPr>
        <w:t xml:space="preserve">Only genuinely bookable slots are ever shown. A slot is bookable when it falls inside the consultant’s availability, is not already booked by any seeker, has not already passed (IST), is not disabled or overridden, and the consultant is not paused. A seeker’s phone cannot know other seekers’ bookings, which is why this cannot be computed on the client.</w:t>
      </w:r>
    </w:p>
    <w:p>
      <w:pPr>
        <w:pStyle w:val="ListParagraph"/>
        <w:numPr>
          <w:ilvl w:val="0"/>
          <w:numId w:val="2"/>
        </w:numPr>
        <w:spacing w:after="60"/>
      </w:pPr>
      <w:r>
        <w:rPr>
          <w:b w:val="false"/>
          <w:bCs w:val="false"/>
        </w:rPr>
        <w:t xml:space="preserve">Overlapping or adjacent availability windows must be merged before slots are cut. The old mobile build displayed raw windows (e.g. “4:30–5:00” and “5:00–5:30” as separate blocks, and “9:30 AM – 10:00 PM” as one block), which is why the list looked incomplete. Slots are fixed at 30 minutes.</w:t>
      </w:r>
    </w:p>
    <w:p>
      <w:pPr>
        <w:pStyle w:val="ListParagraph"/>
        <w:numPr>
          <w:ilvl w:val="0"/>
          <w:numId w:val="2"/>
        </w:numPr>
        <w:spacing w:after="60"/>
      </w:pPr>
      <w:r>
        <w:rPr>
          <w:b w:val="false"/>
          <w:bCs w:val="false"/>
        </w:rPr>
        <w:t xml:space="preserve">The consultants list must return each consultant’s next available slot (date + time) — or null when there is none inside the horizon — so the card needs no extra request per consultant.</w:t>
      </w:r>
    </w:p>
    <w:p>
      <w:pPr>
        <w:pStyle w:val="ListParagraph"/>
        <w:numPr>
          <w:ilvl w:val="0"/>
          <w:numId w:val="2"/>
        </w:numPr>
        <w:spacing w:after="60"/>
      </w:pPr>
      <w:r>
        <w:rPr>
          <w:b w:val="false"/>
          <w:bCs w:val="false"/>
        </w:rPr>
        <w:t xml:space="preserve">A second call returns the bookable 30-minute slots for one consultant and one date (or a date range for the strip and calendar, including which dates have at least one slot).</w:t>
      </w:r>
    </w:p>
    <w:p>
      <w:pPr>
        <w:pStyle w:val="ListParagraph"/>
        <w:numPr>
          <w:ilvl w:val="0"/>
          <w:numId w:val="2"/>
        </w:numPr>
        <w:spacing w:after="60"/>
      </w:pPr>
      <w:r>
        <w:rPr>
          <w:b w:val="false"/>
          <w:bCs w:val="false"/>
        </w:rPr>
        <w:t xml:space="preserve">Availability written on the Provider’s Availability screen (Section 7.9) is the source of all of this data — a change there must show up in the seeker’s slots immediately.</w:t>
      </w:r>
    </w:p>
    <w:p>
      <w:pPr>
        <w:pStyle w:val="Heading3"/>
        <w:spacing w:after="100" w:before="240"/>
      </w:pPr>
      <w:r>
        <w:rPr>
          <w:b/>
          <w:bCs/>
          <w:color w:val="2A2A2A"/>
        </w:rPr>
        <w:t xml:space="preserve">Locked decisions — Patient &amp; Clinical Details</w:t>
      </w:r>
    </w:p>
    <w:p>
      <w:pPr>
        <w:pStyle w:val="ListParagraph"/>
        <w:numPr>
          <w:ilvl w:val="0"/>
          <w:numId w:val="2"/>
        </w:numPr>
        <w:spacing w:after="60"/>
      </w:pPr>
      <w:r>
        <w:rPr>
          <w:b w:val="false"/>
          <w:bCs w:val="false"/>
        </w:rPr>
        <w:t xml:space="preserve">Patient search suggestions must show Name + Age/Sex + Patient ID together in every row (e.g. “Priya Singh · 27F · PAT-00001234”), never name alone — this is the explicit safeguard against selecting the wrong patient when multiple patients share a name.</w:t>
      </w:r>
    </w:p>
    <w:p>
      <w:pPr>
        <w:pStyle w:val="ListParagraph"/>
        <w:numPr>
          <w:ilvl w:val="0"/>
          <w:numId w:val="2"/>
        </w:numPr>
        <w:spacing w:after="60"/>
      </w:pPr>
      <w:r>
        <w:rPr>
          <w:b w:val="false"/>
          <w:bCs w:val="false"/>
        </w:rPr>
        <w:t xml:space="preserve">New-patient fields match the existing web app's intake form exactly: Patient Name*, Age*, Gender* (dropdown), Patient's Contact Number* (+91-prefixed, explicitly labeled as the patient's own number), Weight (kg, optional), UHID/IP Number (optional, the hospital's own internal identifier — distinct from Perfusion's Patient ID).</w:t>
      </w:r>
    </w:p>
    <w:p>
      <w:pPr>
        <w:pStyle w:val="ListParagraph"/>
        <w:numPr>
          <w:ilvl w:val="0"/>
          <w:numId w:val="2"/>
        </w:numPr>
        <w:spacing w:after="60"/>
      </w:pPr>
      <w:r>
        <w:rPr>
          <w:b w:val="false"/>
          <w:bCs w:val="false"/>
        </w:rPr>
        <w:t xml:space="preserve">Allergies use an inverted checkbox: “No known allergies / Not specified” checked by default hides the Allergies field entirely; unchecking it reveals a free-text Allergies input. Do not ask for allergy detail when the box is checked.</w:t>
      </w:r>
    </w:p>
    <w:p>
      <w:pPr>
        <w:pStyle w:val="ListParagraph"/>
        <w:numPr>
          <w:ilvl w:val="0"/>
          <w:numId w:val="2"/>
        </w:numPr>
        <w:spacing w:after="60"/>
      </w:pPr>
      <w:r>
        <w:rPr>
          <w:b w:val="false"/>
          <w:bCs w:val="false"/>
        </w:rPr>
        <w:t xml:space="preserve">There is no Call-back Number / Ward Contact field in this flow. Calling is routed via the account's Callback Device (Section 4.11), captured once at first login, not re-selected per booking — this corrects an earlier draft of this spec, which had a per-booking Ward field before the calling architecture moved to VoIP-only (Section 4.13).</w:t>
      </w:r>
    </w:p>
    <w:p>
      <w:pPr>
        <w:pStyle w:val="ListParagraph"/>
        <w:numPr>
          <w:ilvl w:val="0"/>
          <w:numId w:val="2"/>
        </w:numPr>
        <w:spacing w:after="60"/>
      </w:pPr>
      <w:r>
        <w:rPr>
          <w:b w:val="false"/>
          <w:bCs w:val="false"/>
        </w:rPr>
        <w:t xml:space="preserve">Booking a new patient generates a unique Patient ID automatically and adds them to that hospital's patient list for future bookings — stated explicitly in the UI copy so the Seeker understands this record now exists.</w:t>
      </w:r>
    </w:p>
    <w:p>
      <w:pPr>
        <w:pStyle w:val="ListParagraph"/>
        <w:numPr>
          <w:ilvl w:val="0"/>
          <w:numId w:val="2"/>
        </w:numPr>
        <w:spacing w:after="60"/>
      </w:pPr>
      <w:r>
        <w:rPr>
          <w:b w:val="false"/>
          <w:bCs w:val="false"/>
        </w:rPr>
        <w:t xml:space="preserve">Clinical fields are clubbed into three, not the web app's five — deliberate simplification for mobile: Clinical Summary* (a single large field combining chief complaint, history of present illness, past history, and examination findings), Provisional Diagnosis (optional), Investigations (optional, lab/imaging/ECG). “Referring Physician” and a separate “Examination” field from the web app are folded into Clinical Summary rather than kept as standalone fields.</w:t>
      </w:r>
    </w:p>
    <w:p>
      <w:pPr>
        <w:pStyle w:val="ListParagraph"/>
        <w:numPr>
          <w:ilvl w:val="0"/>
          <w:numId w:val="2"/>
        </w:numPr>
        <w:spacing w:after="60"/>
      </w:pPr>
      <w:r>
        <w:rPr>
          <w:b w:val="false"/>
          <w:bCs w:val="false"/>
        </w:rPr>
        <w:t xml:space="preserve">Two separate upload prompts — “Upload Reports” and “Upload Treatment Chart” — not one generic attach button. Both ultimately land in the same place (chat, per the existing attach/flag pattern in Section 4.7), but are presented as two distinct prompts specifically so a Seeker is reminded to provide both categories rather than defaulting to only one.</w:t>
      </w:r>
    </w:p>
    <w:p>
      <w:pPr>
        <w:pStyle w:val="ListParagraph"/>
        <w:numPr>
          <w:ilvl w:val="0"/>
          <w:numId w:val="2"/>
        </w:numPr>
        <w:spacing w:after="60"/>
      </w:pPr>
      <w:r>
        <w:rPr>
          <w:b w:val="false"/>
          <w:bCs w:val="false"/>
        </w:rPr>
        <w:t xml:space="preserve">No limit on number of files or file size; accepted types include JPEG/PNG and related image formats, PDF, and DOC and related document formats. (Product decision as given — flag to backend/infra that unlimited size/count has real storage-cost implications worth a sanity check before launch, even though the product requirement itself is not being second-guessed here.)</w:t>
      </w:r>
    </w:p>
    <w:p>
      <w:pPr>
        <w:pStyle w:val="ListParagraph"/>
        <w:numPr>
          <w:ilvl w:val="0"/>
          <w:numId w:val="2"/>
        </w:numPr>
        <w:spacing w:after="60"/>
      </w:pPr>
      <w:r>
        <w:rPr>
          <w:b w:val="false"/>
          <w:bCs w:val="false"/>
        </w:rPr>
        <w:t xml:space="preserve">“Book Consultation” opens a confirmation sheet stating patient, provider, slot, and “postpaid, billed later” explicitly (no payment collection anywhere in this flow), plus the standard irreversibility warning, before the booking actually commits.</w:t>
      </w:r>
    </w:p>
    <w:p>
      <w:pPr>
        <w:pStyle w:val="Heading2"/>
        <w:spacing w:after="150" w:before="300"/>
      </w:pPr>
      <w:r>
        <w:t xml:space="preserve">7.8  CP-03/04/05 + Seeker equiv. — Consultations List, Search, Filters, Consultation Detail</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perfusion-consultations-list.html</w:t>
            </w:r>
          </w:p>
        </w:tc>
      </w:tr>
    </w:tbl>
    <w:p>
      <w:pPr>
        <w:spacing w:after="100"/>
      </w:pPr>
    </w:p>
    <w:p>
      <w:pPr>
        <w:spacing w:after="120"/>
      </w:pPr>
      <w:r>
        <w:rPr>
          <w:b/>
          <w:bCs/>
        </w:rPr>
        <w:t xml:space="preserve">Purpose: </w:t>
      </w:r>
      <w:r>
        <w:t xml:space="preserve">The full consultation history destination for “View All Consultations.” Unlike the Dashboard, this screen's job is browsing and drilling into full detail, not glance-and-act — so it is deliberately less space-constrained.</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Reuses the same locked row component from the Dashboard (age/sex badge for Provider, city-badge/specialty-forward identity for Seeker) — no new row pattern invented.</w:t>
      </w:r>
    </w:p>
    <w:p>
      <w:pPr>
        <w:pStyle w:val="ListParagraph"/>
        <w:numPr>
          <w:ilvl w:val="0"/>
          <w:numId w:val="2"/>
        </w:numPr>
        <w:spacing w:after="60"/>
      </w:pPr>
      <w:r>
        <w:rPr>
          <w:b w:val="false"/>
          <w:bCs w:val="false"/>
        </w:rPr>
        <w:t xml:space="preserve">Search activates at 3 characters per the original spec; an empty-state (“No patients found”) appears when a search or filter combination yields zero results.</w:t>
      </w:r>
    </w:p>
    <w:p>
      <w:pPr>
        <w:pStyle w:val="ListParagraph"/>
        <w:numPr>
          <w:ilvl w:val="0"/>
          <w:numId w:val="2"/>
        </w:numPr>
        <w:spacing w:after="60"/>
      </w:pPr>
      <w:r>
        <w:rPr>
          <w:b w:val="false"/>
          <w:bCs w:val="false"/>
        </w:rPr>
        <w:t xml:space="preserve">Quick filters (Last 24 Hours, Closed) sit inline; the full Filters sheet covers all 7 statuses as combinable chips plus a date range, with a badge showing how many filters are active.</w:t>
      </w:r>
    </w:p>
    <w:p>
      <w:pPr>
        <w:pStyle w:val="ListParagraph"/>
        <w:numPr>
          <w:ilvl w:val="0"/>
          <w:numId w:val="2"/>
        </w:numPr>
        <w:spacing w:after="60"/>
      </w:pPr>
      <w:r>
        <w:rPr>
          <w:b w:val="false"/>
          <w:bCs w:val="false"/>
        </w:rPr>
        <w:t xml:space="preserve">Each row displays its Consultation ID directly and permanently — not hidden behind a tap. This list is not crowding-constrained the way the Dashboard is, so identifying information that the Dashboard deliberately omits belongs here instead.</w:t>
      </w:r>
    </w:p>
    <w:p>
      <w:pPr>
        <w:pStyle w:val="ListParagraph"/>
        <w:numPr>
          <w:ilvl w:val="0"/>
          <w:numId w:val="2"/>
        </w:numPr>
        <w:spacing w:after="60"/>
      </w:pPr>
      <w:r>
        <w:rPr>
          <w:b w:val="false"/>
          <w:bCs w:val="false"/>
        </w:rPr>
        <w:t xml:space="preserve">Tapping a row navigates straight to a Consultation Detail page — no inline expand-to-reveal-icons here (that is the Dashboard's job). Consultation Detail is a different, simpler interaction model: one tap, full record.</w:t>
      </w:r>
    </w:p>
    <w:p>
      <w:pPr>
        <w:pStyle w:val="ListParagraph"/>
        <w:numPr>
          <w:ilvl w:val="0"/>
          <w:numId w:val="2"/>
        </w:numPr>
        <w:spacing w:after="60"/>
      </w:pPr>
      <w:r>
        <w:rPr>
          <w:b w:val="false"/>
          <w:bCs w:val="false"/>
        </w:rPr>
        <w:t xml:space="preserve">Consultation Detail shows: identity + Consultation ID, a metadata grid (Status, Date, Time, Duration — Duration is new here, not shown on the Dashboard), Presenting Complaint with a link into full Clinical Summary, latest Vitals with a link into the full flowsheet, Reports &amp; Treatment Chart, and a link into Patient Profile.</w:t>
      </w:r>
    </w:p>
    <w:p>
      <w:pPr>
        <w:pStyle w:val="ListParagraph"/>
        <w:numPr>
          <w:ilvl w:val="0"/>
          <w:numId w:val="2"/>
        </w:numPr>
        <w:spacing w:after="60"/>
      </w:pPr>
      <w:r>
        <w:rPr>
          <w:b w:val="false"/>
          <w:bCs w:val="false"/>
        </w:rPr>
        <w:t xml:space="preserve">The Clinical Advisory section on this page is explicitly labeled “PERMANENT RECORD” and shows multiple trail entries inline (not just a teaser link) — reinforcing that this trail survives the engagement window closing, per Section 4.4.</w:t>
      </w:r>
    </w:p>
    <w:p>
      <w:pPr>
        <w:pStyle w:val="ListParagraph"/>
        <w:numPr>
          <w:ilvl w:val="0"/>
          <w:numId w:val="2"/>
        </w:numPr>
        <w:spacing w:after="60"/>
      </w:pPr>
      <w:r>
        <w:rPr>
          <w:b w:val="false"/>
          <w:bCs w:val="false"/>
        </w:rPr>
        <w:t xml:space="preserve">Terminal-state consultations (Missed/Cancelled/Rejected/Expired) use the same Consultation Detail structure, not a different layout — sections that have no content (e.g. no Advisory was ever given) render as empty states within the same sections, rather than removing or replacing them.</w:t>
      </w:r>
    </w:p>
    <w:p>
      <w:pPr>
        <w:pStyle w:val="Heading2"/>
        <w:spacing w:after="150" w:before="300"/>
      </w:pPr>
      <w:r>
        <w:t xml:space="preserve">7.9  CP-19/20 — Availability + Pause Consultations</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perfusion-availability-cp19.html</w:t>
            </w:r>
          </w:p>
        </w:tc>
      </w:tr>
    </w:tbl>
    <w:p>
      <w:pPr>
        <w:spacing w:after="100"/>
      </w:pPr>
    </w:p>
    <w:p>
      <w:pPr>
        <w:spacing w:after="120"/>
      </w:pPr>
      <w:r>
        <w:rPr>
          <w:b/>
          <w:bCs/>
        </w:rPr>
        <w:t xml:space="preserve">Purpose: </w:t>
      </w:r>
      <w:r>
        <w:t xml:space="preserve">Controls when a Provider can be newly booked. Distinct from, and must never be confused with, the per-patient follow-up call/video pause in Section 4.3 — see the Section 2 naming-collision entry this screen was specifically built to avoid.</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Pause Consultations is a single status word (Available/Paused) plus a one-tap button — no confirmation sheet, no explanatory paragraph. Deliberately lighter than the original document's proposed confirmation dialog copy; simplicity was chosen over spelling out the consequences inline.</w:t>
      </w:r>
    </w:p>
    <w:p>
      <w:pPr>
        <w:pStyle w:val="ListParagraph"/>
        <w:numPr>
          <w:ilvl w:val="0"/>
          <w:numId w:val="2"/>
        </w:numPr>
        <w:spacing w:after="60"/>
      </w:pPr>
      <w:r>
        <w:rPr>
          <w:b w:val="false"/>
          <w:bCs w:val="false"/>
        </w:rPr>
        <w:t xml:space="preserve">No consultation-duration picker. Duration is fixed at 30 minutes, stated as a plain info line, not an editable setting.</w:t>
      </w:r>
    </w:p>
    <w:p>
      <w:pPr>
        <w:pStyle w:val="ListParagraph"/>
        <w:numPr>
          <w:ilvl w:val="0"/>
          <w:numId w:val="2"/>
        </w:numPr>
        <w:spacing w:after="60"/>
      </w:pPr>
      <w:r>
        <w:rPr>
          <w:b w:val="false"/>
          <w:bCs w:val="false"/>
        </w:rPr>
        <w:t xml:space="preserve">Each of the seven days, Monday to Sunday (Sunday must be present — tele-ICU runs seven days): enable/disable switch, multiple time-window rows, individual delete (permanent removal) per window, “Add time window” to add more — supports the original spec's explicit multi-slot-per-day requirement.</w:t>
      </w:r>
    </w:p>
    <w:p>
      <w:pPr>
        <w:pStyle w:val="ListParagraph"/>
        <w:numPr>
          <w:ilvl w:val="0"/>
          <w:numId w:val="2"/>
        </w:numPr>
        <w:spacing w:after="60"/>
      </w:pPr>
      <w:r>
        <w:rPr>
          <w:b w:val="false"/>
          <w:bCs w:val="false"/>
        </w:rPr>
        <w:t xml:space="preserve">“Copy to all days” on any day's expanded view copies that day's exact time windows to all other days and switches them on. Individual days remain independently editable/disable-able afterward as exceptions — copying is a bulk starting point, not a permanent link between days.</w:t>
      </w:r>
    </w:p>
    <w:p>
      <w:pPr>
        <w:pStyle w:val="ListParagraph"/>
        <w:numPr>
          <w:ilvl w:val="0"/>
          <w:numId w:val="2"/>
        </w:numPr>
        <w:spacing w:after="60"/>
      </w:pPr>
      <w:r>
        <w:rPr>
          <w:b w:val="false"/>
          <w:bCs w:val="false"/>
        </w:rPr>
        <w:t xml:space="preserve">Long-pressing an individual time-window row (~500ms) pauses or resumes that window — struck-through and greyed while paused, and not offered to seekers. A paused window stays paused until it is long-pressed again; it does not expire by itself. This is distinct from deleting the row, which removes it permanently. It exists so a provider can take a window out for a while without losing it.</w:t>
      </w:r>
    </w:p>
    <w:p>
      <w:pPr>
        <w:pStyle w:val="ListParagraph"/>
        <w:numPr>
          <w:ilvl w:val="0"/>
          <w:numId w:val="2"/>
        </w:numPr>
        <w:spacing w:after="60"/>
      </w:pPr>
      <w:r>
        <w:rPr>
          <w:b w:val="false"/>
          <w:bCs w:val="false"/>
        </w:rPr>
        <w:t xml:space="preserve">Changing availability never alters already-scheduled consultations — stated explicitly in-UI, matching the original document's requirement.</w:t>
      </w:r>
    </w:p>
    <w:p>
      <w:pPr>
        <w:pStyle w:val="ListParagraph"/>
        <w:numPr>
          <w:ilvl w:val="0"/>
          <w:numId w:val="2"/>
        </w:numPr>
        <w:spacing w:after="60"/>
      </w:pPr>
      <w:r>
        <w:rPr>
          <w:b w:val="false"/>
          <w:bCs w:val="false"/>
        </w:rPr>
        <w:t xml:space="preserve">This screen is the write side of the data the booking flow reads (Section 7.7). It must offer full self-service: choose days, add/edit/delete time windows, copy to all days, pause a window, and the Available/Paused switch. A lone Pause button on My Profile is not this screen.</w:t>
      </w:r>
    </w:p>
    <w:p>
      <w:pPr>
        <w:pStyle w:val="Heading3"/>
        <w:spacing w:after="100" w:before="240"/>
      </w:pPr>
      <w:r>
        <w:rPr>
          <w:b/>
          <w:bCs/>
          <w:color w:val="2A2A2A"/>
        </w:rPr>
        <w:t xml:space="preserve">How the screen is reached and what every control does</w:t>
      </w:r>
    </w:p>
    <w:p>
      <w:pPr>
        <w:pStyle w:val="ListParagraph"/>
        <w:numPr>
          <w:ilvl w:val="0"/>
          <w:numId w:val="2"/>
        </w:numPr>
        <w:spacing w:after="60"/>
      </w:pPr>
      <w:r>
        <w:rPr>
          <w:b w:val="false"/>
          <w:bCs w:val="false"/>
        </w:rPr>
        <w:t xml:space="preserve">Reached only from My Profile → the “Availability” row (Provider only). That row is a navigation row that opens this screen. It is not a toggle, and a lone Available/Pause button on My Profile is not an acceptable substitute.</w:t>
      </w:r>
    </w:p>
    <w:p>
      <w:pPr>
        <w:pStyle w:val="ListParagraph"/>
        <w:numPr>
          <w:ilvl w:val="0"/>
          <w:numId w:val="2"/>
        </w:numPr>
        <w:spacing w:after="60"/>
      </w:pPr>
      <w:r>
        <w:rPr>
          <w:b w:val="false"/>
          <w:bCs w:val="false"/>
        </w:rPr>
        <w:t xml:space="preserve">Layout, top to bottom: back arrow and “Availability” title; a status card; the info line “All times shown in IST · each consultation slot is 30 minutes”; the “Weekly availability” list of seven day cards; a footer note that changes never affect consultations already scheduled.</w:t>
      </w:r>
    </w:p>
    <w:p>
      <w:pPr>
        <w:pStyle w:val="ListParagraph"/>
        <w:numPr>
          <w:ilvl w:val="0"/>
          <w:numId w:val="2"/>
        </w:numPr>
        <w:spacing w:after="60"/>
      </w:pPr>
      <w:r>
        <w:rPr>
          <w:b w:val="false"/>
          <w:bCs w:val="false"/>
        </w:rPr>
        <w:t xml:space="preserve">Status card: a dot and word (green “Available” or grey “Paused”) and one button (Pause / Resume). One tap flips it instantly, with no dialog. While Paused, no seeker can book this consultant. Consultations already scheduled, and any active consultation’s call, video and chat, are untouched.</w:t>
      </w:r>
    </w:p>
    <w:p>
      <w:pPr>
        <w:pStyle w:val="ListParagraph"/>
        <w:numPr>
          <w:ilvl w:val="0"/>
          <w:numId w:val="2"/>
        </w:numPr>
        <w:spacing w:after="60"/>
      </w:pPr>
      <w:r>
        <w:rPr>
          <w:b w:val="false"/>
          <w:bCs w:val="false"/>
        </w:rPr>
        <w:t xml:space="preserve">Day card, collapsed: the day name, a summary (“2 slots”, “No time windows yet” or “Unavailable”) and an on/off switch. Tapping the row expands or collapses it. Switching a day off collapses it and marks it Unavailable but keeps its windows; switching it on again restores them.</w:t>
      </w:r>
    </w:p>
    <w:p>
      <w:pPr>
        <w:pStyle w:val="ListParagraph"/>
        <w:numPr>
          <w:ilvl w:val="0"/>
          <w:numId w:val="2"/>
        </w:numPr>
        <w:spacing w:after="60"/>
      </w:pPr>
      <w:r>
        <w:rPr>
          <w:b w:val="false"/>
          <w:bCs w:val="false"/>
        </w:rPr>
        <w:t xml:space="preserve">Day card, expanded: one row per time window (start – end, each tappable) with a ✕ to delete it, then “Add time window” and “Copy to all days”.</w:t>
      </w:r>
    </w:p>
    <w:p>
      <w:pPr>
        <w:pStyle w:val="ListParagraph"/>
        <w:numPr>
          <w:ilvl w:val="0"/>
          <w:numId w:val="2"/>
        </w:numPr>
        <w:spacing w:after="60"/>
      </w:pPr>
      <w:r>
        <w:rPr>
          <w:b w:val="false"/>
          <w:bCs w:val="false"/>
        </w:rPr>
        <w:t xml:space="preserve">Editing a window: tapping a start or end time opens a time picker in 30-minute steps. The end must be later than the start and on the same day. A window cannot cross midnight, so a night shift is entered as two windows (one ending at 12:00 AM, one starting at 12:00 AM the next day). “Add time window” adds a new row and opens the same picker. Overlapping windows are tolerated because the server merges them when slots are cut.</w:t>
      </w:r>
    </w:p>
    <w:p>
      <w:pPr>
        <w:pStyle w:val="ListParagraph"/>
        <w:numPr>
          <w:ilvl w:val="0"/>
          <w:numId w:val="2"/>
        </w:numPr>
        <w:spacing w:after="60"/>
      </w:pPr>
      <w:r>
        <w:rPr>
          <w:b w:val="false"/>
          <w:bCs w:val="false"/>
        </w:rPr>
        <w:t xml:space="preserve">Copy to all days: replaces every other day’s windows with the source day’s windows and switches all seven days on. Days stay individually editable afterward. It is a one-time bulk write, not a link between days.</w:t>
      </w:r>
    </w:p>
    <w:p>
      <w:pPr>
        <w:pStyle w:val="ListParagraph"/>
        <w:numPr>
          <w:ilvl w:val="0"/>
          <w:numId w:val="2"/>
        </w:numPr>
        <w:spacing w:after="60"/>
      </w:pPr>
      <w:r>
        <w:rPr>
          <w:b w:val="false"/>
          <w:bCs w:val="false"/>
        </w:rPr>
        <w:t xml:space="preserve">Every change is saved to the server as it is made (there is no separate Save button) and applies immediately to what seekers can book. If a save fails, the row reverts and a short error message appears.</w:t>
      </w:r>
    </w:p>
    <w:p>
      <w:pPr>
        <w:pStyle w:val="ListParagraph"/>
        <w:numPr>
          <w:ilvl w:val="0"/>
          <w:numId w:val="2"/>
        </w:numPr>
        <w:spacing w:after="60"/>
      </w:pPr>
      <w:r>
        <w:rPr>
          <w:b w:val="false"/>
          <w:bCs w:val="false"/>
        </w:rPr>
        <w:t xml:space="preserve">What the seeker sees as a result (Section 7.7): each window becomes a run of 30-minute slots inside the slot sheet, and the earliest one becomes the card’s Next-available chip. A paused window, a deleted window and a switched-off day all disappear from the seeker’s view. A paused consultant is handled the way the existing web app handles one; report which behaviour that is.</w:t>
      </w:r>
    </w:p>
    <w:p>
      <w:pPr>
        <w:pStyle w:val="Heading2"/>
        <w:spacing w:after="150" w:before="300"/>
      </w:pPr>
      <w:r>
        <w:t xml:space="preserve">7.10  CP-12/13 — Billing (Both roles)</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perfusion-billing-cp12.html</w:t>
            </w:r>
          </w:p>
        </w:tc>
      </w:tr>
    </w:tbl>
    <w:p>
      <w:pPr>
        <w:spacing w:after="100"/>
      </w:pPr>
    </w:p>
    <w:p>
      <w:pPr>
        <w:spacing w:after="120"/>
      </w:pPr>
      <w:r>
        <w:rPr>
          <w:b/>
          <w:bCs/>
        </w:rPr>
        <w:t xml:space="preserve">Purpose: </w:t>
      </w:r>
      <w:r>
        <w:t xml:space="preserve">Earnings/transaction history for Provider; invoice + payment history for Seeker. Both are real, built screens — an earlier draft of this spec treated Seeker Billing as a reserved placeholder, which is now corrected: real invoice and Razorpay payment infrastructure already exists on the backend (`/api/billing/my-invoices`, `create-order`/`verify`), so there is nothing to invent.</w:t>
      </w:r>
    </w:p>
    <w:p>
      <w:pPr>
        <w:pStyle w:val="Heading3"/>
        <w:spacing w:after="100" w:before="240"/>
      </w:pPr>
      <w:r>
        <w:rPr>
          <w:b/>
          <w:bCs/>
          <w:color w:val="2A2A2A"/>
        </w:rPr>
        <w:t xml:space="preserve">Locked decisions — Provider</w:t>
      </w:r>
    </w:p>
    <w:p>
      <w:pPr>
        <w:pStyle w:val="ListParagraph"/>
        <w:numPr>
          <w:ilvl w:val="0"/>
          <w:numId w:val="2"/>
        </w:numPr>
        <w:spacing w:after="60"/>
      </w:pPr>
      <w:r>
        <w:rPr>
          <w:b w:val="false"/>
          <w:bCs w:val="false"/>
        </w:rPr>
        <w:t xml:space="preserve">Three top-line stats: Consultations Completed, Amount Earned, Amount Paid — with pending amount called out separately, matching the original document's CP-12 structure.</w:t>
      </w:r>
    </w:p>
    <w:p>
      <w:pPr>
        <w:pStyle w:val="ListParagraph"/>
        <w:numPr>
          <w:ilvl w:val="0"/>
          <w:numId w:val="2"/>
        </w:numPr>
        <w:spacing w:after="60"/>
      </w:pPr>
      <w:r>
        <w:rPr>
          <w:b w:val="false"/>
          <w:bCs w:val="false"/>
        </w:rPr>
        <w:t xml:space="preserve">Transaction list reuses the same row grammar as everywhere else (age/sex badge, hospital + place, Consultation ID) rather than inventing a new financial-row layout.</w:t>
      </w:r>
    </w:p>
    <w:p>
      <w:pPr>
        <w:pStyle w:val="ListParagraph"/>
        <w:numPr>
          <w:ilvl w:val="0"/>
          <w:numId w:val="2"/>
        </w:numPr>
        <w:spacing w:after="60"/>
      </w:pPr>
      <w:r>
        <w:rPr>
          <w:b w:val="false"/>
          <w:bCs w:val="false"/>
        </w:rPr>
        <w:t xml:space="preserve">Each transaction shows an explicit PAID / PENDING status pill.</w:t>
      </w:r>
    </w:p>
    <w:p>
      <w:pPr>
        <w:pStyle w:val="ListParagraph"/>
        <w:numPr>
          <w:ilvl w:val="0"/>
          <w:numId w:val="2"/>
        </w:numPr>
        <w:spacing w:after="60"/>
      </w:pPr>
      <w:r>
        <w:rPr>
          <w:b w:val="false"/>
          <w:bCs w:val="false"/>
        </w:rPr>
        <w:t xml:space="preserve">Figures are stated as calculated by the existing backend and displayed as-is — the mobile client performs no independent earnings calculation, per the original document's explicit requirement.</w:t>
      </w:r>
    </w:p>
    <w:p>
      <w:pPr>
        <w:pStyle w:val="Heading3"/>
        <w:spacing w:after="100" w:before="240"/>
      </w:pPr>
      <w:r>
        <w:rPr>
          <w:b/>
          <w:bCs/>
          <w:color w:val="2A2A2A"/>
        </w:rPr>
        <w:t xml:space="preserve">Locked decisions — Seeker</w:t>
      </w:r>
    </w:p>
    <w:p>
      <w:pPr>
        <w:pStyle w:val="ListParagraph"/>
        <w:numPr>
          <w:ilvl w:val="0"/>
          <w:numId w:val="2"/>
        </w:numPr>
        <w:spacing w:after="60"/>
      </w:pPr>
      <w:r>
        <w:rPr>
          <w:b w:val="false"/>
          <w:bCs w:val="false"/>
        </w:rPr>
        <w:t xml:space="preserve">Mirror the existing web app's invoice/payment logic and flow directly — same invoice list, same generate-then-pay sequence, same Razorpay integration. No new mobile-specific payment design; replicate what already works on web.</w:t>
      </w:r>
    </w:p>
    <w:p>
      <w:pPr>
        <w:pStyle w:val="ListParagraph"/>
        <w:numPr>
          <w:ilvl w:val="0"/>
          <w:numId w:val="2"/>
        </w:numPr>
        <w:spacing w:after="60"/>
      </w:pPr>
      <w:r>
        <w:rPr>
          <w:b w:val="false"/>
          <w:bCs w:val="false"/>
        </w:rPr>
        <w:t xml:space="preserve">Booking stays untouched: no payment step inside the booking flow (Section 7.7). Billing is a separate destination where an already-issued invoice gets paid — “postpaid, billed later” refers to booking-time behavior, not a statement that no payment screen exists anywhere in the app.</w:t>
      </w:r>
    </w:p>
    <w:p>
      <w:pPr>
        <w:pStyle w:val="Heading2"/>
        <w:spacing w:after="150" w:before="300"/>
      </w:pPr>
      <w:r>
        <w:t xml:space="preserve">7.11  CP-14–CP-18, CS-21 — My Profile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perfusion-profile.html</w:t>
            </w:r>
          </w:p>
        </w:tc>
      </w:tr>
    </w:tbl>
    <w:p>
      <w:pPr>
        <w:spacing w:after="100"/>
      </w:pPr>
    </w:p>
    <w:p>
      <w:pPr>
        <w:spacing w:after="120"/>
      </w:pPr>
      <w:r>
        <w:rPr>
          <w:b/>
          <w:bCs/>
        </w:rPr>
        <w:t xml:space="preserve">Purpose: </w:t>
      </w:r>
      <w:r>
        <w:t xml:space="preserve">Resolves the previously-open profile-identity question: Provider's profile represents the individual consultant; Seeker's profile represents the hospital/facility, not the logged-in individual staff member.</w:t>
      </w:r>
    </w:p>
    <w:p>
      <w:pPr>
        <w:pStyle w:val="Heading3"/>
        <w:spacing w:after="100" w:before="240"/>
      </w:pPr>
      <w:r>
        <w:rPr>
          <w:b/>
          <w:bCs/>
          <w:color w:val="2A2A2A"/>
        </w:rPr>
        <w:t xml:space="preserve">Locked decisions — shared structure</w:t>
      </w:r>
    </w:p>
    <w:p>
      <w:pPr>
        <w:pStyle w:val="ListParagraph"/>
        <w:numPr>
          <w:ilvl w:val="0"/>
          <w:numId w:val="2"/>
        </w:numPr>
        <w:spacing w:after="60"/>
      </w:pPr>
      <w:r>
        <w:rPr>
          <w:b w:val="false"/>
          <w:bCs w:val="false"/>
        </w:rPr>
        <w:t xml:space="preserve">View mode is read-only display; a pencil icon on the profile hero opens a dedicated Edit Profile page where only genuinely editable fields appear as real inputs. Backend-locked/verified fields (e.g. Registration Number, Hospital Name) are not included in the edit form at all — not shown greyed-out and tappable, simply absent, with a note explaining why and to contact support for corrections.</w:t>
      </w:r>
    </w:p>
    <w:p>
      <w:pPr>
        <w:pStyle w:val="ListParagraph"/>
        <w:numPr>
          <w:ilvl w:val="0"/>
          <w:numId w:val="2"/>
        </w:numPr>
        <w:spacing w:after="60"/>
      </w:pPr>
      <w:r>
        <w:rPr>
          <w:b w:val="false"/>
          <w:bCs w:val="false"/>
        </w:rPr>
        <w:t xml:space="preserve">Locked fields in view mode carry a small lock icon and muted text, visually distinct from editable fields — directly satisfying the original document's warning against assuming a visually-editable-looking field is actually authorized to change.</w:t>
      </w:r>
    </w:p>
    <w:p>
      <w:pPr>
        <w:pStyle w:val="ListParagraph"/>
        <w:numPr>
          <w:ilvl w:val="0"/>
          <w:numId w:val="2"/>
        </w:numPr>
        <w:spacing w:after="60"/>
      </w:pPr>
      <w:r>
        <w:rPr>
          <w:b w:val="false"/>
          <w:bCs w:val="false"/>
        </w:rPr>
        <w:t xml:space="preserve">Change Password, Help, and Logout sit below the profile content. Logout is deliberately small and de-emphasized at the very bottom, consistent with Section 4.12's persistent-login model, with a one-line note that sessions otherwise stay signed in indefinitely.</w:t>
      </w:r>
    </w:p>
    <w:p>
      <w:pPr>
        <w:pStyle w:val="Heading3"/>
        <w:spacing w:after="100" w:before="240"/>
      </w:pPr>
      <w:r>
        <w:rPr>
          <w:b/>
          <w:bCs/>
          <w:color w:val="2A2A2A"/>
        </w:rPr>
        <w:t xml:space="preserve">Locked decisions — Provider</w:t>
      </w:r>
    </w:p>
    <w:p>
      <w:pPr>
        <w:pStyle w:val="ListParagraph"/>
        <w:numPr>
          <w:ilvl w:val="0"/>
          <w:numId w:val="2"/>
        </w:numPr>
        <w:spacing w:after="60"/>
      </w:pPr>
      <w:r>
        <w:rPr>
          <w:b w:val="false"/>
          <w:bCs w:val="false"/>
        </w:rPr>
        <w:t xml:space="preserve">Hero shows a Verified Provider badge (green) or a pending-verification state (amber) — the mobile client displays verification status, it never independently decides it.</w:t>
      </w:r>
    </w:p>
    <w:p>
      <w:pPr>
        <w:pStyle w:val="ListParagraph"/>
        <w:numPr>
          <w:ilvl w:val="0"/>
          <w:numId w:val="2"/>
        </w:numPr>
        <w:spacing w:after="60"/>
      </w:pPr>
      <w:r>
        <w:rPr>
          <w:b w:val="false"/>
          <w:bCs w:val="false"/>
        </w:rPr>
        <w:t xml:space="preserve">Personal Details includes Email (added) alongside Display Name, City, State, Contact Phone.</w:t>
      </w:r>
    </w:p>
    <w:p>
      <w:pPr>
        <w:pStyle w:val="ListParagraph"/>
        <w:numPr>
          <w:ilvl w:val="0"/>
          <w:numId w:val="2"/>
        </w:numPr>
        <w:spacing w:after="60"/>
      </w:pPr>
      <w:r>
        <w:rPr>
          <w:b w:val="false"/>
          <w:bCs w:val="false"/>
        </w:rPr>
        <w:t xml:space="preserve">Professional Details: Qualification, Specialization, Years of Experience, Consultation Fee are editable; Registration Number, Registered With, and Affiliated Institute are locked, each with the lock-icon treatment.</w:t>
      </w:r>
    </w:p>
    <w:p>
      <w:pPr>
        <w:pStyle w:val="ListParagraph"/>
        <w:numPr>
          <w:ilvl w:val="0"/>
          <w:numId w:val="2"/>
        </w:numPr>
        <w:spacing w:after="60"/>
      </w:pPr>
      <w:r>
        <w:rPr>
          <w:b w:val="false"/>
          <w:bCs w:val="false"/>
        </w:rPr>
        <w:t xml:space="preserve">Registration Documents: multiple files supported, each with its own individual verification status (Verified / Under review) — not one blanket document-set status.</w:t>
      </w:r>
    </w:p>
    <w:p>
      <w:pPr>
        <w:pStyle w:val="ListParagraph"/>
        <w:numPr>
          <w:ilvl w:val="0"/>
          <w:numId w:val="2"/>
        </w:numPr>
        <w:spacing w:after="60"/>
      </w:pPr>
      <w:r>
        <w:rPr>
          <w:b w:val="false"/>
          <w:bCs w:val="false"/>
        </w:rPr>
        <w:t xml:space="preserve">Signature: a dedicated section with a preview and an update action — net-new field not in the original document, added for use on official outputs.</w:t>
      </w:r>
    </w:p>
    <w:p>
      <w:pPr>
        <w:pStyle w:val="ListParagraph"/>
        <w:numPr>
          <w:ilvl w:val="0"/>
          <w:numId w:val="2"/>
        </w:numPr>
        <w:spacing w:after="60"/>
      </w:pPr>
      <w:r>
        <w:rPr>
          <w:b w:val="false"/>
          <w:bCs w:val="false"/>
        </w:rPr>
        <w:t xml:space="preserve">Portfolio is free-form prose the consultant writes themselves (edited via the same Edit Profile page's textarea), with a separate row of attachable photos beneath it — explicitly not a structured list of titled entries. Writing and photos are two different, loosely-coupled things, not one item per photo.</w:t>
      </w:r>
    </w:p>
    <w:p>
      <w:pPr>
        <w:pStyle w:val="Heading3"/>
        <w:spacing w:after="100" w:before="240"/>
      </w:pPr>
      <w:r>
        <w:rPr>
          <w:b/>
          <w:bCs/>
          <w:color w:val="2A2A2A"/>
        </w:rPr>
        <w:t xml:space="preserve">Editing model and behaviour — Provider</w:t>
      </w:r>
    </w:p>
    <w:p>
      <w:pPr>
        <w:pStyle w:val="ListParagraph"/>
        <w:numPr>
          <w:ilvl w:val="0"/>
          <w:numId w:val="2"/>
        </w:numPr>
        <w:spacing w:after="60"/>
      </w:pPr>
      <w:r>
        <w:rPr>
          <w:b w:val="false"/>
          <w:bCs w:val="false"/>
        </w:rPr>
        <w:t xml:space="preserve">There are two ways to change things. (1) The pencil icon opens the Edit Profile page: Display Name, Email, City, State, Contact Phone, Qualification, Specialization, Years of Experience, Consultation Fee and the Portfolio text, each a real input, with one primary “Save Changes” button that saves them together. The back arrow leaves without saving. Server validation errors appear under the field that failed, and on success the app returns to the read-only profile showing the new values. (2) Direct actions on the profile itself: change photo, view or add registration documents, update signature, add or remove portfolio photos, and open Availability.</w:t>
      </w:r>
    </w:p>
    <w:p>
      <w:pPr>
        <w:pStyle w:val="ListParagraph"/>
        <w:numPr>
          <w:ilvl w:val="0"/>
          <w:numId w:val="2"/>
        </w:numPr>
        <w:spacing w:after="60"/>
      </w:pPr>
      <w:r>
        <w:rPr>
          <w:b w:val="false"/>
          <w:bCs w:val="false"/>
        </w:rPr>
        <w:t xml:space="preserve">The editable/locked split in the reference is indicative. The real rule is whatever the existing backend already lets a provider change: anything the web app locks must stay locked on mobile. If the reference disagrees with the backend in either direction, follow the backend and report it. Locked fields are absent from the Edit form entirely, with a note to contact support.</w:t>
      </w:r>
    </w:p>
    <w:p>
      <w:pPr>
        <w:pStyle w:val="ListParagraph"/>
        <w:numPr>
          <w:ilvl w:val="0"/>
          <w:numId w:val="2"/>
        </w:numPr>
        <w:spacing w:after="60"/>
      </w:pPr>
      <w:r>
        <w:rPr>
          <w:b w:val="false"/>
          <w:bCs w:val="false"/>
        </w:rPr>
        <w:t xml:space="preserve">Photo: tap the small “+” badge on the avatar, choose Camera or Photo Gallery, and upload through the existing consultant-photo upload. The new photo shows immediately.</w:t>
      </w:r>
    </w:p>
    <w:p>
      <w:pPr>
        <w:pStyle w:val="ListParagraph"/>
        <w:numPr>
          <w:ilvl w:val="0"/>
          <w:numId w:val="2"/>
        </w:numPr>
        <w:spacing w:after="60"/>
      </w:pPr>
      <w:r>
        <w:rPr>
          <w:b w:val="false"/>
          <w:bCs w:val="false"/>
        </w:rPr>
        <w:t xml:space="preserve">Verification badge: shows Verified, Under review, or whatever other state the backend reports. The app never decides it.</w:t>
      </w:r>
    </w:p>
    <w:p>
      <w:pPr>
        <w:pStyle w:val="ListParagraph"/>
        <w:numPr>
          <w:ilvl w:val="0"/>
          <w:numId w:val="2"/>
        </w:numPr>
        <w:spacing w:after="60"/>
      </w:pPr>
      <w:r>
        <w:rPr>
          <w:b w:val="false"/>
          <w:bCs w:val="false"/>
        </w:rPr>
        <w:t xml:space="preserve">Registration Documents: a list of files, each with its own status. “View” opens the file and “Add document” uploads a PDF or image. If the existing registration-document upload only works during signup, report that rather than inventing a new endpoint.</w:t>
      </w:r>
    </w:p>
    <w:p>
      <w:pPr>
        <w:pStyle w:val="ListParagraph"/>
        <w:numPr>
          <w:ilvl w:val="0"/>
          <w:numId w:val="2"/>
        </w:numPr>
        <w:spacing w:after="60"/>
      </w:pPr>
      <w:r>
        <w:rPr>
          <w:b w:val="false"/>
          <w:bCs w:val="false"/>
        </w:rPr>
        <w:t xml:space="preserve">Signature: shows the current signature image. “Update signature” lets the provider pick an image (camera, gallery or files) and replaces it through the existing signature upload. Drawing on screen is not part of this phase.</w:t>
      </w:r>
    </w:p>
    <w:p>
      <w:pPr>
        <w:pStyle w:val="ListParagraph"/>
        <w:numPr>
          <w:ilvl w:val="0"/>
          <w:numId w:val="2"/>
        </w:numPr>
        <w:spacing w:after="60"/>
      </w:pPr>
      <w:r>
        <w:rPr>
          <w:b w:val="false"/>
          <w:bCs w:val="false"/>
        </w:rPr>
        <w:t xml:space="preserve">Portfolio: the text is edited in Edit Profile as free multi-line writing. Photos sit in a row beneath it in view mode: the “+” tile adds one (camera or gallery) and tapping a photo opens it full size with a Delete option. If the backend has no portfolio text or photo storage today, make the smallest backward-compatible addition and report it.</w:t>
      </w:r>
    </w:p>
    <w:p>
      <w:pPr>
        <w:pStyle w:val="ListParagraph"/>
        <w:numPr>
          <w:ilvl w:val="0"/>
          <w:numId w:val="2"/>
        </w:numPr>
        <w:spacing w:after="60"/>
      </w:pPr>
      <w:r>
        <w:rPr>
          <w:b w:val="false"/>
          <w:bCs w:val="false"/>
        </w:rPr>
        <w:t xml:space="preserve">Availability row (below Portfolio, above Change Password): calendar icon, “Availability”, subtitle “Weekly hours, pause consultations”, and a chevron. Tapping it opens the full Availability screen (Section 7.9). It replaces any standalone Available/Pause button on this screen.</w:t>
      </w:r>
    </w:p>
    <w:p>
      <w:pPr>
        <w:pStyle w:val="ListParagraph"/>
        <w:numPr>
          <w:ilvl w:val="0"/>
          <w:numId w:val="2"/>
        </w:numPr>
        <w:spacing w:after="60"/>
      </w:pPr>
      <w:r>
        <w:rPr>
          <w:b w:val="false"/>
          <w:bCs w:val="false"/>
        </w:rPr>
        <w:t xml:space="preserve">Change Password and Help &amp; Support follow Section 8. Log Out is the smallest and last element (Section 4.12). Callback Devices is Seeker-only (Section 4.11), and Billing is its own bottom-navigation tab, so neither appears on the Provider profile.</w:t>
      </w:r>
    </w:p>
    <w:p>
      <w:pPr>
        <w:pStyle w:val="Heading3"/>
        <w:spacing w:after="100" w:before="240"/>
      </w:pPr>
      <w:r>
        <w:rPr>
          <w:b/>
          <w:bCs/>
          <w:color w:val="2A2A2A"/>
        </w:rPr>
        <w:t xml:space="preserve">Locked decisions — Seeker</w:t>
      </w:r>
    </w:p>
    <w:p>
      <w:pPr>
        <w:pStyle w:val="ListParagraph"/>
        <w:numPr>
          <w:ilvl w:val="0"/>
          <w:numId w:val="2"/>
        </w:numPr>
        <w:spacing w:after="60"/>
      </w:pPr>
      <w:r>
        <w:rPr>
          <w:b w:val="false"/>
          <w:bCs w:val="false"/>
        </w:rPr>
        <w:t xml:space="preserve">Profile hero shows a building icon and the hospital's name/location — no individual person's name or photo anywhere on this screen.</w:t>
      </w:r>
    </w:p>
    <w:p>
      <w:pPr>
        <w:pStyle w:val="ListParagraph"/>
        <w:numPr>
          <w:ilvl w:val="0"/>
          <w:numId w:val="2"/>
        </w:numPr>
        <w:spacing w:after="60"/>
      </w:pPr>
      <w:r>
        <w:rPr>
          <w:b w:val="false"/>
          <w:bCs w:val="false"/>
        </w:rPr>
        <w:t xml:space="preserve">Hospital Details: Hospital Name and Registration ID are locked (backend-verified); Address, Hospital Contact, and Email are editable.</w:t>
      </w:r>
    </w:p>
    <w:p>
      <w:pPr>
        <w:pStyle w:val="ListParagraph"/>
        <w:numPr>
          <w:ilvl w:val="0"/>
          <w:numId w:val="2"/>
        </w:numPr>
        <w:spacing w:after="60"/>
      </w:pPr>
      <w:r>
        <w:rPr>
          <w:b w:val="false"/>
          <w:bCs w:val="false"/>
        </w:rPr>
        <w:t xml:space="preserve">Registration Documents: same pattern as Provider's, for the hospital's own registration certificate rather than a medical council certificate.</w:t>
      </w:r>
    </w:p>
    <w:p>
      <w:pPr>
        <w:pStyle w:val="ListParagraph"/>
        <w:numPr>
          <w:ilvl w:val="0"/>
          <w:numId w:val="2"/>
        </w:numPr>
        <w:spacing w:after="60"/>
      </w:pPr>
      <w:r>
        <w:rPr>
          <w:b w:val="false"/>
          <w:bCs w:val="false"/>
        </w:rPr>
        <w:t xml:space="preserve">Owner Details is its own section — Owner Name, Owner Contact, Owner Email, all editable — kept visually distinct from the hospital's own (partly locked) identity fields.</w:t>
      </w:r>
    </w:p>
    <w:p>
      <w:pPr>
        <w:pStyle w:val="ListParagraph"/>
        <w:numPr>
          <w:ilvl w:val="0"/>
          <w:numId w:val="2"/>
        </w:numPr>
        <w:spacing w:after="60"/>
      </w:pPr>
      <w:r>
        <w:rPr>
          <w:b w:val="false"/>
          <w:bCs w:val="false"/>
        </w:rPr>
        <w:t xml:space="preserve">Callback Devices (Section 4.11) is linked from here as a settings destination, alongside Availability's equivalent link on the Provider side.</w:t>
      </w:r>
    </w:p>
    <w:p>
      <w:r>
        <w:br w:type="page"/>
      </w:r>
    </w:p>
    <w:p>
      <w:pPr>
        <w:pStyle w:val="Heading1"/>
        <w:spacing w:after="200" w:before="400"/>
      </w:pPr>
      <w:r>
        <w:t xml:space="preserve">8. Tier 2 Screen Specifications</w:t>
      </w:r>
    </w:p>
    <w:p>
      <w:pPr>
        <w:spacing w:after="120"/>
      </w:pPr>
      <w:r>
        <w:rPr>
          <w:b w:val="false"/>
          <w:bCs w:val="false"/>
          <w:i w:val="false"/>
          <w:iCs w:val="false"/>
        </w:rPr>
        <w:t xml:space="preserve">Full field lists and flow for every standard-pattern screen, quoted directly from the original wireframe document’s Sections 3, 6.11–6.13, and 7.13–7.15, with Section 4.12’s session/logout override already applied. No other document is needed to build these.</w:t>
      </w:r>
    </w:p>
    <w:p>
      <w:pPr>
        <w:pStyle w:val="Heading2"/>
        <w:spacing w:after="150" w:before="300"/>
      </w:pPr>
      <w:r>
        <w:t xml:space="preserve">8.1 Authentication — Login, Signup, OTP, Terms &amp; Conditions (AUTH-01–AUTH-04)</w:t>
      </w:r>
    </w:p>
    <w:p>
      <w:pPr>
        <w:pStyle w:val="Heading3"/>
        <w:spacing w:after="100" w:before="240"/>
      </w:pPr>
      <w:r>
        <w:rPr>
          <w:b/>
          <w:bCs/>
          <w:color w:val="2A2A2A"/>
        </w:rPr>
        <w:t xml:space="preserve">New user</w:t>
      </w:r>
    </w:p>
    <w:p>
      <w:pPr>
        <w:pStyle w:val="ListParagraph"/>
        <w:numPr>
          <w:ilvl w:val="0"/>
          <w:numId w:val="2"/>
        </w:numPr>
        <w:spacing w:after="60"/>
      </w:pPr>
      <w:r>
        <w:rPr>
          <w:b w:val="false"/>
          <w:bCs w:val="false"/>
        </w:rPr>
        <w:t xml:space="preserve">Signup → existing Perfusion signup workflow → Email + OTP verification → Role selection (Care Provider or Care Seeker) → Terms &amp; Conditions → Dashboard.</w:t>
      </w:r>
    </w:p>
    <w:p>
      <w:pPr>
        <w:pStyle w:val="ListParagraph"/>
        <w:numPr>
          <w:ilvl w:val="0"/>
          <w:numId w:val="2"/>
        </w:numPr>
        <w:spacing w:after="60"/>
      </w:pPr>
      <w:r>
        <w:rPr>
          <w:b w:val="false"/>
          <w:bCs w:val="false"/>
        </w:rPr>
        <w:t xml:space="preserve">OTP is used only during signup/verification, never as the normal login mechanism. Biometric login is not required.</w:t>
      </w:r>
    </w:p>
    <w:p>
      <w:pPr>
        <w:pStyle w:val="Heading3"/>
        <w:spacing w:after="100" w:before="240"/>
      </w:pPr>
      <w:r>
        <w:rPr>
          <w:b/>
          <w:bCs/>
          <w:color w:val="2A2A2A"/>
        </w:rPr>
        <w:t xml:space="preserve">Returning user</w:t>
      </w:r>
    </w:p>
    <w:p>
      <w:pPr>
        <w:pStyle w:val="ListParagraph"/>
        <w:numPr>
          <w:ilvl w:val="0"/>
          <w:numId w:val="2"/>
        </w:numPr>
        <w:spacing w:after="60"/>
      </w:pPr>
      <w:r>
        <w:rPr>
          <w:b w:val="false"/>
          <w:bCs w:val="false"/>
        </w:rPr>
        <w:t xml:space="preserve">Login → Email + Password → Terms/version check → Dashboard.</w:t>
      </w:r>
    </w:p>
    <w:p>
      <w:pPr>
        <w:pStyle w:val="ListParagraph"/>
        <w:numPr>
          <w:ilvl w:val="0"/>
          <w:numId w:val="2"/>
        </w:numPr>
        <w:spacing w:after="60"/>
      </w:pPr>
      <w:r>
        <w:rPr>
          <w:b w:val="false"/>
          <w:bCs w:val="false"/>
        </w:rPr>
        <w:t xml:space="preserve">Invalid credentials show an authentication error without revealing whether the account/email exists.</w:t>
      </w:r>
    </w:p>
    <w:p>
      <w:pPr>
        <w:pStyle w:val="ListParagraph"/>
        <w:numPr>
          <w:ilvl w:val="0"/>
          <w:numId w:val="2"/>
        </w:numPr>
        <w:spacing w:after="60"/>
      </w:pPr>
      <w:r>
        <w:rPr>
          <w:b w:val="false"/>
          <w:bCs w:val="false"/>
        </w:rPr>
        <w:t xml:space="preserve">Forgot-password: reuse the existing Perfusion website/backend implementation if present; if none exists, flag as an open item rather than inventing a new flow.</w:t>
      </w:r>
    </w:p>
    <w:p>
      <w:pPr>
        <w:pStyle w:val="Heading3"/>
        <w:spacing w:after="100" w:before="240"/>
      </w:pPr>
      <w:r>
        <w:rPr>
          <w:b/>
          <w:bCs/>
          <w:color w:val="2A2A2A"/>
        </w:rPr>
        <w:t xml:space="preserve">Terms &amp; Conditions</w:t>
      </w:r>
    </w:p>
    <w:p>
      <w:pPr>
        <w:pStyle w:val="ListParagraph"/>
        <w:numPr>
          <w:ilvl w:val="0"/>
          <w:numId w:val="2"/>
        </w:numPr>
        <w:spacing w:after="60"/>
      </w:pPr>
      <w:r>
        <w:rPr>
          <w:b w:val="false"/>
          <w:bCs w:val="false"/>
        </w:rPr>
        <w:t xml:space="preserve">Shown on first access and whenever the backend requires acceptance of a newer Terms version.</w:t>
      </w:r>
    </w:p>
    <w:p>
      <w:pPr>
        <w:pStyle w:val="ListParagraph"/>
        <w:numPr>
          <w:ilvl w:val="0"/>
          <w:numId w:val="2"/>
        </w:numPr>
        <w:spacing w:after="60"/>
      </w:pPr>
      <w:r>
        <w:rPr>
          <w:b w:val="false"/>
          <w:bCs w:val="false"/>
        </w:rPr>
        <w:t xml:space="preserve">Acceptance checkbox is mandatory; Continue stays disabled until checked.</w:t>
      </w:r>
    </w:p>
    <w:p>
      <w:pPr>
        <w:pStyle w:val="ListParagraph"/>
        <w:numPr>
          <w:ilvl w:val="0"/>
          <w:numId w:val="2"/>
        </w:numPr>
        <w:spacing w:after="60"/>
      </w:pPr>
      <w:r>
        <w:rPr>
          <w:b w:val="false"/>
          <w:bCs w:val="false"/>
        </w:rPr>
        <w:t xml:space="preserve">The exact website authentication screens/fields must be reused rather than redesigned from scratch.</w:t>
      </w:r>
    </w:p>
    <w:p>
      <w:pPr>
        <w:pStyle w:val="Heading3"/>
        <w:spacing w:after="100" w:before="240"/>
      </w:pPr>
      <w:r>
        <w:rPr>
          <w:b/>
          <w:bCs/>
          <w:color w:val="2A2A2A"/>
        </w:rPr>
        <w:t xml:space="preserve">Session (see Section 4.12 for the full override)</w:t>
      </w:r>
    </w:p>
    <w:p>
      <w:pPr>
        <w:pStyle w:val="ListParagraph"/>
        <w:numPr>
          <w:ilvl w:val="0"/>
          <w:numId w:val="2"/>
        </w:numPr>
        <w:spacing w:after="60"/>
      </w:pPr>
      <w:r>
        <w:rPr>
          <w:b w:val="false"/>
          <w:bCs w:val="false"/>
        </w:rPr>
        <w:t xml:space="preserve">Session persists indefinitely until manual logout from Settings — NOT the 15-day expiry this section might otherwise imply from older references. Section 4.12 is authoritative.</w:t>
      </w:r>
    </w:p>
    <w:p>
      <w:pPr>
        <w:pStyle w:val="ListParagraph"/>
        <w:numPr>
          <w:ilvl w:val="0"/>
          <w:numId w:val="2"/>
        </w:numPr>
        <w:spacing w:after="60"/>
      </w:pPr>
      <w:r>
        <w:rPr>
          <w:b w:val="false"/>
          <w:bCs w:val="false"/>
        </w:rPr>
        <w:t xml:space="preserve">A successful password change does NOT force logout — also overridden by Section 4.12.</w:t>
      </w:r>
    </w:p>
    <w:p>
      <w:pPr>
        <w:pStyle w:val="Heading2"/>
        <w:spacing w:after="150" w:before="300"/>
      </w:pPr>
      <w:r>
        <w:t xml:space="preserve">8.2 Change Password, Logout, Account Deactivation (CP-23/24, CS equivalent)</w:t>
      </w:r>
    </w:p>
    <w:p>
      <w:pPr>
        <w:pStyle w:val="Heading3"/>
        <w:spacing w:after="100" w:before="240"/>
      </w:pPr>
      <w:r>
        <w:rPr>
          <w:b/>
          <w:bCs/>
          <w:color w:val="2A2A2A"/>
        </w:rPr>
        <w:t xml:space="preserve">Change Password</w:t>
      </w:r>
    </w:p>
    <w:p>
      <w:pPr>
        <w:pStyle w:val="ListParagraph"/>
        <w:numPr>
          <w:ilvl w:val="0"/>
          <w:numId w:val="2"/>
        </w:numPr>
        <w:spacing w:after="60"/>
      </w:pPr>
      <w:r>
        <w:rPr>
          <w:b w:val="false"/>
          <w:bCs w:val="false"/>
        </w:rPr>
        <w:t xml:space="preserve">Fields: Current Password, New Password, Confirm New Password, Save.</w:t>
      </w:r>
    </w:p>
    <w:p>
      <w:pPr>
        <w:pStyle w:val="ListParagraph"/>
        <w:numPr>
          <w:ilvl w:val="0"/>
          <w:numId w:val="2"/>
        </w:numPr>
        <w:spacing w:after="60"/>
      </w:pPr>
      <w:r>
        <w:rPr>
          <w:b w:val="false"/>
          <w:bCs w:val="false"/>
        </w:rPr>
        <w:t xml:space="preserve">Validate current password correctness, new-password rules, and confirm-password match server-side; the server remains authoritative.</w:t>
      </w:r>
    </w:p>
    <w:p>
      <w:pPr>
        <w:pStyle w:val="ListParagraph"/>
        <w:numPr>
          <w:ilvl w:val="0"/>
          <w:numId w:val="2"/>
        </w:numPr>
        <w:spacing w:after="60"/>
      </w:pPr>
      <w:r>
        <w:rPr>
          <w:b w:val="false"/>
          <w:bCs w:val="false"/>
        </w:rPr>
        <w:t xml:space="preserve">Per Section 4.12: successful change does NOT log the user out. This corrects the original document, which specified an immediate forced logout.</w:t>
      </w:r>
    </w:p>
    <w:p>
      <w:pPr>
        <w:pStyle w:val="Heading3"/>
        <w:spacing w:after="100" w:before="240"/>
      </w:pPr>
      <w:r>
        <w:rPr>
          <w:b/>
          <w:bCs/>
          <w:color w:val="2A2A2A"/>
        </w:rPr>
        <w:t xml:space="preserve">Logout</w:t>
      </w:r>
    </w:p>
    <w:p>
      <w:pPr>
        <w:pStyle w:val="ListParagraph"/>
        <w:numPr>
          <w:ilvl w:val="0"/>
          <w:numId w:val="2"/>
        </w:numPr>
        <w:spacing w:after="60"/>
      </w:pPr>
      <w:r>
        <w:rPr>
          <w:b w:val="false"/>
          <w:bCs w:val="false"/>
        </w:rPr>
        <w:t xml:space="preserve">Tapping Logout shows a confirmation (“Log out? Are you sure you want to log out?”, Cancel / Log Out).</w:t>
      </w:r>
    </w:p>
    <w:p>
      <w:pPr>
        <w:pStyle w:val="ListParagraph"/>
        <w:numPr>
          <w:ilvl w:val="0"/>
          <w:numId w:val="2"/>
        </w:numPr>
        <w:spacing w:after="60"/>
      </w:pPr>
      <w:r>
        <w:rPr>
          <w:b w:val="false"/>
          <w:bCs w:val="false"/>
        </w:rPr>
        <w:t xml:space="preserve">Confirmed logout clears the local authenticated session and returns to Login.</w:t>
      </w:r>
    </w:p>
    <w:p>
      <w:pPr>
        <w:pStyle w:val="ListParagraph"/>
        <w:numPr>
          <w:ilvl w:val="0"/>
          <w:numId w:val="2"/>
        </w:numPr>
        <w:spacing w:after="60"/>
      </w:pPr>
      <w:r>
        <w:rPr>
          <w:b w:val="false"/>
          <w:bCs w:val="false"/>
        </w:rPr>
        <w:t xml:space="preserve">Per Section 4.12: the Logout control itself is placed deliberately deep in Settings, not one tap from any primary screen — intentional friction against impulsive logout, since sessions otherwise persist indefinitely.</w:t>
      </w:r>
    </w:p>
    <w:p>
      <w:pPr>
        <w:pStyle w:val="Heading3"/>
        <w:spacing w:after="100" w:before="240"/>
      </w:pPr>
      <w:r>
        <w:rPr>
          <w:b/>
          <w:bCs/>
          <w:color w:val="2A2A2A"/>
        </w:rPr>
        <w:t xml:space="preserve">Account Deactivation</w:t>
      </w:r>
    </w:p>
    <w:p>
      <w:pPr>
        <w:pStyle w:val="ListParagraph"/>
        <w:numPr>
          <w:ilvl w:val="0"/>
          <w:numId w:val="2"/>
        </w:numPr>
        <w:spacing w:after="60"/>
      </w:pPr>
      <w:r>
        <w:rPr>
          <w:b w:val="false"/>
          <w:bCs w:val="false"/>
        </w:rPr>
        <w:t xml:space="preserve">No in-app account deletion/deactivation button on either role. The user must contact Perfusion manually to request deactivation — Help &amp; Support may explain this, but no self-service flow is built.</w:t>
      </w:r>
    </w:p>
    <w:p>
      <w:pPr>
        <w:pStyle w:val="Heading2"/>
        <w:spacing w:after="150" w:before="300"/>
      </w:pPr>
      <w:r>
        <w:t xml:space="preserve">8.3 Admin Suspension (CP-25 equivalent)</w:t>
      </w:r>
    </w:p>
    <w:p>
      <w:pPr>
        <w:pStyle w:val="ListParagraph"/>
        <w:numPr>
          <w:ilvl w:val="0"/>
          <w:numId w:val="2"/>
        </w:numPr>
        <w:spacing w:after="60"/>
      </w:pPr>
      <w:r>
        <w:rPr>
          <w:b w:val="false"/>
          <w:bCs w:val="false"/>
        </w:rPr>
        <w:t xml:space="preserve">An admin may suspend/deactivate a Provider or Seeker account at the backend.</w:t>
      </w:r>
    </w:p>
    <w:p>
      <w:pPr>
        <w:pStyle w:val="ListParagraph"/>
        <w:numPr>
          <w:ilvl w:val="0"/>
          <w:numId w:val="2"/>
        </w:numPr>
        <w:spacing w:after="60"/>
      </w:pPr>
      <w:r>
        <w:rPr>
          <w:b w:val="false"/>
          <w:bCs w:val="false"/>
        </w:rPr>
        <w:t xml:space="preserve">If the backend reports a suspended state, the app must prevent unauthorized actions and display the backend-provided account state/message — the client does not invent its own suspension copy.</w:t>
      </w:r>
    </w:p>
    <w:p>
      <w:pPr>
        <w:pStyle w:val="ListParagraph"/>
        <w:numPr>
          <w:ilvl w:val="0"/>
          <w:numId w:val="2"/>
        </w:numPr>
        <w:spacing w:after="60"/>
      </w:pPr>
      <w:r>
        <w:rPr>
          <w:b w:val="false"/>
          <w:bCs w:val="false"/>
        </w:rPr>
        <w:t xml:space="preserve">Consultation reassignment for a suspended Provider is an administrative/backend process, explicitly outside this mobile app’s scope.</w:t>
      </w:r>
    </w:p>
    <w:p>
      <w:pPr>
        <w:pStyle w:val="Heading2"/>
        <w:spacing w:after="150" w:before="300"/>
      </w:pPr>
      <w:r>
        <w:t xml:space="preserve">8.4 Help &amp; Support (CP-22, CS-22)</w:t>
      </w:r>
    </w:p>
    <w:p>
      <w:pPr>
        <w:pStyle w:val="ListParagraph"/>
        <w:numPr>
          <w:ilvl w:val="0"/>
          <w:numId w:val="2"/>
        </w:numPr>
        <w:spacing w:after="60"/>
      </w:pPr>
      <w:r>
        <w:rPr>
          <w:b w:val="false"/>
          <w:bCs w:val="false"/>
        </w:rPr>
        <w:t xml:space="preserve">Contains: FAQs, Contact Support, Report a Problem, Terms &amp; Conditions, Privacy Policy, About Perfusion.</w:t>
      </w:r>
    </w:p>
    <w:p>
      <w:pPr>
        <w:pStyle w:val="ListParagraph"/>
        <w:numPr>
          <w:ilvl w:val="0"/>
          <w:numId w:val="2"/>
        </w:numPr>
        <w:spacing w:after="60"/>
      </w:pPr>
      <w:r>
        <w:rPr>
          <w:b w:val="false"/>
          <w:bCs w:val="false"/>
        </w:rPr>
        <w:t xml:space="preserve">Contact Support and Report a Problem must use the existing Perfusion support mechanism where one exists — do not build a second, independent ticketing system.</w:t>
      </w:r>
    </w:p>
    <w:p>
      <w:pPr>
        <w:pStyle w:val="Heading2"/>
        <w:spacing w:after="150" w:before="300"/>
      </w:pPr>
      <w:r>
        <w:t xml:space="preserve">8.5 Notifications Centre (CP-21, CS-20)</w:t>
      </w:r>
    </w:p>
    <w:p>
      <w:pPr>
        <w:pStyle w:val="ListParagraph"/>
        <w:numPr>
          <w:ilvl w:val="0"/>
          <w:numId w:val="2"/>
        </w:numPr>
        <w:spacing w:after="60"/>
      </w:pPr>
      <w:r>
        <w:rPr>
          <w:b w:val="false"/>
          <w:bCs w:val="false"/>
        </w:rPr>
        <w:t xml:space="preserve">Supports both push notifications and an in-app notification centre with read/unread state and an unread badge.</w:t>
      </w:r>
    </w:p>
    <w:p>
      <w:pPr>
        <w:pStyle w:val="ListParagraph"/>
        <w:numPr>
          <w:ilvl w:val="0"/>
          <w:numId w:val="2"/>
        </w:numPr>
        <w:spacing w:after="60"/>
      </w:pPr>
      <w:r>
        <w:rPr>
          <w:b w:val="false"/>
          <w:bCs w:val="false"/>
        </w:rPr>
        <w:t xml:space="preserve">Categories: new consultation request, accepted, rejected, upcoming consultation, cancelled, missed, expired, new chat message, new report, new media, follow-up access changes, payment/payout, profile verification, system announcements — PLUS, per this session’s additions: new Clinical Advisory (Section 7.5’s unread badge) and Callback Device reconfirmation due (Section 4.11).</w:t>
      </w:r>
    </w:p>
    <w:p>
      <w:pPr>
        <w:pStyle w:val="ListParagraph"/>
        <w:numPr>
          <w:ilvl w:val="0"/>
          <w:numId w:val="2"/>
        </w:numPr>
        <w:spacing w:after="60"/>
      </w:pPr>
      <w:r>
        <w:rPr>
          <w:b w:val="false"/>
          <w:bCs w:val="false"/>
        </w:rPr>
        <w:t xml:space="preserve">Opening a notification marks it read according to backend behavior, and deep-links to the relevant screen (e.g. tapping a new-consultation-request notification opens that consultation’s Case File directly).</w:t>
      </w:r>
    </w:p>
    <w:p>
      <w:r>
        <w:br w:type="page"/>
      </w:r>
    </w:p>
    <w:p>
      <w:pPr>
        <w:pStyle w:val="Heading1"/>
        <w:spacing w:after="200" w:before="400"/>
      </w:pPr>
      <w:r>
        <w:t xml:space="preserve">9. Design System Reference</w:t>
      </w:r>
    </w:p>
    <w:p>
      <w:pPr>
        <w:spacing w:after="120"/>
      </w:pPr>
      <w:r>
        <w:rPr>
          <w:b w:val="false"/>
          <w:bCs w:val="false"/>
          <w:i w:val="false"/>
          <w:iCs w:val="false"/>
        </w:rPr>
        <w:t xml:space="preserve">Every HTML reference file in Section 7 already implements this system pixel-for-pixel — this section names the rules explicitly so a coding agent translating HTML into native components preserves them rather than “helpfully” normalizing them into a generic pattern.</w:t>
      </w:r>
    </w:p>
    <w:p>
      <w:pPr>
        <w:pStyle w:val="Heading2"/>
        <w:spacing w:after="150" w:before="300"/>
      </w:pPr>
      <w:r>
        <w:t xml:space="preserve">9.1 Color palette</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600"/>
        <w:gridCol w:w="1200"/>
        <w:gridCol w:w="6550"/>
      </w:tblGrid>
      <w:tr>
        <w:trPr>
          <w:tblHeader/>
        </w:trPr>
        <w:tc>
          <w:tcPr>
            <w:tcW w:type="dxa" w:w="1600"/>
            <w:shd w:fill="2A2A2A" w:val="clear"/>
            <w:tcMar>
              <w:top w:type="dxa" w:w="100"/>
              <w:left w:type="dxa" w:w="120"/>
              <w:bottom w:type="dxa" w:w="100"/>
              <w:right w:type="dxa" w:w="120"/>
            </w:tcMar>
          </w:tcPr>
          <w:p>
            <w:r>
              <w:rPr>
                <w:b/>
                <w:bCs/>
                <w:color w:val="FFFFFF"/>
                <w:sz w:val="18"/>
                <w:szCs w:val="18"/>
              </w:rPr>
              <w:t xml:space="preserve">Token</w:t>
            </w:r>
          </w:p>
        </w:tc>
        <w:tc>
          <w:tcPr>
            <w:tcW w:type="dxa" w:w="1200"/>
            <w:shd w:fill="2A2A2A" w:val="clear"/>
            <w:tcMar>
              <w:top w:type="dxa" w:w="100"/>
              <w:left w:type="dxa" w:w="120"/>
              <w:bottom w:type="dxa" w:w="100"/>
              <w:right w:type="dxa" w:w="120"/>
            </w:tcMar>
          </w:tcPr>
          <w:p>
            <w:r>
              <w:rPr>
                <w:b/>
                <w:bCs/>
                <w:color w:val="FFFFFF"/>
                <w:sz w:val="18"/>
                <w:szCs w:val="18"/>
              </w:rPr>
              <w:t xml:space="preserve">Hex</w:t>
            </w:r>
          </w:p>
        </w:tc>
        <w:tc>
          <w:tcPr>
            <w:tcW w:type="dxa" w:w="6550"/>
            <w:shd w:fill="2A2A2A" w:val="clear"/>
            <w:tcMar>
              <w:top w:type="dxa" w:w="100"/>
              <w:left w:type="dxa" w:w="120"/>
              <w:bottom w:type="dxa" w:w="100"/>
              <w:right w:type="dxa" w:w="120"/>
            </w:tcMar>
          </w:tcPr>
          <w:p>
            <w:r>
              <w:rPr>
                <w:b/>
                <w:bCs/>
                <w:color w:val="FFFFFF"/>
                <w:sz w:val="18"/>
                <w:szCs w:val="18"/>
              </w:rPr>
              <w:t xml:space="preserve">Meaning — and where it may NOT be used</w:t>
            </w:r>
          </w:p>
        </w:tc>
      </w:tr>
      <w:tr>
        <w:tc>
          <w:tcPr>
            <w:tcW w:type="dxa" w:w="1600"/>
            <w:shd w:fill="FFFFFF" w:val="clear"/>
            <w:tcMar>
              <w:top w:type="dxa" w:w="90"/>
              <w:left w:type="dxa" w:w="120"/>
              <w:bottom w:type="dxa" w:w="90"/>
              <w:right w:type="dxa" w:w="120"/>
            </w:tcMar>
          </w:tcPr>
          <w:p>
            <w:r>
              <w:rPr>
                <w:sz w:val="18"/>
                <w:szCs w:val="18"/>
              </w:rPr>
              <w:t xml:space="preserve">Brand Red</w:t>
            </w:r>
          </w:p>
        </w:tc>
        <w:tc>
          <w:tcPr>
            <w:tcW w:type="dxa" w:w="1200"/>
            <w:shd w:fill="FFFFFF" w:val="clear"/>
            <w:tcMar>
              <w:top w:type="dxa" w:w="90"/>
              <w:left w:type="dxa" w:w="120"/>
              <w:bottom w:type="dxa" w:w="90"/>
              <w:right w:type="dxa" w:w="120"/>
            </w:tcMar>
          </w:tcPr>
          <w:p>
            <w:r>
              <w:rPr>
                <w:sz w:val="18"/>
                <w:szCs w:val="18"/>
              </w:rPr>
              <w:t xml:space="preserve">#DB2841</w:t>
            </w:r>
          </w:p>
        </w:tc>
        <w:tc>
          <w:tcPr>
            <w:tcW w:type="dxa" w:w="6550"/>
            <w:shd w:fill="FFFFFF" w:val="clear"/>
            <w:tcMar>
              <w:top w:type="dxa" w:w="90"/>
              <w:left w:type="dxa" w:w="120"/>
              <w:bottom w:type="dxa" w:w="90"/>
              <w:right w:type="dxa" w:w="120"/>
            </w:tcMar>
          </w:tcPr>
          <w:p>
            <w:r>
              <w:rPr>
                <w:sz w:val="18"/>
                <w:szCs w:val="18"/>
              </w:rPr>
              <w:t xml:space="preserve">Reserved almost exclusively for: (a) an actual live call/urgent status right now (never a merely-open window), and (b) primary action buttons (Book, Save, Confirm). Never used as a decorative accent elsewhere — diluting it dilutes the one signal it is meant to carry.</w:t>
            </w:r>
          </w:p>
        </w:tc>
      </w:tr>
      <w:tr>
        <w:tc>
          <w:tcPr>
            <w:tcW w:type="dxa" w:w="1600"/>
            <w:shd w:fill="F7F7F9" w:val="clear"/>
            <w:tcMar>
              <w:top w:type="dxa" w:w="90"/>
              <w:left w:type="dxa" w:w="120"/>
              <w:bottom w:type="dxa" w:w="90"/>
              <w:right w:type="dxa" w:w="120"/>
            </w:tcMar>
          </w:tcPr>
          <w:p>
            <w:r>
              <w:rPr>
                <w:sz w:val="18"/>
                <w:szCs w:val="18"/>
              </w:rPr>
              <w:t xml:space="preserve">Charcoal</w:t>
            </w:r>
          </w:p>
        </w:tc>
        <w:tc>
          <w:tcPr>
            <w:tcW w:type="dxa" w:w="1200"/>
            <w:shd w:fill="F7F7F9" w:val="clear"/>
            <w:tcMar>
              <w:top w:type="dxa" w:w="90"/>
              <w:left w:type="dxa" w:w="120"/>
              <w:bottom w:type="dxa" w:w="90"/>
              <w:right w:type="dxa" w:w="120"/>
            </w:tcMar>
          </w:tcPr>
          <w:p>
            <w:r>
              <w:rPr>
                <w:sz w:val="18"/>
                <w:szCs w:val="18"/>
              </w:rPr>
              <w:t xml:space="preserve">#2A2A2A</w:t>
            </w:r>
          </w:p>
        </w:tc>
        <w:tc>
          <w:tcPr>
            <w:tcW w:type="dxa" w:w="6550"/>
            <w:shd w:fill="F7F7F9" w:val="clear"/>
            <w:tcMar>
              <w:top w:type="dxa" w:w="90"/>
              <w:left w:type="dxa" w:w="120"/>
              <w:bottom w:type="dxa" w:w="90"/>
              <w:right w:type="dxa" w:w="120"/>
            </w:tcMar>
          </w:tcPr>
          <w:p>
            <w:r>
              <w:rPr>
                <w:sz w:val="18"/>
                <w:szCs w:val="18"/>
              </w:rPr>
              <w:t xml:space="preserve">Primary text color throughout; also the wordmark color.</w:t>
            </w:r>
          </w:p>
        </w:tc>
      </w:tr>
      <w:tr>
        <w:tc>
          <w:tcPr>
            <w:tcW w:type="dxa" w:w="1600"/>
            <w:shd w:fill="FFFFFF" w:val="clear"/>
            <w:tcMar>
              <w:top w:type="dxa" w:w="90"/>
              <w:left w:type="dxa" w:w="120"/>
              <w:bottom w:type="dxa" w:w="90"/>
              <w:right w:type="dxa" w:w="120"/>
            </w:tcMar>
          </w:tcPr>
          <w:p>
            <w:r>
              <w:rPr>
                <w:sz w:val="18"/>
                <w:szCs w:val="18"/>
              </w:rPr>
              <w:t xml:space="preserve">Canvas</w:t>
            </w:r>
          </w:p>
        </w:tc>
        <w:tc>
          <w:tcPr>
            <w:tcW w:type="dxa" w:w="1200"/>
            <w:shd w:fill="FFFFFF" w:val="clear"/>
            <w:tcMar>
              <w:top w:type="dxa" w:w="90"/>
              <w:left w:type="dxa" w:w="120"/>
              <w:bottom w:type="dxa" w:w="90"/>
              <w:right w:type="dxa" w:w="120"/>
            </w:tcMar>
          </w:tcPr>
          <w:p>
            <w:r>
              <w:rPr>
                <w:sz w:val="18"/>
                <w:szCs w:val="18"/>
              </w:rPr>
              <w:t xml:space="preserve">#F7F7F9</w:t>
            </w:r>
          </w:p>
        </w:tc>
        <w:tc>
          <w:tcPr>
            <w:tcW w:type="dxa" w:w="6550"/>
            <w:shd w:fill="FFFFFF" w:val="clear"/>
            <w:tcMar>
              <w:top w:type="dxa" w:w="90"/>
              <w:left w:type="dxa" w:w="120"/>
              <w:bottom w:type="dxa" w:w="90"/>
              <w:right w:type="dxa" w:w="120"/>
            </w:tcMar>
          </w:tcPr>
          <w:p>
            <w:r>
              <w:rPr>
                <w:sz w:val="18"/>
                <w:szCs w:val="18"/>
              </w:rPr>
              <w:t xml:space="preserve">App background — a cool, quiet off-white. Deliberately not a warm cream tone.</w:t>
            </w:r>
          </w:p>
        </w:tc>
      </w:tr>
      <w:tr>
        <w:tc>
          <w:tcPr>
            <w:tcW w:type="dxa" w:w="1600"/>
            <w:shd w:fill="F7F7F9" w:val="clear"/>
            <w:tcMar>
              <w:top w:type="dxa" w:w="90"/>
              <w:left w:type="dxa" w:w="120"/>
              <w:bottom w:type="dxa" w:w="90"/>
              <w:right w:type="dxa" w:w="120"/>
            </w:tcMar>
          </w:tcPr>
          <w:p>
            <w:r>
              <w:rPr>
                <w:sz w:val="18"/>
                <w:szCs w:val="18"/>
              </w:rPr>
              <w:t xml:space="preserve">Card white</w:t>
            </w:r>
          </w:p>
        </w:tc>
        <w:tc>
          <w:tcPr>
            <w:tcW w:type="dxa" w:w="1200"/>
            <w:shd w:fill="F7F7F9" w:val="clear"/>
            <w:tcMar>
              <w:top w:type="dxa" w:w="90"/>
              <w:left w:type="dxa" w:w="120"/>
              <w:bottom w:type="dxa" w:w="90"/>
              <w:right w:type="dxa" w:w="120"/>
            </w:tcMar>
          </w:tcPr>
          <w:p>
            <w:r>
              <w:rPr>
                <w:sz w:val="18"/>
                <w:szCs w:val="18"/>
              </w:rPr>
              <w:t xml:space="preserve">#FFFFFF</w:t>
            </w:r>
          </w:p>
        </w:tc>
        <w:tc>
          <w:tcPr>
            <w:tcW w:type="dxa" w:w="6550"/>
            <w:shd w:fill="F7F7F9" w:val="clear"/>
            <w:tcMar>
              <w:top w:type="dxa" w:w="90"/>
              <w:left w:type="dxa" w:w="120"/>
              <w:bottom w:type="dxa" w:w="90"/>
              <w:right w:type="dxa" w:w="120"/>
            </w:tcMar>
          </w:tcPr>
          <w:p>
            <w:r>
              <w:rPr>
                <w:sz w:val="18"/>
                <w:szCs w:val="18"/>
              </w:rPr>
              <w:t xml:space="preserve">Card/row backgrounds sitting on Canvas.</w:t>
            </w:r>
          </w:p>
        </w:tc>
      </w:tr>
      <w:tr>
        <w:tc>
          <w:tcPr>
            <w:tcW w:type="dxa" w:w="1600"/>
            <w:shd w:fill="FFFFFF" w:val="clear"/>
            <w:tcMar>
              <w:top w:type="dxa" w:w="90"/>
              <w:left w:type="dxa" w:w="120"/>
              <w:bottom w:type="dxa" w:w="90"/>
              <w:right w:type="dxa" w:w="120"/>
            </w:tcMar>
          </w:tcPr>
          <w:p>
            <w:r>
              <w:rPr>
                <w:sz w:val="18"/>
                <w:szCs w:val="18"/>
              </w:rPr>
              <w:t xml:space="preserve">Hairline</w:t>
            </w:r>
          </w:p>
        </w:tc>
        <w:tc>
          <w:tcPr>
            <w:tcW w:type="dxa" w:w="1200"/>
            <w:shd w:fill="FFFFFF" w:val="clear"/>
            <w:tcMar>
              <w:top w:type="dxa" w:w="90"/>
              <w:left w:type="dxa" w:w="120"/>
              <w:bottom w:type="dxa" w:w="90"/>
              <w:right w:type="dxa" w:w="120"/>
            </w:tcMar>
          </w:tcPr>
          <w:p>
            <w:r>
              <w:rPr>
                <w:sz w:val="18"/>
                <w:szCs w:val="18"/>
              </w:rPr>
              <w:t xml:space="preserve">#ECEDF0</w:t>
            </w:r>
          </w:p>
        </w:tc>
        <w:tc>
          <w:tcPr>
            <w:tcW w:type="dxa" w:w="6550"/>
            <w:shd w:fill="FFFFFF" w:val="clear"/>
            <w:tcMar>
              <w:top w:type="dxa" w:w="90"/>
              <w:left w:type="dxa" w:w="120"/>
              <w:bottom w:type="dxa" w:w="90"/>
              <w:right w:type="dxa" w:w="120"/>
            </w:tcMar>
          </w:tcPr>
          <w:p>
            <w:r>
              <w:rPr>
                <w:sz w:val="18"/>
                <w:szCs w:val="18"/>
              </w:rPr>
              <w:t xml:space="preserve">All dividers and card borders.</w:t>
            </w:r>
          </w:p>
        </w:tc>
      </w:tr>
      <w:tr>
        <w:tc>
          <w:tcPr>
            <w:tcW w:type="dxa" w:w="1600"/>
            <w:shd w:fill="F7F7F9" w:val="clear"/>
            <w:tcMar>
              <w:top w:type="dxa" w:w="90"/>
              <w:left w:type="dxa" w:w="120"/>
              <w:bottom w:type="dxa" w:w="90"/>
              <w:right w:type="dxa" w:w="120"/>
            </w:tcMar>
          </w:tcPr>
          <w:p>
            <w:r>
              <w:rPr>
                <w:sz w:val="18"/>
                <w:szCs w:val="18"/>
              </w:rPr>
              <w:t xml:space="preserve">Muted / Muted-2</w:t>
            </w:r>
          </w:p>
        </w:tc>
        <w:tc>
          <w:tcPr>
            <w:tcW w:type="dxa" w:w="1200"/>
            <w:shd w:fill="F7F7F9" w:val="clear"/>
            <w:tcMar>
              <w:top w:type="dxa" w:w="90"/>
              <w:left w:type="dxa" w:w="120"/>
              <w:bottom w:type="dxa" w:w="90"/>
              <w:right w:type="dxa" w:w="120"/>
            </w:tcMar>
          </w:tcPr>
          <w:p>
            <w:r>
              <w:rPr>
                <w:sz w:val="18"/>
                <w:szCs w:val="18"/>
              </w:rPr>
              <w:t xml:space="preserve">#7A7F8A / #A6ABB4</w:t>
            </w:r>
          </w:p>
        </w:tc>
        <w:tc>
          <w:tcPr>
            <w:tcW w:type="dxa" w:w="6550"/>
            <w:shd w:fill="F7F7F9" w:val="clear"/>
            <w:tcMar>
              <w:top w:type="dxa" w:w="90"/>
              <w:left w:type="dxa" w:w="120"/>
              <w:bottom w:type="dxa" w:w="90"/>
              <w:right w:type="dxa" w:w="120"/>
            </w:tcMar>
          </w:tcPr>
          <w:p>
            <w:r>
              <w:rPr>
                <w:sz w:val="18"/>
                <w:szCs w:val="18"/>
              </w:rPr>
              <w:t xml:space="preserve">Secondary text (two weights of muted for hierarchy within secondary content).</w:t>
            </w:r>
          </w:p>
        </w:tc>
      </w:tr>
      <w:tr>
        <w:tc>
          <w:tcPr>
            <w:tcW w:type="dxa" w:w="1600"/>
            <w:shd w:fill="FFFFFF" w:val="clear"/>
            <w:tcMar>
              <w:top w:type="dxa" w:w="90"/>
              <w:left w:type="dxa" w:w="120"/>
              <w:bottom w:type="dxa" w:w="90"/>
              <w:right w:type="dxa" w:w="120"/>
            </w:tcMar>
          </w:tcPr>
          <w:p>
            <w:r>
              <w:rPr>
                <w:sz w:val="18"/>
                <w:szCs w:val="18"/>
              </w:rPr>
              <w:t xml:space="preserve">Blue</w:t>
            </w:r>
          </w:p>
        </w:tc>
        <w:tc>
          <w:tcPr>
            <w:tcW w:type="dxa" w:w="1200"/>
            <w:shd w:fill="FFFFFF" w:val="clear"/>
            <w:tcMar>
              <w:top w:type="dxa" w:w="90"/>
              <w:left w:type="dxa" w:w="120"/>
              <w:bottom w:type="dxa" w:w="90"/>
              <w:right w:type="dxa" w:w="120"/>
            </w:tcMar>
          </w:tcPr>
          <w:p>
            <w:r>
              <w:rPr>
                <w:sz w:val="18"/>
                <w:szCs w:val="18"/>
              </w:rPr>
              <w:t xml:space="preserve">#2F6FED</w:t>
            </w:r>
          </w:p>
        </w:tc>
        <w:tc>
          <w:tcPr>
            <w:tcW w:type="dxa" w:w="6550"/>
            <w:shd w:fill="FFFFFF" w:val="clear"/>
            <w:tcMar>
              <w:top w:type="dxa" w:w="90"/>
              <w:left w:type="dxa" w:w="120"/>
              <w:bottom w:type="dxa" w:w="90"/>
              <w:right w:type="dxa" w:w="120"/>
            </w:tcMar>
          </w:tcPr>
          <w:p>
            <w:r>
              <w:rPr>
                <w:sz w:val="18"/>
                <w:szCs w:val="18"/>
              </w:rPr>
              <w:t xml:space="preserve">Status: Scheduled. Also used for informational/profile-adjacent accents (e.g. patient-icon in row meta lines).</w:t>
            </w:r>
          </w:p>
        </w:tc>
      </w:tr>
      <w:tr>
        <w:tc>
          <w:tcPr>
            <w:tcW w:type="dxa" w:w="1600"/>
            <w:shd w:fill="F7F7F9" w:val="clear"/>
            <w:tcMar>
              <w:top w:type="dxa" w:w="90"/>
              <w:left w:type="dxa" w:w="120"/>
              <w:bottom w:type="dxa" w:w="90"/>
              <w:right w:type="dxa" w:w="120"/>
            </w:tcMar>
          </w:tcPr>
          <w:p>
            <w:r>
              <w:rPr>
                <w:sz w:val="18"/>
                <w:szCs w:val="18"/>
              </w:rPr>
              <w:t xml:space="preserve">Green</w:t>
            </w:r>
          </w:p>
        </w:tc>
        <w:tc>
          <w:tcPr>
            <w:tcW w:type="dxa" w:w="1200"/>
            <w:shd w:fill="F7F7F9" w:val="clear"/>
            <w:tcMar>
              <w:top w:type="dxa" w:w="90"/>
              <w:left w:type="dxa" w:w="120"/>
              <w:bottom w:type="dxa" w:w="90"/>
              <w:right w:type="dxa" w:w="120"/>
            </w:tcMar>
          </w:tcPr>
          <w:p>
            <w:r>
              <w:rPr>
                <w:sz w:val="18"/>
                <w:szCs w:val="18"/>
              </w:rPr>
              <w:t xml:space="preserve">#17A672</w:t>
            </w:r>
          </w:p>
        </w:tc>
        <w:tc>
          <w:tcPr>
            <w:tcW w:type="dxa" w:w="6550"/>
            <w:shd w:fill="F7F7F9" w:val="clear"/>
            <w:tcMar>
              <w:top w:type="dxa" w:w="90"/>
              <w:left w:type="dxa" w:w="120"/>
              <w:bottom w:type="dxa" w:w="90"/>
              <w:right w:type="dxa" w:w="120"/>
            </w:tcMar>
          </w:tcPr>
          <w:p>
            <w:r>
              <w:rPr>
                <w:sz w:val="18"/>
                <w:szCs w:val="18"/>
              </w:rPr>
              <w:t xml:space="preserve">Status: Completed. Also ‘fresh’ in the Vitals staleness dots, PAID in Billing, and “bookable now” — the Next-available chip on consultant cards (Section 7.7), which pairs the green tint #E7F7F1 with deeper green text #0E7C57 so it stays legible at small size.</w:t>
            </w:r>
          </w:p>
        </w:tc>
      </w:tr>
      <w:tr>
        <w:tc>
          <w:tcPr>
            <w:tcW w:type="dxa" w:w="1600"/>
            <w:shd w:fill="FFFFFF" w:val="clear"/>
            <w:tcMar>
              <w:top w:type="dxa" w:w="90"/>
              <w:left w:type="dxa" w:w="120"/>
              <w:bottom w:type="dxa" w:w="90"/>
              <w:right w:type="dxa" w:w="120"/>
            </w:tcMar>
          </w:tcPr>
          <w:p>
            <w:r>
              <w:rPr>
                <w:sz w:val="18"/>
                <w:szCs w:val="18"/>
              </w:rPr>
              <w:t xml:space="preserve">Amber</w:t>
            </w:r>
          </w:p>
        </w:tc>
        <w:tc>
          <w:tcPr>
            <w:tcW w:type="dxa" w:w="1200"/>
            <w:shd w:fill="FFFFFF" w:val="clear"/>
            <w:tcMar>
              <w:top w:type="dxa" w:w="90"/>
              <w:left w:type="dxa" w:w="120"/>
              <w:bottom w:type="dxa" w:w="90"/>
              <w:right w:type="dxa" w:w="120"/>
            </w:tcMar>
          </w:tcPr>
          <w:p>
            <w:r>
              <w:rPr>
                <w:sz w:val="18"/>
                <w:szCs w:val="18"/>
              </w:rPr>
              <w:t xml:space="preserve">#E08A2E</w:t>
            </w:r>
          </w:p>
        </w:tc>
        <w:tc>
          <w:tcPr>
            <w:tcW w:type="dxa" w:w="6550"/>
            <w:shd w:fill="FFFFFF" w:val="clear"/>
            <w:tcMar>
              <w:top w:type="dxa" w:w="90"/>
              <w:left w:type="dxa" w:w="120"/>
              <w:bottom w:type="dxa" w:w="90"/>
              <w:right w:type="dxa" w:w="120"/>
            </w:tcMar>
          </w:tcPr>
          <w:p>
            <w:r>
              <w:rPr>
                <w:sz w:val="18"/>
                <w:szCs w:val="18"/>
              </w:rPr>
              <w:t xml:space="preserve">Status: Missed (paired with red text, see below), ‘aging’ staleness, PENDING in Billing, and the Callback Device ‘due for reconfirmation’ blink.</w:t>
            </w:r>
          </w:p>
        </w:tc>
      </w:tr>
      <w:tr>
        <w:tc>
          <w:tcPr>
            <w:tcW w:type="dxa" w:w="1600"/>
            <w:shd w:fill="F7F7F9" w:val="clear"/>
            <w:tcMar>
              <w:top w:type="dxa" w:w="90"/>
              <w:left w:type="dxa" w:w="120"/>
              <w:bottom w:type="dxa" w:w="90"/>
              <w:right w:type="dxa" w:w="120"/>
            </w:tcMar>
          </w:tcPr>
          <w:p>
            <w:r>
              <w:rPr>
                <w:sz w:val="18"/>
                <w:szCs w:val="18"/>
              </w:rPr>
              <w:t xml:space="preserve">Grey</w:t>
            </w:r>
          </w:p>
        </w:tc>
        <w:tc>
          <w:tcPr>
            <w:tcW w:type="dxa" w:w="1200"/>
            <w:shd w:fill="F7F7F9" w:val="clear"/>
            <w:tcMar>
              <w:top w:type="dxa" w:w="90"/>
              <w:left w:type="dxa" w:w="120"/>
              <w:bottom w:type="dxa" w:w="90"/>
              <w:right w:type="dxa" w:w="120"/>
            </w:tcMar>
          </w:tcPr>
          <w:p>
            <w:r>
              <w:rPr>
                <w:sz w:val="18"/>
                <w:szCs w:val="18"/>
              </w:rPr>
              <w:t xml:space="preserve">#9AA0AC</w:t>
            </w:r>
          </w:p>
        </w:tc>
        <w:tc>
          <w:tcPr>
            <w:tcW w:type="dxa" w:w="6550"/>
            <w:shd w:fill="F7F7F9" w:val="clear"/>
            <w:tcMar>
              <w:top w:type="dxa" w:w="90"/>
              <w:left w:type="dxa" w:w="120"/>
              <w:bottom w:type="dxa" w:w="90"/>
              <w:right w:type="dxa" w:w="120"/>
            </w:tcMar>
          </w:tcPr>
          <w:p>
            <w:r>
              <w:rPr>
                <w:sz w:val="18"/>
                <w:szCs w:val="18"/>
              </w:rPr>
              <w:t xml:space="preserve">Terminal/closed states: Cancelled, Rejected, Expired.</w:t>
            </w:r>
          </w:p>
        </w:tc>
      </w:tr>
      <w:tr>
        <w:tc>
          <w:tcPr>
            <w:tcW w:type="dxa" w:w="1600"/>
            <w:shd w:fill="FFFFFF" w:val="clear"/>
            <w:tcMar>
              <w:top w:type="dxa" w:w="90"/>
              <w:left w:type="dxa" w:w="120"/>
              <w:bottom w:type="dxa" w:w="90"/>
              <w:right w:type="dxa" w:w="120"/>
            </w:tcMar>
          </w:tcPr>
          <w:p>
            <w:r>
              <w:rPr>
                <w:sz w:val="18"/>
                <w:szCs w:val="18"/>
              </w:rPr>
              <w:t xml:space="preserve">Muted rose</w:t>
            </w:r>
          </w:p>
        </w:tc>
        <w:tc>
          <w:tcPr>
            <w:tcW w:type="dxa" w:w="1200"/>
            <w:shd w:fill="FFFFFF" w:val="clear"/>
            <w:tcMar>
              <w:top w:type="dxa" w:w="90"/>
              <w:left w:type="dxa" w:w="120"/>
              <w:bottom w:type="dxa" w:w="90"/>
              <w:right w:type="dxa" w:w="120"/>
            </w:tcMar>
          </w:tcPr>
          <w:p>
            <w:r>
              <w:rPr>
                <w:sz w:val="18"/>
                <w:szCs w:val="18"/>
              </w:rPr>
              <w:t xml:space="preserve">#8C5B6E</w:t>
            </w:r>
          </w:p>
        </w:tc>
        <w:tc>
          <w:tcPr>
            <w:tcW w:type="dxa" w:w="6550"/>
            <w:shd w:fill="FFFFFF" w:val="clear"/>
            <w:tcMar>
              <w:top w:type="dxa" w:w="90"/>
              <w:left w:type="dxa" w:w="120"/>
              <w:bottom w:type="dxa" w:w="90"/>
              <w:right w:type="dxa" w:w="120"/>
            </w:tcMar>
          </w:tcPr>
          <w:p>
            <w:r>
              <w:rPr>
                <w:sz w:val="18"/>
                <w:szCs w:val="18"/>
              </w:rPr>
              <w:t xml:space="preserve">One specific, narrow meaning: an Ongoing engagement window that is open but has no live activity right now (‘quiet’ sub-state). Chosen deliberately over reusing Blue or Green so it cannot be confused with Scheduled or Completed.</w:t>
            </w:r>
          </w:p>
        </w:tc>
      </w:tr>
    </w:tbl>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2A2A2A"/>
              </w:rPr>
              <w:t xml:space="preserve">The single most important color rule in this whole system: within the Ongoing state, a pulsing dot means a live call is happening right now. A non-pulsing dot in the muted-rose tone means the window is merely open. Rendering these identically causes alarm fatigue — a dashboard where every open patient looks like an emergency.</w:t>
            </w:r>
          </w:p>
        </w:tc>
      </w:tr>
    </w:tbl>
    <w:p>
      <w:pPr>
        <w:pStyle w:val="Heading2"/>
        <w:spacing w:after="150" w:before="300"/>
      </w:pPr>
      <w:r>
        <w:t xml:space="preserve">9.2 Typography</w:t>
      </w:r>
    </w:p>
    <w:p>
      <w:pPr>
        <w:pStyle w:val="ListParagraph"/>
        <w:numPr>
          <w:ilvl w:val="0"/>
          <w:numId w:val="2"/>
        </w:numPr>
        <w:spacing w:after="60"/>
      </w:pPr>
      <w:r>
        <w:rPr>
          <w:b w:val="false"/>
          <w:bCs w:val="false"/>
        </w:rPr>
        <w:t xml:space="preserve">Two families only: Sora (medium/semibold/bold) and Inter (regular through bold).</w:t>
      </w:r>
    </w:p>
    <w:p>
      <w:pPr>
        <w:pStyle w:val="ListParagraph"/>
        <w:numPr>
          <w:ilvl w:val="0"/>
          <w:numId w:val="2"/>
        </w:numPr>
        <w:spacing w:after="60"/>
      </w:pPr>
      <w:r>
        <w:rPr>
          <w:b w:val="false"/>
          <w:bCs w:val="false"/>
        </w:rPr>
        <w:t xml:space="preserve">Sora is reserved for exactly one role: page titles and personal greetings (“Good morning, Dr. Sharma”). It never appears in data-dense content — names, statuses, numbers, body text all use Inter.</w:t>
      </w:r>
    </w:p>
    <w:p>
      <w:pPr>
        <w:pStyle w:val="ListParagraph"/>
        <w:numPr>
          <w:ilvl w:val="0"/>
          <w:numId w:val="2"/>
        </w:numPr>
        <w:spacing w:after="60"/>
      </w:pPr>
      <w:r>
        <w:rPr>
          <w:b w:val="false"/>
          <w:bCs w:val="false"/>
        </w:rPr>
        <w:t xml:space="preserve">This restraint is deliberate: one moment of typographic character, everywhere else optimized purely for legibility of clinical data.</w:t>
      </w:r>
    </w:p>
    <w:p>
      <w:pPr>
        <w:pStyle w:val="ListParagraph"/>
        <w:numPr>
          <w:ilvl w:val="0"/>
          <w:numId w:val="2"/>
        </w:numPr>
        <w:spacing w:after="60"/>
      </w:pPr>
      <w:r>
        <w:rPr>
          <w:b w:val="false"/>
          <w:bCs w:val="false"/>
        </w:rPr>
        <w:t xml:space="preserve">Never truncate a name, specialty, or hospital field with an ellipsis when it can instead wrap to a second line. Ellipsis-truncation was tried and explicitly rejected during design — see Section 7.3’s Locked Decisions — because it silently hides information a clinician needs (a doctor’s full name, in particular, must never be cut off).</w:t>
      </w:r>
    </w:p>
    <w:p>
      <w:pPr>
        <w:pStyle w:val="Heading2"/>
        <w:spacing w:after="150" w:before="300"/>
      </w:pPr>
      <w:r>
        <w:t xml:space="preserve">9.3 Core components</w:t>
      </w:r>
    </w:p>
    <w:p>
      <w:pPr>
        <w:pStyle w:val="ListParagraph"/>
        <w:numPr>
          <w:ilvl w:val="0"/>
          <w:numId w:val="2"/>
        </w:numPr>
        <w:spacing w:after="60"/>
      </w:pPr>
      <w:r>
        <w:rPr>
          <w:b w:val="false"/>
          <w:bCs w:val="false"/>
        </w:rPr>
        <w:t xml:space="preserve">List rows are call-log style, not generic cards: a circular badge, hairline dividers inset to start after the badge (not full-bleed), and one primary always-visible action — modeled deliberately on a native phone dialer’s recent-calls screen so the interaction pattern is already familiar.</w:t>
      </w:r>
    </w:p>
    <w:p>
      <w:pPr>
        <w:pStyle w:val="ListParagraph"/>
        <w:numPr>
          <w:ilvl w:val="0"/>
          <w:numId w:val="2"/>
        </w:numPr>
        <w:spacing w:after="60"/>
      </w:pPr>
      <w:r>
        <w:rPr>
          <w:b w:val="false"/>
          <w:bCs w:val="false"/>
        </w:rPr>
        <w:t xml:space="preserve">Badge content is role- and context-specific, never decorative: patient age/sex on Provider’s Dashboard; the consultant’s city (first 3 letters, e.g. ‘HYD’) on Seeker’s Dashboard; a photo placeholder when browsing/choosing a specific consultant (Section 7.7). Each badge choice was made for a specific psychological/functional reason — do not standardize them into one generic avatar style.</w:t>
      </w:r>
    </w:p>
    <w:p>
      <w:pPr>
        <w:pStyle w:val="ListParagraph"/>
        <w:numPr>
          <w:ilvl w:val="0"/>
          <w:numId w:val="2"/>
        </w:numPr>
        <w:spacing w:after="60"/>
      </w:pPr>
      <w:r>
        <w:rPr>
          <w:b w:val="false"/>
          <w:bCs w:val="false"/>
        </w:rPr>
        <w:t xml:space="preserve">Status is always a small dot + word, never a heavier pill/badge shape, except where explicitly noted (e.g. Billing’s PAID/PENDING pills, which are a deliberately different, transactional context).</w:t>
      </w:r>
    </w:p>
    <w:p>
      <w:pPr>
        <w:pStyle w:val="ListParagraph"/>
        <w:numPr>
          <w:ilvl w:val="0"/>
          <w:numId w:val="2"/>
        </w:numPr>
        <w:spacing w:after="60"/>
      </w:pPr>
      <w:r>
        <w:rPr>
          <w:b w:val="false"/>
          <w:bCs w:val="false"/>
        </w:rPr>
        <w:t xml:space="preserve">Bottom sheets (not modals or new full-screen pages) are used for: quick composers (Add Clinical Advisory, Add Vitals), confirmations (booking, device selection), and pickers (attachment source). A sheet’s job is to interrupt as little as possible — the screen underneath is still visibly present.</w:t>
      </w:r>
    </w:p>
    <w:p>
      <w:pPr>
        <w:pStyle w:val="ListParagraph"/>
        <w:numPr>
          <w:ilvl w:val="0"/>
          <w:numId w:val="2"/>
        </w:numPr>
        <w:spacing w:after="60"/>
      </w:pPr>
      <w:r>
        <w:rPr>
          <w:b w:val="false"/>
          <w:bCs w:val="false"/>
        </w:rPr>
        <w:t xml:space="preserve">Toasts (small, auto-dismissing, bottom-of-screen) are used for lightweight state confirmations that don’t warrant a sheet — e.g. toggling the follow-up pause word. A toast, not a modal, is the correct weight for a reversible one-tap action.</w:t>
      </w:r>
    </w:p>
    <w:p>
      <w:pPr>
        <w:pStyle w:val="ListParagraph"/>
        <w:numPr>
          <w:ilvl w:val="0"/>
          <w:numId w:val="2"/>
        </w:numPr>
        <w:spacing w:after="60"/>
      </w:pPr>
      <w:r>
        <w:rPr>
          <w:b w:val="false"/>
          <w:bCs w:val="false"/>
        </w:rPr>
        <w:t xml:space="preserve">Chips are used for: filter selection (combinable, active state = filled charcoal or brand red depending on context), category tagging (chat attachment flags), and specialty/day selection. Chips are never used for a single non-reversible action — those are buttons.</w:t>
      </w:r>
    </w:p>
    <w:p>
      <w:pPr>
        <w:pStyle w:val="Heading2"/>
        <w:spacing w:after="150" w:before="300"/>
      </w:pPr>
      <w:r>
        <w:t xml:space="preserve">9.4 Iconography &amp; motion</w:t>
      </w:r>
    </w:p>
    <w:p>
      <w:pPr>
        <w:pStyle w:val="ListParagraph"/>
        <w:numPr>
          <w:ilvl w:val="0"/>
          <w:numId w:val="2"/>
        </w:numPr>
        <w:spacing w:after="60"/>
      </w:pPr>
      <w:r>
        <w:rPr>
          <w:b w:val="false"/>
          <w:bCs w:val="false"/>
        </w:rPr>
        <w:t xml:space="preserve">All icons are line-style SVG, consistent stroke width (≈1.6–1.8), rounded joins — no filled/solid icon style anywhere, and no mixing in a third-party icon set's visual weight.</w:t>
      </w:r>
    </w:p>
    <w:p>
      <w:pPr>
        <w:pStyle w:val="ListParagraph"/>
        <w:numPr>
          <w:ilvl w:val="0"/>
          <w:numId w:val="2"/>
        </w:numPr>
        <w:spacing w:after="60"/>
      </w:pPr>
      <w:r>
        <w:rPr>
          <w:b w:val="false"/>
          <w:bCs w:val="false"/>
        </w:rPr>
        <w:t xml:space="preserve">Custom icons were deliberately designed rather than borrowed for two specific cases: the Case File icon (a simple patient bust, chosen after rejecting a literal bandage illustration and an ID-card metaphor — see the design history in this project) and the Clinical Advisory icon (a pencil, deliberately not a prescription-pad icon, to avoid visually implying prescribing authority per Section 4.4).</w:t>
      </w:r>
    </w:p>
    <w:p>
      <w:pPr>
        <w:pStyle w:val="ListParagraph"/>
        <w:numPr>
          <w:ilvl w:val="0"/>
          <w:numId w:val="2"/>
        </w:numPr>
        <w:spacing w:after="60"/>
      </w:pPr>
      <w:r>
        <w:rPr>
          <w:b w:val="false"/>
          <w:bCs w:val="false"/>
        </w:rPr>
        <w:t xml:space="preserve">Motion is used sparingly and only to carry meaning: the pulsing dot for a live call, the blinking Callback Device row when reconfirmation is due, and simple slide transitions for sheets. Nothing animates purely for decoration.</w:t>
      </w:r>
    </w:p>
    <w:p>
      <w:r>
        <w:br w:type="page"/>
      </w:r>
    </w:p>
    <w:p>
      <w:pPr>
        <w:pStyle w:val="Heading1"/>
        <w:spacing w:after="200" w:before="400"/>
      </w:pPr>
      <w:r>
        <w:t xml:space="preserve">10. Navigation Map</w:t>
      </w:r>
    </w:p>
    <w:p>
      <w:pPr>
        <w:spacing w:after="120"/>
      </w:pPr>
      <w:r>
        <w:rPr>
          <w:b w:val="false"/>
          <w:bCs w:val="false"/>
          <w:i w:val="false"/>
          <w:iCs w:val="false"/>
        </w:rPr>
        <w:t xml:space="preserve">Updated from the original document to reflect the Case File merge (Section 3) and the shortened booking flow (Section 7.7). Both roles share the same shell: header (Notifications + Help) and a 4-item bottom navigation (Dashboard / Consultations / Billing / My Profile), persistent on primary screens and hidden on deep detail/communication screens in favor of a back control.</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Dashboard → tap a consultation row → expand reveals Call / Video / Case File / Advise → Case File opens the merged screen (Chat + Vitals dock + Clinical Summary + Patient Profile + Clinical Advisory, all one screen with internal navigation, not separate app-level screens).</w:t>
      </w:r>
    </w:p>
    <w:p>
      <w:pPr>
        <w:pStyle w:val="ListParagraph"/>
        <w:numPr>
          <w:ilvl w:val="0"/>
          <w:numId w:val="2"/>
        </w:numPr>
        <w:spacing w:after="60"/>
      </w:pPr>
      <w:r>
        <w:rPr>
          <w:b w:val="false"/>
          <w:bCs w:val="false"/>
        </w:rPr>
        <w:t xml:space="preserve">Dashboard → View All Consultations → Consultations (Search + Filters) → tap a row → Consultation Detail (Section 7.8) → Open Chat returns to that consultation’s Case File.</w:t>
      </w:r>
    </w:p>
    <w:p>
      <w:pPr>
        <w:pStyle w:val="ListParagraph"/>
        <w:numPr>
          <w:ilvl w:val="0"/>
          <w:numId w:val="2"/>
        </w:numPr>
        <w:spacing w:after="60"/>
      </w:pPr>
      <w:r>
        <w:rPr>
          <w:b w:val="false"/>
          <w:bCs w:val="false"/>
        </w:rPr>
        <w:t xml:space="preserve">Case File → Live Call (Section 7.6) → Minimize → back to that same Case File with an OS-level PiP bubble overlaid (Section 4.8) — this is not a separate navigation destination, it is the Case File screen with a system-level overlay.</w:t>
      </w:r>
    </w:p>
    <w:p>
      <w:pPr>
        <w:pStyle w:val="ListParagraph"/>
        <w:numPr>
          <w:ilvl w:val="0"/>
          <w:numId w:val="2"/>
        </w:numPr>
        <w:spacing w:after="60"/>
      </w:pPr>
      <w:r>
        <w:rPr>
          <w:b w:val="false"/>
          <w:bCs w:val="false"/>
        </w:rPr>
        <w:t xml:space="preserve">My Profile → Availability (own destination, Section 7.9) / Change Password / Help / Logout (buried, Section 4.12).</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Dashboard → New Consultation → Explore Consultants → tap a slot chip → Patient &amp; Clinical Details → Book → confirmation sheet → Consultation Scheduled → Open Chat → that consultation’s Case File. This is two screens plus a sheet, not the original document’s longer multi-step wizard — see Section 7.7.</w:t>
      </w:r>
    </w:p>
    <w:p>
      <w:pPr>
        <w:pStyle w:val="ListParagraph"/>
        <w:numPr>
          <w:ilvl w:val="0"/>
          <w:numId w:val="2"/>
        </w:numPr>
        <w:spacing w:after="60"/>
      </w:pPr>
      <w:r>
        <w:rPr>
          <w:b w:val="false"/>
          <w:bCs w:val="false"/>
        </w:rPr>
        <w:t xml:space="preserve">Dashboard → tap a consultation row → expand reveals Call / Video / Case File / Advisory (view+download only) → Case File opens the Seeker variant (adds Add Vitals and the attach/flag flow, Section 3).</w:t>
      </w:r>
    </w:p>
    <w:p>
      <w:pPr>
        <w:pStyle w:val="ListParagraph"/>
        <w:numPr>
          <w:ilvl w:val="0"/>
          <w:numId w:val="2"/>
        </w:numPr>
        <w:spacing w:after="60"/>
      </w:pPr>
      <w:r>
        <w:rPr>
          <w:b w:val="false"/>
          <w:bCs w:val="false"/>
        </w:rPr>
        <w:t xml:space="preserve">Dashboard → View All Consultations → Consultations (Search + Filters, same component as Provider) → Consultation Detail.</w:t>
      </w:r>
    </w:p>
    <w:p>
      <w:pPr>
        <w:pStyle w:val="ListParagraph"/>
        <w:numPr>
          <w:ilvl w:val="0"/>
          <w:numId w:val="2"/>
        </w:numPr>
        <w:spacing w:after="60"/>
      </w:pPr>
      <w:r>
        <w:rPr>
          <w:b w:val="false"/>
          <w:bCs w:val="false"/>
        </w:rPr>
        <w:t xml:space="preserve">My Profile (hospital identity, Section 7.11) → Registration Documents / Owner Details / Callback Devices (Section 4.11) / Change Password / Help / Logout (buried).</w:t>
      </w:r>
    </w:p>
    <w:p>
      <w:r>
        <w:br w:type="page"/>
      </w:r>
    </w:p>
    <w:p>
      <w:pPr>
        <w:pStyle w:val="Heading1"/>
        <w:spacing w:after="200" w:before="400"/>
      </w:pPr>
      <w:r>
        <w:t xml:space="preserve">11. Core Data Relationships</w:t>
      </w:r>
    </w:p>
    <w:p>
      <w:pPr>
        <w:spacing w:after="120"/>
      </w:pPr>
      <w:r>
        <w:rPr>
          <w:b w:val="false"/>
          <w:bCs w:val="false"/>
          <w:i w:val="false"/>
          <w:iCs w:val="false"/>
        </w:rPr>
        <w:t xml:space="preserve">Updated from the original document’s conceptual model to reflect that a Consultation is a continuous 24-hour engagement window (Section 4.1), not a single call, and that Patient Detail + Chat + Follow-up Permission are one merged Case File, not three separate entities.</w:t>
      </w:r>
    </w:p>
    <w:p>
      <w:pPr>
        <w:pStyle w:val="ListParagraph"/>
        <w:numPr>
          <w:ilvl w:val="0"/>
          <w:numId w:val="2"/>
        </w:numPr>
        <w:spacing w:after="60"/>
      </w:pPr>
      <w:r>
        <w:rPr>
          <w:b w:val="false"/>
          <w:bCs w:val="false"/>
        </w:rPr>
        <w:t xml:space="preserve">User → Role (Care Provider OR Care Seeker, fixed at signup, backend-authoritative, never client-determined).</w:t>
      </w:r>
    </w:p>
    <w:p>
      <w:pPr>
        <w:pStyle w:val="ListParagraph"/>
        <w:numPr>
          <w:ilvl w:val="0"/>
          <w:numId w:val="2"/>
        </w:numPr>
        <w:spacing w:after="60"/>
      </w:pPr>
      <w:r>
        <w:rPr>
          <w:b w:val="false"/>
          <w:bCs w:val="false"/>
        </w:rPr>
        <w:t xml:space="preserve">Care Provider → Profile, Professional Credentials + Registration Documents + Portfolio (Section 7.11), Availability (Section 7.9) → Consultations.</w:t>
      </w:r>
    </w:p>
    <w:p>
      <w:pPr>
        <w:pStyle w:val="ListParagraph"/>
        <w:numPr>
          <w:ilvl w:val="0"/>
          <w:numId w:val="2"/>
        </w:numPr>
        <w:spacing w:after="60"/>
      </w:pPr>
      <w:r>
        <w:rPr>
          <w:b w:val="false"/>
          <w:bCs w:val="false"/>
        </w:rPr>
        <w:t xml:space="preserve">Care Seeker (a hospital account, Section 7.11) → Hospital Profile + Owner Details + Registration Documents, Callback Device directory (Section 4.11) → Consultations.</w:t>
      </w:r>
    </w:p>
    <w:p>
      <w:pPr>
        <w:pStyle w:val="ListParagraph"/>
        <w:numPr>
          <w:ilvl w:val="0"/>
          <w:numId w:val="2"/>
        </w:numPr>
        <w:spacing w:after="60"/>
      </w:pPr>
      <w:r>
        <w:rPr>
          <w:b w:val="false"/>
          <w:bCs w:val="false"/>
        </w:rPr>
        <w:t xml:space="preserve">Consultation ↔ Patient ↔ Care Provider ↔ Care Seeker/Hospital, and additionally: Consultation → Presenting Complaint / Clinical Summary (locked at intake, Section 4.6), Vitals/I-O/GCS entries (Section 4.5), Clinical Advisory trail (Section 4.4, permanent even after the window closes), Reports &amp; Treatment Chart attachments (Section 4.7).</w:t>
      </w:r>
    </w:p>
    <w:p>
      <w:pPr>
        <w:pStyle w:val="ListParagraph"/>
        <w:numPr>
          <w:ilvl w:val="0"/>
          <w:numId w:val="2"/>
        </w:numPr>
        <w:spacing w:after="60"/>
      </w:pPr>
      <w:r>
        <w:rPr>
          <w:b w:val="false"/>
          <w:bCs w:val="false"/>
        </w:rPr>
        <w:t xml:space="preserve">Patient → Patient Profile (permanent, cross-consultation record: allergies, comorbidities, baseline meds, past admissions) — distinct from any single Consultation’s Clinical Summary, which is that encounter’s intake only.</w:t>
      </w:r>
    </w:p>
    <w:p>
      <w:pPr>
        <w:pStyle w:val="ListParagraph"/>
        <w:numPr>
          <w:ilvl w:val="0"/>
          <w:numId w:val="2"/>
        </w:numPr>
        <w:spacing w:after="60"/>
      </w:pPr>
      <w:r>
        <w:rPr>
          <w:b w:val="false"/>
          <w:bCs w:val="false"/>
        </w:rPr>
        <w:t xml:space="preserve">The existing backend schema overrides this conceptual model wherever it already exists — this is a relationship map for a coding agent’s orientation, not a literal database schema to impose over an existing one.</w:t>
      </w:r>
    </w:p>
    <w:p>
      <w:r>
        <w:br w:type="page"/>
      </w:r>
    </w:p>
    <w:p>
      <w:pPr>
        <w:pStyle w:val="Heading1"/>
        <w:spacing w:after="200" w:before="400"/>
      </w:pPr>
      <w:r>
        <w:t xml:space="preserve">12. Open Product Decisions</w:t>
      </w:r>
    </w:p>
    <w:p>
      <w:pPr>
        <w:spacing w:after="120"/>
      </w:pPr>
      <w:r>
        <w:rPr>
          <w:b w:val="false"/>
          <w:bCs w:val="false"/>
          <w:i w:val="false"/>
          <w:iCs w:val="false"/>
        </w:rPr>
        <w:t xml:space="preserve">Do not silently resolve these during implementation. Flag and confirm.</w:t>
      </w:r>
    </w:p>
    <w:p>
      <w:pPr>
        <w:pStyle w:val="ListParagraph"/>
        <w:numPr>
          <w:ilvl w:val="0"/>
          <w:numId w:val="2"/>
        </w:numPr>
        <w:spacing w:after="60"/>
      </w:pPr>
      <w:r>
        <w:rPr>
          <w:b w:val="false"/>
          <w:bCs w:val="false"/>
        </w:rPr>
        <w:t xml:space="preserve">Does a discrete “Consultation Completion Documentation” step still exist now that engagements are continuous 24h windows, or has Clinical Advisory fully absorbed that job? Current working assumption: fully absorbed — confirm before building anything named “Completion Documentation.”</w:t>
      </w:r>
    </w:p>
    <w:p>
      <w:pPr>
        <w:pStyle w:val="ListParagraph"/>
        <w:numPr>
          <w:ilvl w:val="0"/>
          <w:numId w:val="2"/>
        </w:numPr>
        <w:spacing w:after="60"/>
      </w:pPr>
      <w:r>
        <w:rPr>
          <w:b w:val="false"/>
          <w:bCs w:val="false"/>
        </w:rPr>
        <w:t xml:space="preserve">Does Seeker need a separate “Completed Consultation” / “Provider Report” screen, or does Case File + Clinical Summary + Advisory already cover this? Current working assumption: already covered — no separate screen needed.</w:t>
      </w:r>
    </w:p>
    <w:p>
      <w:pPr>
        <w:pStyle w:val="ListParagraph"/>
        <w:numPr>
          <w:ilvl w:val="0"/>
          <w:numId w:val="2"/>
        </w:numPr>
        <w:spacing w:after="60"/>
      </w:pPr>
      <w:r>
        <w:rPr>
          <w:b w:val="false"/>
          <w:bCs w:val="false"/>
        </w:rPr>
        <w:t xml:space="preserve">Should the new-advisory unread badge (Section 7.5) also surface on the collapsed dashboard row, not just inside the expand panel?</w:t>
      </w:r>
    </w:p>
    <w:p>
      <w:pPr>
        <w:pStyle w:val="ListParagraph"/>
        <w:numPr>
          <w:ilvl w:val="0"/>
          <w:numId w:val="2"/>
        </w:numPr>
        <w:spacing w:after="60"/>
      </w:pPr>
      <w:r>
        <w:rPr>
          <w:b w:val="false"/>
          <w:bCs w:val="false"/>
        </w:rPr>
        <w:t xml:space="preserve">Should the Presenting Complaint strip carry a staleness signal if long uncontacted, or does “locked at intake” mean it never needs a freshness cue since it is historical fact, not a trend?</w:t>
      </w:r>
    </w:p>
    <w:p>
      <w:pPr>
        <w:pStyle w:val="ListParagraph"/>
        <w:numPr>
          <w:ilvl w:val="0"/>
          <w:numId w:val="2"/>
        </w:numPr>
        <w:spacing w:after="60"/>
      </w:pPr>
      <w:r>
        <w:rPr>
          <w:b w:val="false"/>
          <w:bCs w:val="false"/>
        </w:rPr>
        <w:t xml:space="preserve">Net I/O (cumulative/shift-level) and hourly urine output are currently displayed together at every recorded vitals entry — confirm with clinical workflow whether these are actually always captured at the same cadence, or whether UO/hr is sometimes logged independently and needs its own column.</w:t>
      </w:r>
    </w:p>
    <w:p>
      <w:pPr>
        <w:pStyle w:val="ListParagraph"/>
        <w:numPr>
          <w:ilvl w:val="0"/>
          <w:numId w:val="2"/>
        </w:numPr>
        <w:spacing w:after="60"/>
      </w:pPr>
      <w:r>
        <w:rPr>
          <w:b w:val="false"/>
          <w:bCs w:val="false"/>
        </w:rPr>
        <w:t xml:space="preserve">The Clinical Advisory disclaimer wording in Section 4.4 is a product-design placeholder and requires review by counsel familiar with Indian telemedicine/liability law before shipping.</w:t>
      </w:r>
    </w:p>
    <w:p>
      <w:pPr>
        <w:pStyle w:val="ListParagraph"/>
        <w:numPr>
          <w:ilvl w:val="0"/>
          <w:numId w:val="2"/>
        </w:numPr>
        <w:spacing w:after="60"/>
      </w:pPr>
      <w:r>
        <w:rPr>
          <w:b w:val="false"/>
          <w:bCs w:val="false"/>
        </w:rPr>
        <w:t xml:space="preserve">Call routing (Section 4.10/4.11): confirm whether escalation-to-Perfusion's-admin should differ if the missed call was Provider-side vs. Seeker-side in any way beyond who the target is — currently modeled as identical handling either direction.</w:t>
      </w:r>
    </w:p>
    <w:p>
      <w:pPr>
        <w:pStyle w:val="ListParagraph"/>
        <w:numPr>
          <w:ilvl w:val="0"/>
          <w:numId w:val="2"/>
        </w:numPr>
        <w:spacing w:after="60"/>
      </w:pPr>
      <w:r>
        <w:rPr>
          <w:b w:val="false"/>
          <w:bCs w:val="false"/>
        </w:rPr>
        <w:t xml:space="preserve">Dashboard greeting (both roles) is personalized to the logged-in individual (“Good morning, Dr. Mehta”) even though Seeker's My Profile now represents the hospital, not that individual. Confirm this split — personal greeting, institutional profile record — is intentional rather than an inconsistency to resolve.</w:t>
      </w:r>
    </w:p>
    <w:p>
      <w:pPr>
        <w:pStyle w:val="ListParagraph"/>
        <w:numPr>
          <w:ilvl w:val="0"/>
          <w:numId w:val="2"/>
        </w:numPr>
        <w:spacing w:after="60"/>
      </w:pPr>
      <w:r>
        <w:rPr>
          <w:b w:val="false"/>
          <w:bCs w:val="false"/>
        </w:rPr>
        <w:t xml:space="preserve">Booking horizon: how many days ahead may a seeker book? The design assumes 30 days. Confirm or replace.</w:t>
      </w:r>
    </w:p>
    <w:p>
      <w:pPr>
        <w:pStyle w:val="ListParagraph"/>
        <w:numPr>
          <w:ilvl w:val="0"/>
          <w:numId w:val="2"/>
        </w:numPr>
        <w:spacing w:after="60"/>
      </w:pPr>
      <w:r>
        <w:rPr>
          <w:b w:val="false"/>
          <w:bCs w:val="false"/>
        </w:rPr>
        <w:t xml:space="preserve">Which profile fields may a Provider edit themselves (for example Consultation Fee, Qualification, Years of Experience)? The design follows whatever the existing backend allows. Confirm that this is the intended list.</w:t>
      </w:r>
    </w:p>
    <w:p>
      <w:pPr>
        <w:pStyle w:val="ListParagraph"/>
        <w:numPr>
          <w:ilvl w:val="0"/>
          <w:numId w:val="2"/>
        </w:numPr>
        <w:spacing w:after="60"/>
      </w:pPr>
      <w:r>
        <w:rPr>
          <w:b w:val="false"/>
          <w:bCs w:val="false"/>
        </w:rPr>
        <w:t xml:space="preserve">Can one Provider account own more than one consultant profile? The API inventory shows provider-managed consultants. The spec assumes one Provider = one individual consultant. If a provider can own several, Availability needs a consultant switcher at the top.</w:t>
      </w:r>
    </w:p>
    <w:p>
      <w:r>
        <w:br w:type="page"/>
      </w:r>
    </w:p>
    <w:p>
      <w:pPr>
        <w:pStyle w:val="Heading1"/>
        <w:spacing w:after="200" w:before="400"/>
      </w:pPr>
      <w:r>
        <w:t xml:space="preserve">13. Backend Reuse &amp; Replit Codebase Separation</w:t>
      </w:r>
    </w:p>
    <w:p>
      <w:pPr>
        <w:spacing w:after="120"/>
      </w:pPr>
      <w:r>
        <w:rPr>
          <w:b w:val="false"/>
          <w:bCs w:val="false"/>
          <w:i w:val="false"/>
          <w:iCs w:val="false"/>
        </w:rPr>
        <w:t xml:space="preserve">The mobile app is a client layer over the existing Perfusion backend — it never gets its own backend logic. Three concrete rules to prevent a coding agent from touching the live web app while building mobile screens:</w:t>
      </w:r>
    </w:p>
    <w:p>
      <w:pPr>
        <w:pStyle w:val="ListParagraph"/>
        <w:numPr>
          <w:ilvl w:val="0"/>
          <w:numId w:val="2"/>
        </w:numPr>
        <w:spacing w:after="60"/>
      </w:pPr>
      <w:r>
        <w:rPr>
          <w:b w:val="false"/>
          <w:bCs w:val="false"/>
        </w:rPr>
        <w:t xml:space="preserve">One backend, no exceptions. Every rule in the original document’s Section 1 (“inspect existing Replit codebase before creating new models/APIs”) applies unchanged and takes precedence over anything in this document.</w:t>
      </w:r>
    </w:p>
    <w:p>
      <w:pPr>
        <w:pStyle w:val="ListParagraph"/>
        <w:numPr>
          <w:ilvl w:val="0"/>
          <w:numId w:val="2"/>
        </w:numPr>
        <w:spacing w:after="60"/>
      </w:pPr>
      <w:r>
        <w:rPr>
          <w:b w:val="false"/>
          <w:bCs w:val="false"/>
        </w:rPr>
        <w:t xml:space="preserve">Confirmed actual structure: mobile lives at `artifacts/perfusion-mobile`, a separate artifact/directory within the same Replit project alongside `artifacts/api-server` and `artifacts/perfusion-web` — not a fully separate Repl as an earlier draft of this section assumed. The boundary is enforced by directory scope: build and edit only within `artifacts/perfusion-mobile`; do not touch `artifacts/api-server` or `artifacts/perfusion-web` except where a specific, explicitly-approved prompt in this project's history says otherwise (e.g. the Clinical Advisory terminology change, the Twilio-calling pause).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The mobile app is being built from scratch, not iterated on. A prior Expo build already exists at artifacts/perfusion-mobile, created by mimicking the web app's structure — it is explicitly NOT the target design and should be disregarded in full. This reconciled specification and its accompanying HTML reference screens (Section 7) are the sole source of truth for the rebuild.</w:t>
            </w:r>
          </w:p>
        </w:tc>
      </w:tr>
    </w:tbl>
    <w:p>
      <w:pPr>
        <w:pStyle w:val="ListParagraph"/>
        <w:numPr>
          <w:ilvl w:val="0"/>
          <w:numId w:val="2"/>
        </w:numPr>
        <w:spacing w:after="60"/>
      </w:pPr>
      <w:r>
        <w:rPr>
          <w:b w:val="false"/>
          <w:bCs w:val="false"/>
        </w:rPr>
        <w:t xml:space="preserve">Before implementation starts, have an agent generate a one-page inventory of the real API endpoints the existing web app already calls (auth, consultations, vitals, chat, billing) by reading the actual backend — not by guessing. Every screen spec in Section 7 should be annotated with which endpoint(s) it calls once this exists; a missing endpoint is a gap to build once, in the shared backend, not invented twice.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2A2A2A"/>
              </w:rPr>
              <w:t xml:space="preserve">Status: the chat and Case File backend gap is being resolved via a parallel web-app initiative — Case File is being brought to web first (replacing web's current separate Reports/Treatment Chart actions), which necessarily includes building the chat API that both web's and mobile's Case File depend on. Mobile's Case File should be built to consume that resulting shared API once it exists, not to invent its own parallel chat backend.</w:t>
            </w:r>
          </w:p>
        </w:tc>
      </w:tr>
    </w:tbl>
    <w:p>
      <w:r>
        <w:br w:type="page"/>
      </w:r>
    </w:p>
    <w:p>
      <w:pPr>
        <w:pStyle w:val="Heading1"/>
        <w:spacing w:after="200" w:before="400"/>
      </w:pPr>
      <w:r>
        <w:t xml:space="preserve">14. Global UI States and Security</w:t>
      </w:r>
    </w:p>
    <w:p>
      <w:pPr>
        <w:spacing w:after="120"/>
      </w:pPr>
      <w:r>
        <w:rPr>
          <w:b w:val="false"/>
          <w:bCs w:val="false"/>
          <w:i w:val="false"/>
          <w:iCs w:val="false"/>
        </w:rPr>
        <w:t xml:space="preserve">Reused verbatim from the original wireframe document’s Sections 11 and 12 — nothing here conflicts with anything decided during the Claude sessions.</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2400"/>
        <w:gridCol w:w="6950"/>
      </w:tblGrid>
      <w:tr>
        <w:trPr>
          <w:tblHeader/>
        </w:trPr>
        <w:tc>
          <w:tcPr>
            <w:tcW w:type="dxa" w:w="2400"/>
            <w:shd w:fill="2A2A2A" w:val="clear"/>
            <w:tcMar>
              <w:top w:type="dxa" w:w="100"/>
              <w:left w:type="dxa" w:w="120"/>
              <w:bottom w:type="dxa" w:w="100"/>
              <w:right w:type="dxa" w:w="120"/>
            </w:tcMar>
          </w:tcPr>
          <w:p>
            <w:r>
              <w:rPr>
                <w:b/>
                <w:bCs/>
                <w:color w:val="FFFFFF"/>
                <w:sz w:val="18"/>
                <w:szCs w:val="18"/>
              </w:rPr>
              <w:t xml:space="preserve">State</w:t>
            </w:r>
          </w:p>
        </w:tc>
        <w:tc>
          <w:tcPr>
            <w:tcW w:type="dxa" w:w="6950"/>
            <w:shd w:fill="2A2A2A" w:val="clear"/>
            <w:tcMar>
              <w:top w:type="dxa" w:w="100"/>
              <w:left w:type="dxa" w:w="120"/>
              <w:bottom w:type="dxa" w:w="100"/>
              <w:right w:type="dxa" w:w="120"/>
            </w:tcMar>
          </w:tcPr>
          <w:p>
            <w:r>
              <w:rPr>
                <w:b/>
                <w:bCs/>
                <w:color w:val="FFFFFF"/>
                <w:sz w:val="18"/>
                <w:szCs w:val="18"/>
              </w:rPr>
              <w:t xml:space="preserve">Requirement</w:t>
            </w:r>
          </w:p>
        </w:tc>
      </w:tr>
      <w:tr>
        <w:tc>
          <w:tcPr>
            <w:tcW w:type="dxa" w:w="2400"/>
            <w:shd w:fill="FFFFFF" w:val="clear"/>
            <w:tcMar>
              <w:top w:type="dxa" w:w="90"/>
              <w:left w:type="dxa" w:w="120"/>
              <w:bottom w:type="dxa" w:w="90"/>
              <w:right w:type="dxa" w:w="120"/>
            </w:tcMar>
          </w:tcPr>
          <w:p>
            <w:r>
              <w:rPr>
                <w:sz w:val="18"/>
                <w:szCs w:val="18"/>
              </w:rPr>
              <w:t xml:space="preserve">Loading</w:t>
            </w:r>
          </w:p>
        </w:tc>
        <w:tc>
          <w:tcPr>
            <w:tcW w:type="dxa" w:w="6950"/>
            <w:shd w:fill="FFFFFF" w:val="clear"/>
            <w:tcMar>
              <w:top w:type="dxa" w:w="90"/>
              <w:left w:type="dxa" w:w="120"/>
              <w:bottom w:type="dxa" w:w="90"/>
              <w:right w:type="dxa" w:w="120"/>
            </w:tcMar>
          </w:tcPr>
          <w:p>
            <w:r>
              <w:rPr>
                <w:sz w:val="18"/>
                <w:szCs w:val="18"/>
              </w:rPr>
              <w:t xml:space="preserve">Skeleton/progress state; never a blank screen while waiting.</w:t>
            </w:r>
          </w:p>
        </w:tc>
      </w:tr>
      <w:tr>
        <w:tc>
          <w:tcPr>
            <w:tcW w:type="dxa" w:w="2400"/>
            <w:shd w:fill="F7F7F9" w:val="clear"/>
            <w:tcMar>
              <w:top w:type="dxa" w:w="90"/>
              <w:left w:type="dxa" w:w="120"/>
              <w:bottom w:type="dxa" w:w="90"/>
              <w:right w:type="dxa" w:w="120"/>
            </w:tcMar>
          </w:tcPr>
          <w:p>
            <w:r>
              <w:rPr>
                <w:sz w:val="18"/>
                <w:szCs w:val="18"/>
              </w:rPr>
              <w:t xml:space="preserve">Empty</w:t>
            </w:r>
          </w:p>
        </w:tc>
        <w:tc>
          <w:tcPr>
            <w:tcW w:type="dxa" w:w="6950"/>
            <w:shd w:fill="F7F7F9" w:val="clear"/>
            <w:tcMar>
              <w:top w:type="dxa" w:w="90"/>
              <w:left w:type="dxa" w:w="120"/>
              <w:bottom w:type="dxa" w:w="90"/>
              <w:right w:type="dxa" w:w="120"/>
            </w:tcMar>
          </w:tcPr>
          <w:p>
            <w:r>
              <w:rPr>
                <w:sz w:val="18"/>
                <w:szCs w:val="18"/>
              </w:rPr>
              <w:t xml:space="preserve">Explain why the list is empty; provide a relevant next action.</w:t>
            </w:r>
          </w:p>
        </w:tc>
      </w:tr>
      <w:tr>
        <w:tc>
          <w:tcPr>
            <w:tcW w:type="dxa" w:w="2400"/>
            <w:shd w:fill="FFFFFF" w:val="clear"/>
            <w:tcMar>
              <w:top w:type="dxa" w:w="90"/>
              <w:left w:type="dxa" w:w="120"/>
              <w:bottom w:type="dxa" w:w="90"/>
              <w:right w:type="dxa" w:w="120"/>
            </w:tcMar>
          </w:tcPr>
          <w:p>
            <w:r>
              <w:rPr>
                <w:sz w:val="18"/>
                <w:szCs w:val="18"/>
              </w:rPr>
              <w:t xml:space="preserve">Error</w:t>
            </w:r>
          </w:p>
        </w:tc>
        <w:tc>
          <w:tcPr>
            <w:tcW w:type="dxa" w:w="6950"/>
            <w:shd w:fill="FFFFFF" w:val="clear"/>
            <w:tcMar>
              <w:top w:type="dxa" w:w="90"/>
              <w:left w:type="dxa" w:w="120"/>
              <w:bottom w:type="dxa" w:w="90"/>
              <w:right w:type="dxa" w:w="120"/>
            </w:tcMar>
          </w:tcPr>
          <w:p>
            <w:r>
              <w:rPr>
                <w:sz w:val="18"/>
                <w:szCs w:val="18"/>
              </w:rPr>
              <w:t xml:space="preserve">Explain the failure; provide Retry where appropriate.</w:t>
            </w:r>
          </w:p>
        </w:tc>
      </w:tr>
      <w:tr>
        <w:tc>
          <w:tcPr>
            <w:tcW w:type="dxa" w:w="2400"/>
            <w:shd w:fill="F7F7F9" w:val="clear"/>
            <w:tcMar>
              <w:top w:type="dxa" w:w="90"/>
              <w:left w:type="dxa" w:w="120"/>
              <w:bottom w:type="dxa" w:w="90"/>
              <w:right w:type="dxa" w:w="120"/>
            </w:tcMar>
          </w:tcPr>
          <w:p>
            <w:r>
              <w:rPr>
                <w:sz w:val="18"/>
                <w:szCs w:val="18"/>
              </w:rPr>
              <w:t xml:space="preserve">Offline</w:t>
            </w:r>
          </w:p>
        </w:tc>
        <w:tc>
          <w:tcPr>
            <w:tcW w:type="dxa" w:w="6950"/>
            <w:shd w:fill="F7F7F9" w:val="clear"/>
            <w:tcMar>
              <w:top w:type="dxa" w:w="90"/>
              <w:left w:type="dxa" w:w="120"/>
              <w:bottom w:type="dxa" w:w="90"/>
              <w:right w:type="dxa" w:w="120"/>
            </w:tcMar>
          </w:tcPr>
          <w:p>
            <w:r>
              <w:rPr>
                <w:sz w:val="18"/>
                <w:szCs w:val="18"/>
              </w:rPr>
              <w:t xml:space="preserve">Clearly indicate lack of connectivity; disable live actions requiring network.</w:t>
            </w:r>
          </w:p>
        </w:tc>
      </w:tr>
      <w:tr>
        <w:tc>
          <w:tcPr>
            <w:tcW w:type="dxa" w:w="2400"/>
            <w:shd w:fill="FFFFFF" w:val="clear"/>
            <w:tcMar>
              <w:top w:type="dxa" w:w="90"/>
              <w:left w:type="dxa" w:w="120"/>
              <w:bottom w:type="dxa" w:w="90"/>
              <w:right w:type="dxa" w:w="120"/>
            </w:tcMar>
          </w:tcPr>
          <w:p>
            <w:r>
              <w:rPr>
                <w:sz w:val="18"/>
                <w:szCs w:val="18"/>
              </w:rPr>
              <w:t xml:space="preserve">Upload failed</w:t>
            </w:r>
          </w:p>
        </w:tc>
        <w:tc>
          <w:tcPr>
            <w:tcW w:type="dxa" w:w="6950"/>
            <w:shd w:fill="FFFFFF" w:val="clear"/>
            <w:tcMar>
              <w:top w:type="dxa" w:w="90"/>
              <w:left w:type="dxa" w:w="120"/>
              <w:bottom w:type="dxa" w:w="90"/>
              <w:right w:type="dxa" w:w="120"/>
            </w:tcMar>
          </w:tcPr>
          <w:p>
            <w:r>
              <w:rPr>
                <w:sz w:val="18"/>
                <w:szCs w:val="18"/>
              </w:rPr>
              <w:t xml:space="preserve">Keep the failed item visible with Retry; never silently discard.</w:t>
            </w:r>
          </w:p>
        </w:tc>
      </w:tr>
      <w:tr>
        <w:tc>
          <w:tcPr>
            <w:tcW w:type="dxa" w:w="2400"/>
            <w:shd w:fill="F7F7F9" w:val="clear"/>
            <w:tcMar>
              <w:top w:type="dxa" w:w="90"/>
              <w:left w:type="dxa" w:w="120"/>
              <w:bottom w:type="dxa" w:w="90"/>
              <w:right w:type="dxa" w:w="120"/>
            </w:tcMar>
          </w:tcPr>
          <w:p>
            <w:r>
              <w:rPr>
                <w:sz w:val="18"/>
                <w:szCs w:val="18"/>
              </w:rPr>
              <w:t xml:space="preserve">Permission denied</w:t>
            </w:r>
          </w:p>
        </w:tc>
        <w:tc>
          <w:tcPr>
            <w:tcW w:type="dxa" w:w="6950"/>
            <w:shd w:fill="F7F7F9" w:val="clear"/>
            <w:tcMar>
              <w:top w:type="dxa" w:w="90"/>
              <w:left w:type="dxa" w:w="120"/>
              <w:bottom w:type="dxa" w:w="90"/>
              <w:right w:type="dxa" w:w="120"/>
            </w:tcMar>
          </w:tcPr>
          <w:p>
            <w:r>
              <w:rPr>
                <w:sz w:val="18"/>
                <w:szCs w:val="18"/>
              </w:rPr>
              <w:t xml:space="preserve">Explain the required permission without exposing sensitive implementation detail.</w:t>
            </w:r>
          </w:p>
        </w:tc>
      </w:tr>
      <w:tr>
        <w:tc>
          <w:tcPr>
            <w:tcW w:type="dxa" w:w="2400"/>
            <w:shd w:fill="FFFFFF" w:val="clear"/>
            <w:tcMar>
              <w:top w:type="dxa" w:w="90"/>
              <w:left w:type="dxa" w:w="120"/>
              <w:bottom w:type="dxa" w:w="90"/>
              <w:right w:type="dxa" w:w="120"/>
            </w:tcMar>
          </w:tcPr>
          <w:p>
            <w:r>
              <w:rPr>
                <w:sz w:val="18"/>
                <w:szCs w:val="18"/>
              </w:rPr>
              <w:t xml:space="preserve">Session expired</w:t>
            </w:r>
          </w:p>
        </w:tc>
        <w:tc>
          <w:tcPr>
            <w:tcW w:type="dxa" w:w="6950"/>
            <w:shd w:fill="FFFFFF" w:val="clear"/>
            <w:tcMar>
              <w:top w:type="dxa" w:w="90"/>
              <w:left w:type="dxa" w:w="120"/>
              <w:bottom w:type="dxa" w:w="90"/>
              <w:right w:type="dxa" w:w="120"/>
            </w:tcMar>
          </w:tcPr>
          <w:p>
            <w:r>
              <w:rPr>
                <w:sz w:val="18"/>
                <w:szCs w:val="18"/>
              </w:rPr>
              <w:t xml:space="preserve">Return to login; require re-authentication.</w:t>
            </w:r>
          </w:p>
        </w:tc>
      </w:tr>
      <w:tr>
        <w:tc>
          <w:tcPr>
            <w:tcW w:type="dxa" w:w="2400"/>
            <w:shd w:fill="F7F7F9" w:val="clear"/>
            <w:tcMar>
              <w:top w:type="dxa" w:w="90"/>
              <w:left w:type="dxa" w:w="120"/>
              <w:bottom w:type="dxa" w:w="90"/>
              <w:right w:type="dxa" w:w="120"/>
            </w:tcMar>
          </w:tcPr>
          <w:p>
            <w:r>
              <w:rPr>
                <w:sz w:val="18"/>
                <w:szCs w:val="18"/>
              </w:rPr>
              <w:t xml:space="preserve">Suspended</w:t>
            </w:r>
          </w:p>
        </w:tc>
        <w:tc>
          <w:tcPr>
            <w:tcW w:type="dxa" w:w="6950"/>
            <w:shd w:fill="F7F7F9" w:val="clear"/>
            <w:tcMar>
              <w:top w:type="dxa" w:w="90"/>
              <w:left w:type="dxa" w:w="120"/>
              <w:bottom w:type="dxa" w:w="90"/>
              <w:right w:type="dxa" w:w="120"/>
            </w:tcMar>
          </w:tcPr>
          <w:p>
            <w:r>
              <w:rPr>
                <w:sz w:val="18"/>
                <w:szCs w:val="18"/>
              </w:rPr>
              <w:t xml:space="preserve">Respect backend suspension; block unauthorized actions.</w:t>
            </w:r>
          </w:p>
        </w:tc>
      </w:tr>
    </w:tbl>
    <w:p>
      <w:pPr>
        <w:spacing w:after="200"/>
      </w:pPr>
    </w:p>
    <w:p>
      <w:pPr>
        <w:pStyle w:val="ListParagraph"/>
        <w:numPr>
          <w:ilvl w:val="0"/>
          <w:numId w:val="2"/>
        </w:numPr>
        <w:spacing w:after="60"/>
      </w:pPr>
      <w:r>
        <w:rPr>
          <w:b w:val="false"/>
          <w:bCs w:val="false"/>
        </w:rPr>
        <w:t xml:space="preserve">Server-side authorization is mandatory for every protected resource — UI hiding is never sufficient security.</w:t>
      </w:r>
    </w:p>
    <w:p>
      <w:pPr>
        <w:pStyle w:val="ListParagraph"/>
        <w:numPr>
          <w:ilvl w:val="0"/>
          <w:numId w:val="2"/>
        </w:numPr>
        <w:spacing w:after="60"/>
      </w:pPr>
      <w:r>
        <w:rPr>
          <w:b w:val="false"/>
          <w:bCs w:val="false"/>
        </w:rPr>
        <w:t xml:space="preserve">Follow-up call/video permission (Section 4.3) must be enforced by the backend, not only reflected in the UI.</w:t>
      </w:r>
    </w:p>
    <w:p>
      <w:pPr>
        <w:pStyle w:val="ListParagraph"/>
        <w:numPr>
          <w:ilvl w:val="0"/>
          <w:numId w:val="2"/>
        </w:numPr>
        <w:spacing w:after="60"/>
      </w:pPr>
      <w:r>
        <w:rPr>
          <w:b w:val="false"/>
          <w:bCs w:val="false"/>
        </w:rPr>
        <w:t xml:space="preserve">No unrestricted external sharing of patient documents/media, on either role.</w:t>
      </w:r>
    </w:p>
    <w:p>
      <w:pPr>
        <w:pStyle w:val="ListParagraph"/>
        <w:numPr>
          <w:ilvl w:val="0"/>
          <w:numId w:val="2"/>
        </w:numPr>
        <w:spacing w:after="60"/>
      </w:pPr>
      <w:r>
        <w:rPr>
          <w:b w:val="false"/>
          <w:bCs w:val="false"/>
        </w:rPr>
        <w:t xml:space="preserve">Minimize sensitive patient data stored locally; secure storage for auth/session tokens; never log clinical information to client logs.</w:t>
      </w:r>
    </w:p>
    <w:p>
      <w:r>
        <w:br w:type="page"/>
      </w:r>
    </w:p>
    <w:p>
      <w:pPr>
        <w:pStyle w:val="Heading1"/>
        <w:spacing w:after="200" w:before="400"/>
      </w:pPr>
      <w:r>
        <w:t xml:space="preserve">15. QA / Acceptance Test Matrix</w:t>
      </w:r>
    </w:p>
    <w:p>
      <w:pPr>
        <w:spacing w:after="120"/>
      </w:pPr>
      <w:r>
        <w:rPr>
          <w:b w:val="false"/>
          <w:bCs w:val="false"/>
          <w:i w:val="false"/>
          <w:iCs w:val="false"/>
        </w:rPr>
        <w:t xml:space="preserve">Adapted from the original document’s end-to-end matrix: obsolete tests tied to the superseded model (15-day expiry, forced-logout-on-password-change, follow-up grant/revoke checkboxes, a discrete Provider Documentation step, a pause confirmation dialog) are removed or rewritten; new tests covering this session’s additions are appended.</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700"/>
        <w:gridCol w:w="7650"/>
      </w:tblGrid>
      <w:tr>
        <w:trPr>
          <w:tblHeader/>
        </w:trPr>
        <w:tc>
          <w:tcPr>
            <w:tcW w:type="dxa" w:w="1700"/>
            <w:shd w:fill="2A2A2A" w:val="clear"/>
            <w:tcMar>
              <w:top w:type="dxa" w:w="100"/>
              <w:left w:type="dxa" w:w="120"/>
              <w:bottom w:type="dxa" w:w="100"/>
              <w:right w:type="dxa" w:w="120"/>
            </w:tcMar>
          </w:tcPr>
          <w:p>
            <w:r>
              <w:rPr>
                <w:b/>
                <w:bCs/>
                <w:color w:val="FFFFFF"/>
                <w:sz w:val="18"/>
                <w:szCs w:val="18"/>
              </w:rPr>
              <w:t xml:space="preserve">Area</w:t>
            </w:r>
          </w:p>
        </w:tc>
        <w:tc>
          <w:tcPr>
            <w:tcW w:type="dxa" w:w="7650"/>
            <w:shd w:fill="2A2A2A" w:val="clear"/>
            <w:tcMar>
              <w:top w:type="dxa" w:w="100"/>
              <w:left w:type="dxa" w:w="120"/>
              <w:bottom w:type="dxa" w:w="100"/>
              <w:right w:type="dxa" w:w="120"/>
            </w:tcMar>
          </w:tcPr>
          <w:p>
            <w:r>
              <w:rPr>
                <w:b/>
                <w:bCs/>
                <w:color w:val="FFFFFF"/>
                <w:sz w:val="18"/>
                <w:szCs w:val="18"/>
              </w:rPr>
              <w:t xml:space="preserve">Test scenario</w:t>
            </w:r>
          </w:p>
        </w:tc>
      </w:tr>
      <w:tr>
        <w:tc>
          <w:tcPr>
            <w:tcW w:type="dxa" w:w="1700"/>
            <w:shd w:fill="FFFFFF" w:val="clear"/>
            <w:tcMar>
              <w:top w:type="dxa" w:w="90"/>
              <w:left w:type="dxa" w:w="120"/>
              <w:bottom w:type="dxa" w:w="90"/>
              <w:right w:type="dxa" w:w="120"/>
            </w:tcMar>
          </w:tcPr>
          <w:p>
            <w:r>
              <w:rPr>
                <w:sz w:val="18"/>
                <w:szCs w:val="18"/>
              </w:rPr>
              <w:t xml:space="preserve">Authentication</w:t>
            </w:r>
          </w:p>
        </w:tc>
        <w:tc>
          <w:tcPr>
            <w:tcW w:type="dxa" w:w="7650"/>
            <w:shd w:fill="FFFFFF" w:val="clear"/>
            <w:tcMar>
              <w:top w:type="dxa" w:w="90"/>
              <w:left w:type="dxa" w:w="120"/>
              <w:bottom w:type="dxa" w:w="90"/>
              <w:right w:type="dxa" w:w="120"/>
            </w:tcMar>
          </w:tcPr>
          <w:p>
            <w:r>
              <w:rPr>
                <w:sz w:val="18"/>
                <w:szCs w:val="18"/>
              </w:rPr>
              <w:t xml:space="preserve">Valid signup completes OTP and account creation</w:t>
            </w:r>
          </w:p>
        </w:tc>
      </w:tr>
      <w:tr>
        <w:tc>
          <w:tcPr>
            <w:tcW w:type="dxa" w:w="1700"/>
            <w:shd w:fill="F7F7F9" w:val="clear"/>
            <w:tcMar>
              <w:top w:type="dxa" w:w="90"/>
              <w:left w:type="dxa" w:w="120"/>
              <w:bottom w:type="dxa" w:w="90"/>
              <w:right w:type="dxa" w:w="120"/>
            </w:tcMar>
          </w:tcPr>
          <w:p>
            <w:r>
              <w:rPr>
                <w:sz w:val="18"/>
                <w:szCs w:val="18"/>
              </w:rPr>
              <w:t xml:space="preserve">Authentication</w:t>
            </w:r>
          </w:p>
        </w:tc>
        <w:tc>
          <w:tcPr>
            <w:tcW w:type="dxa" w:w="7650"/>
            <w:shd w:fill="F7F7F9" w:val="clear"/>
            <w:tcMar>
              <w:top w:type="dxa" w:w="90"/>
              <w:left w:type="dxa" w:w="120"/>
              <w:bottom w:type="dxa" w:w="90"/>
              <w:right w:type="dxa" w:w="120"/>
            </w:tcMar>
          </w:tcPr>
          <w:p>
            <w:r>
              <w:rPr>
                <w:sz w:val="18"/>
                <w:szCs w:val="18"/>
              </w:rPr>
              <w:t xml:space="preserve">Incorrect OTP is rejected</w:t>
            </w:r>
          </w:p>
        </w:tc>
      </w:tr>
      <w:tr>
        <w:tc>
          <w:tcPr>
            <w:tcW w:type="dxa" w:w="1700"/>
            <w:shd w:fill="FFFFFF" w:val="clear"/>
            <w:tcMar>
              <w:top w:type="dxa" w:w="90"/>
              <w:left w:type="dxa" w:w="120"/>
              <w:bottom w:type="dxa" w:w="90"/>
              <w:right w:type="dxa" w:w="120"/>
            </w:tcMar>
          </w:tcPr>
          <w:p>
            <w:r>
              <w:rPr>
                <w:sz w:val="18"/>
                <w:szCs w:val="18"/>
              </w:rPr>
              <w:t xml:space="preserve">Authentication</w:t>
            </w:r>
          </w:p>
        </w:tc>
        <w:tc>
          <w:tcPr>
            <w:tcW w:type="dxa" w:w="7650"/>
            <w:shd w:fill="FFFFFF" w:val="clear"/>
            <w:tcMar>
              <w:top w:type="dxa" w:w="90"/>
              <w:left w:type="dxa" w:w="120"/>
              <w:bottom w:type="dxa" w:w="90"/>
              <w:right w:type="dxa" w:w="120"/>
            </w:tcMar>
          </w:tcPr>
          <w:p>
            <w:r>
              <w:rPr>
                <w:sz w:val="18"/>
                <w:szCs w:val="18"/>
              </w:rPr>
              <w:t xml:space="preserve">Provider role routes to Provider UI; Seeker role routes to Seeker UI</w:t>
            </w:r>
          </w:p>
        </w:tc>
      </w:tr>
      <w:tr>
        <w:tc>
          <w:tcPr>
            <w:tcW w:type="dxa" w:w="1700"/>
            <w:shd w:fill="F7F7F9" w:val="clear"/>
            <w:tcMar>
              <w:top w:type="dxa" w:w="90"/>
              <w:left w:type="dxa" w:w="120"/>
              <w:bottom w:type="dxa" w:w="90"/>
              <w:right w:type="dxa" w:w="120"/>
            </w:tcMar>
          </w:tcPr>
          <w:p>
            <w:r>
              <w:rPr>
                <w:sz w:val="18"/>
                <w:szCs w:val="18"/>
              </w:rPr>
              <w:t xml:space="preserve">Authentication</w:t>
            </w:r>
          </w:p>
        </w:tc>
        <w:tc>
          <w:tcPr>
            <w:tcW w:type="dxa" w:w="7650"/>
            <w:shd w:fill="F7F7F9" w:val="clear"/>
            <w:tcMar>
              <w:top w:type="dxa" w:w="90"/>
              <w:left w:type="dxa" w:w="120"/>
              <w:bottom w:type="dxa" w:w="90"/>
              <w:right w:type="dxa" w:w="120"/>
            </w:tcMar>
          </w:tcPr>
          <w:p>
            <w:r>
              <w:rPr>
                <w:sz w:val="18"/>
                <w:szCs w:val="18"/>
              </w:rPr>
              <w:t xml:space="preserve">Valid/invalid email+password login succeed/fail correctly</w:t>
            </w:r>
          </w:p>
        </w:tc>
      </w:tr>
      <w:tr>
        <w:tc>
          <w:tcPr>
            <w:tcW w:type="dxa" w:w="1700"/>
            <w:shd w:fill="FFFFFF" w:val="clear"/>
            <w:tcMar>
              <w:top w:type="dxa" w:w="90"/>
              <w:left w:type="dxa" w:w="120"/>
              <w:bottom w:type="dxa" w:w="90"/>
              <w:right w:type="dxa" w:w="120"/>
            </w:tcMar>
          </w:tcPr>
          <w:p>
            <w:r>
              <w:rPr>
                <w:sz w:val="18"/>
                <w:szCs w:val="18"/>
              </w:rPr>
              <w:t xml:space="preserve">Terms</w:t>
            </w:r>
          </w:p>
        </w:tc>
        <w:tc>
          <w:tcPr>
            <w:tcW w:type="dxa" w:w="7650"/>
            <w:shd w:fill="FFFFFF" w:val="clear"/>
            <w:tcMar>
              <w:top w:type="dxa" w:w="90"/>
              <w:left w:type="dxa" w:w="120"/>
              <w:bottom w:type="dxa" w:w="90"/>
              <w:right w:type="dxa" w:w="120"/>
            </w:tcMar>
          </w:tcPr>
          <w:p>
            <w:r>
              <w:rPr>
                <w:sz w:val="18"/>
                <w:szCs w:val="18"/>
              </w:rPr>
              <w:t xml:space="preserve">Continue disabled until checkbox selected; new Terms version forces re-acceptance</w:t>
            </w:r>
          </w:p>
        </w:tc>
      </w:tr>
      <w:tr>
        <w:tc>
          <w:tcPr>
            <w:tcW w:type="dxa" w:w="1700"/>
            <w:shd w:fill="F7F7F9" w:val="clear"/>
            <w:tcMar>
              <w:top w:type="dxa" w:w="90"/>
              <w:left w:type="dxa" w:w="120"/>
              <w:bottom w:type="dxa" w:w="90"/>
              <w:right w:type="dxa" w:w="120"/>
            </w:tcMar>
          </w:tcPr>
          <w:p>
            <w:r>
              <w:rPr>
                <w:sz w:val="18"/>
                <w:szCs w:val="18"/>
              </w:rPr>
              <w:t xml:space="preserve">Session</w:t>
            </w:r>
          </w:p>
        </w:tc>
        <w:tc>
          <w:tcPr>
            <w:tcW w:type="dxa" w:w="7650"/>
            <w:shd w:fill="F7F7F9" w:val="clear"/>
            <w:tcMar>
              <w:top w:type="dxa" w:w="90"/>
              <w:left w:type="dxa" w:w="120"/>
              <w:bottom w:type="dxa" w:w="90"/>
              <w:right w:type="dxa" w:w="120"/>
            </w:tcMar>
          </w:tcPr>
          <w:p>
            <w:r>
              <w:rPr>
                <w:sz w:val="18"/>
                <w:szCs w:val="18"/>
              </w:rPr>
              <w:t xml:space="preserve">App restart preserves session indefinitely — no 15-day expiry (Section 4.12)</w:t>
            </w:r>
          </w:p>
        </w:tc>
      </w:tr>
      <w:tr>
        <w:tc>
          <w:tcPr>
            <w:tcW w:type="dxa" w:w="1700"/>
            <w:shd w:fill="FFFFFF" w:val="clear"/>
            <w:tcMar>
              <w:top w:type="dxa" w:w="90"/>
              <w:left w:type="dxa" w:w="120"/>
              <w:bottom w:type="dxa" w:w="90"/>
              <w:right w:type="dxa" w:w="120"/>
            </w:tcMar>
          </w:tcPr>
          <w:p>
            <w:r>
              <w:rPr>
                <w:sz w:val="18"/>
                <w:szCs w:val="18"/>
              </w:rPr>
              <w:t xml:space="preserve">Session</w:t>
            </w:r>
          </w:p>
        </w:tc>
        <w:tc>
          <w:tcPr>
            <w:tcW w:type="dxa" w:w="7650"/>
            <w:shd w:fill="FFFFFF" w:val="clear"/>
            <w:tcMar>
              <w:top w:type="dxa" w:w="90"/>
              <w:left w:type="dxa" w:w="120"/>
              <w:bottom w:type="dxa" w:w="90"/>
              <w:right w:type="dxa" w:w="120"/>
            </w:tcMar>
          </w:tcPr>
          <w:p>
            <w:r>
              <w:rPr>
                <w:sz w:val="18"/>
                <w:szCs w:val="18"/>
              </w:rPr>
              <w:t xml:space="preserve">Password change succeeds WITHOUT forcing logout (Section 4.12)</w:t>
            </w:r>
          </w:p>
        </w:tc>
      </w:tr>
      <w:tr>
        <w:tc>
          <w:tcPr>
            <w:tcW w:type="dxa" w:w="1700"/>
            <w:shd w:fill="F7F7F9" w:val="clear"/>
            <w:tcMar>
              <w:top w:type="dxa" w:w="90"/>
              <w:left w:type="dxa" w:w="120"/>
              <w:bottom w:type="dxa" w:w="90"/>
              <w:right w:type="dxa" w:w="120"/>
            </w:tcMar>
          </w:tcPr>
          <w:p>
            <w:r>
              <w:rPr>
                <w:sz w:val="18"/>
                <w:szCs w:val="18"/>
              </w:rPr>
              <w:t xml:space="preserve">Session</w:t>
            </w:r>
          </w:p>
        </w:tc>
        <w:tc>
          <w:tcPr>
            <w:tcW w:type="dxa" w:w="7650"/>
            <w:shd w:fill="F7F7F9" w:val="clear"/>
            <w:tcMar>
              <w:top w:type="dxa" w:w="90"/>
              <w:left w:type="dxa" w:w="120"/>
              <w:bottom w:type="dxa" w:w="90"/>
              <w:right w:type="dxa" w:w="120"/>
            </w:tcMar>
          </w:tcPr>
          <w:p>
            <w:r>
              <w:rPr>
                <w:sz w:val="18"/>
                <w:szCs w:val="18"/>
              </w:rPr>
              <w:t xml:space="preserve">Logout control is reachable only via Settings, not from any primary screen</w:t>
            </w:r>
          </w:p>
        </w:tc>
      </w:tr>
      <w:tr>
        <w:tc>
          <w:tcPr>
            <w:tcW w:type="dxa" w:w="1700"/>
            <w:shd w:fill="FFFFFF" w:val="clear"/>
            <w:tcMar>
              <w:top w:type="dxa" w:w="90"/>
              <w:left w:type="dxa" w:w="120"/>
              <w:bottom w:type="dxa" w:w="90"/>
              <w:right w:type="dxa" w:w="120"/>
            </w:tcMar>
          </w:tcPr>
          <w:p>
            <w:r>
              <w:rPr>
                <w:sz w:val="18"/>
                <w:szCs w:val="18"/>
              </w:rPr>
              <w:t xml:space="preserve">Dashboard</w:t>
            </w:r>
          </w:p>
        </w:tc>
        <w:tc>
          <w:tcPr>
            <w:tcW w:type="dxa" w:w="7650"/>
            <w:shd w:fill="FFFFFF" w:val="clear"/>
            <w:tcMar>
              <w:top w:type="dxa" w:w="90"/>
              <w:left w:type="dxa" w:w="120"/>
              <w:bottom w:type="dxa" w:w="90"/>
              <w:right w:type="dxa" w:w="120"/>
            </w:tcMar>
          </w:tcPr>
          <w:p>
            <w:r>
              <w:rPr>
                <w:sz w:val="18"/>
                <w:szCs w:val="18"/>
              </w:rPr>
              <w:t xml:space="preserve">Provider: rows ordered by scheduled slot time descending, max 20 shown</w:t>
            </w:r>
          </w:p>
        </w:tc>
      </w:tr>
      <w:tr>
        <w:tc>
          <w:tcPr>
            <w:tcW w:type="dxa" w:w="1700"/>
            <w:shd w:fill="F7F7F9" w:val="clear"/>
            <w:tcMar>
              <w:top w:type="dxa" w:w="90"/>
              <w:left w:type="dxa" w:w="120"/>
              <w:bottom w:type="dxa" w:w="90"/>
              <w:right w:type="dxa" w:w="120"/>
            </w:tcMar>
          </w:tcPr>
          <w:p>
            <w:r>
              <w:rPr>
                <w:sz w:val="18"/>
                <w:szCs w:val="18"/>
              </w:rPr>
              <w:t xml:space="preserve">Dashboard</w:t>
            </w:r>
          </w:p>
        </w:tc>
        <w:tc>
          <w:tcPr>
            <w:tcW w:type="dxa" w:w="7650"/>
            <w:shd w:fill="F7F7F9" w:val="clear"/>
            <w:tcMar>
              <w:top w:type="dxa" w:w="90"/>
              <w:left w:type="dxa" w:w="120"/>
              <w:bottom w:type="dxa" w:w="90"/>
              <w:right w:type="dxa" w:w="120"/>
            </w:tcMar>
          </w:tcPr>
          <w:p>
            <w:r>
              <w:rPr>
                <w:sz w:val="18"/>
                <w:szCs w:val="18"/>
              </w:rPr>
              <w:t xml:space="preserve">Ongoing-Live (pulsing red) is visually distinct from Ongoing-Quiet (muted rose, non-pulsing)</w:t>
            </w:r>
          </w:p>
        </w:tc>
      </w:tr>
      <w:tr>
        <w:tc>
          <w:tcPr>
            <w:tcW w:type="dxa" w:w="1700"/>
            <w:shd w:fill="FFFFFF" w:val="clear"/>
            <w:tcMar>
              <w:top w:type="dxa" w:w="90"/>
              <w:left w:type="dxa" w:w="120"/>
              <w:bottom w:type="dxa" w:w="90"/>
              <w:right w:type="dxa" w:w="120"/>
            </w:tcMar>
          </w:tcPr>
          <w:p>
            <w:r>
              <w:rPr>
                <w:sz w:val="18"/>
                <w:szCs w:val="18"/>
              </w:rPr>
              <w:t xml:space="preserve">Dashboard</w:t>
            </w:r>
          </w:p>
        </w:tc>
        <w:tc>
          <w:tcPr>
            <w:tcW w:type="dxa" w:w="7650"/>
            <w:shd w:fill="FFFFFF" w:val="clear"/>
            <w:tcMar>
              <w:top w:type="dxa" w:w="90"/>
              <w:left w:type="dxa" w:w="120"/>
              <w:bottom w:type="dxa" w:w="90"/>
              <w:right w:type="dxa" w:w="120"/>
            </w:tcMar>
          </w:tcPr>
          <w:p>
            <w:r>
              <w:rPr>
                <w:sz w:val="18"/>
                <w:szCs w:val="18"/>
              </w:rPr>
              <w:t xml:space="preserve">Follow-up word-toggle (Provider) changes the word itself, not just color, and updates instantly with a toast</w:t>
            </w:r>
          </w:p>
        </w:tc>
      </w:tr>
      <w:tr>
        <w:tc>
          <w:tcPr>
            <w:tcW w:type="dxa" w:w="1700"/>
            <w:shd w:fill="F7F7F9" w:val="clear"/>
            <w:tcMar>
              <w:top w:type="dxa" w:w="90"/>
              <w:left w:type="dxa" w:w="120"/>
              <w:bottom w:type="dxa" w:w="90"/>
              <w:right w:type="dxa" w:w="120"/>
            </w:tcMar>
          </w:tcPr>
          <w:p>
            <w:r>
              <w:rPr>
                <w:sz w:val="18"/>
                <w:szCs w:val="18"/>
              </w:rPr>
              <w:t xml:space="preserve">Dashboard</w:t>
            </w:r>
          </w:p>
        </w:tc>
        <w:tc>
          <w:tcPr>
            <w:tcW w:type="dxa" w:w="7650"/>
            <w:shd w:fill="F7F7F9" w:val="clear"/>
            <w:tcMar>
              <w:top w:type="dxa" w:w="90"/>
              <w:left w:type="dxa" w:w="120"/>
              <w:bottom w:type="dxa" w:w="90"/>
              <w:right w:type="dxa" w:w="120"/>
            </w:tcMar>
          </w:tcPr>
          <w:p>
            <w:r>
              <w:rPr>
                <w:sz w:val="18"/>
                <w:szCs w:val="18"/>
              </w:rPr>
              <w:t xml:space="preserve">Seeker rows show Specialty+Doctor on line 1 (wraps, never truncates) and Hospital+Time on line 2</w:t>
            </w:r>
          </w:p>
        </w:tc>
      </w:tr>
      <w:tr>
        <w:tc>
          <w:tcPr>
            <w:tcW w:type="dxa" w:w="1700"/>
            <w:shd w:fill="FFFFFF" w:val="clear"/>
            <w:tcMar>
              <w:top w:type="dxa" w:w="90"/>
              <w:left w:type="dxa" w:w="120"/>
              <w:bottom w:type="dxa" w:w="90"/>
              <w:right w:type="dxa" w:w="120"/>
            </w:tcMar>
          </w:tcPr>
          <w:p>
            <w:r>
              <w:rPr>
                <w:sz w:val="18"/>
                <w:szCs w:val="18"/>
              </w:rPr>
              <w:t xml:space="preserve">Consultations</w:t>
            </w:r>
          </w:p>
        </w:tc>
        <w:tc>
          <w:tcPr>
            <w:tcW w:type="dxa" w:w="7650"/>
            <w:shd w:fill="FFFFFF" w:val="clear"/>
            <w:tcMar>
              <w:top w:type="dxa" w:w="90"/>
              <w:left w:type="dxa" w:w="120"/>
              <w:bottom w:type="dxa" w:w="90"/>
              <w:right w:type="dxa" w:w="120"/>
            </w:tcMar>
          </w:tcPr>
          <w:p>
            <w:r>
              <w:rPr>
                <w:sz w:val="18"/>
                <w:szCs w:val="18"/>
              </w:rPr>
              <w:t xml:space="preserve">Search activates at 3 characters; matches anywhere in patient name</w:t>
            </w:r>
          </w:p>
        </w:tc>
      </w:tr>
      <w:tr>
        <w:tc>
          <w:tcPr>
            <w:tcW w:type="dxa" w:w="1700"/>
            <w:shd w:fill="F7F7F9" w:val="clear"/>
            <w:tcMar>
              <w:top w:type="dxa" w:w="90"/>
              <w:left w:type="dxa" w:w="120"/>
              <w:bottom w:type="dxa" w:w="90"/>
              <w:right w:type="dxa" w:w="120"/>
            </w:tcMar>
          </w:tcPr>
          <w:p>
            <w:r>
              <w:rPr>
                <w:sz w:val="18"/>
                <w:szCs w:val="18"/>
              </w:rPr>
              <w:t xml:space="preserve">Consultations</w:t>
            </w:r>
          </w:p>
        </w:tc>
        <w:tc>
          <w:tcPr>
            <w:tcW w:type="dxa" w:w="7650"/>
            <w:shd w:fill="F7F7F9" w:val="clear"/>
            <w:tcMar>
              <w:top w:type="dxa" w:w="90"/>
              <w:left w:type="dxa" w:w="120"/>
              <w:bottom w:type="dxa" w:w="90"/>
              <w:right w:type="dxa" w:w="120"/>
            </w:tcMar>
          </w:tcPr>
          <w:p>
            <w:r>
              <w:rPr>
                <w:sz w:val="18"/>
                <w:szCs w:val="18"/>
              </w:rPr>
              <w:t xml:space="preserve">All 7 statuses filter correctly, individually and combined; Last-24h and Closed quick filters work</w:t>
            </w:r>
          </w:p>
        </w:tc>
      </w:tr>
      <w:tr>
        <w:tc>
          <w:tcPr>
            <w:tcW w:type="dxa" w:w="1700"/>
            <w:shd w:fill="FFFFFF" w:val="clear"/>
            <w:tcMar>
              <w:top w:type="dxa" w:w="90"/>
              <w:left w:type="dxa" w:w="120"/>
              <w:bottom w:type="dxa" w:w="90"/>
              <w:right w:type="dxa" w:w="120"/>
            </w:tcMar>
          </w:tcPr>
          <w:p>
            <w:r>
              <w:rPr>
                <w:sz w:val="18"/>
                <w:szCs w:val="18"/>
              </w:rPr>
              <w:t xml:space="preserve">Consultations</w:t>
            </w:r>
          </w:p>
        </w:tc>
        <w:tc>
          <w:tcPr>
            <w:tcW w:type="dxa" w:w="7650"/>
            <w:shd w:fill="FFFFFF" w:val="clear"/>
            <w:tcMar>
              <w:top w:type="dxa" w:w="90"/>
              <w:left w:type="dxa" w:w="120"/>
              <w:bottom w:type="dxa" w:w="90"/>
              <w:right w:type="dxa" w:w="120"/>
            </w:tcMar>
          </w:tcPr>
          <w:p>
            <w:r>
              <w:rPr>
                <w:sz w:val="18"/>
                <w:szCs w:val="18"/>
              </w:rPr>
              <w:t xml:space="preserve">Consultation Detail shows Consultation ID, Duration, and a permanently-labeled Clinical Advisory trail</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Vitals dock stays sticky through scroll; staleness dots reflect fresh/aging/stale correctly</w:t>
            </w:r>
          </w:p>
        </w:tc>
      </w:tr>
      <w:tr>
        <w:tc>
          <w:tcPr>
            <w:tcW w:type="dxa" w:w="1700"/>
            <w:shd w:fill="FFFFFF" w:val="clear"/>
            <w:tcMar>
              <w:top w:type="dxa" w:w="90"/>
              <w:left w:type="dxa" w:w="120"/>
              <w:bottom w:type="dxa" w:w="90"/>
              <w:right w:type="dxa" w:w="120"/>
            </w:tcMar>
          </w:tcPr>
          <w:p>
            <w:r>
              <w:rPr>
                <w:sz w:val="18"/>
                <w:szCs w:val="18"/>
              </w:rPr>
              <w:t xml:space="preserve">Case File</w:t>
            </w:r>
          </w:p>
        </w:tc>
        <w:tc>
          <w:tcPr>
            <w:tcW w:type="dxa" w:w="7650"/>
            <w:shd w:fill="FFFFFF" w:val="clear"/>
            <w:tcMar>
              <w:top w:type="dxa" w:w="90"/>
              <w:left w:type="dxa" w:w="120"/>
              <w:bottom w:type="dxa" w:w="90"/>
              <w:right w:type="dxa" w:w="120"/>
            </w:tcMar>
          </w:tcPr>
          <w:p>
            <w:r>
              <w:rPr>
                <w:sz w:val="18"/>
                <w:szCs w:val="18"/>
              </w:rPr>
              <w:t xml:space="preserve">Seeker’s “+” Add Vitals is a separate tap target from the strip’s view-chart tap</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Presenting Complaint strip and allergy/comorbidity chips both open the same Clinical Summary screen</w:t>
            </w:r>
          </w:p>
        </w:tc>
      </w:tr>
      <w:tr>
        <w:tc>
          <w:tcPr>
            <w:tcW w:type="dxa" w:w="1700"/>
            <w:shd w:fill="FFFFFF" w:val="clear"/>
            <w:tcMar>
              <w:top w:type="dxa" w:w="90"/>
              <w:left w:type="dxa" w:w="120"/>
              <w:bottom w:type="dxa" w:w="90"/>
              <w:right w:type="dxa" w:w="120"/>
            </w:tcMar>
          </w:tcPr>
          <w:p>
            <w:r>
              <w:rPr>
                <w:sz w:val="18"/>
                <w:szCs w:val="18"/>
              </w:rPr>
              <w:t xml:space="preserve">Case File</w:t>
            </w:r>
          </w:p>
        </w:tc>
        <w:tc>
          <w:tcPr>
            <w:tcW w:type="dxa" w:w="7650"/>
            <w:shd w:fill="FFFFFF" w:val="clear"/>
            <w:tcMar>
              <w:top w:type="dxa" w:w="90"/>
              <w:left w:type="dxa" w:w="120"/>
              <w:bottom w:type="dxa" w:w="90"/>
              <w:right w:type="dxa" w:w="120"/>
            </w:tcMar>
          </w:tcPr>
          <w:p>
            <w:r>
              <w:rPr>
                <w:sz w:val="18"/>
                <w:szCs w:val="18"/>
              </w:rPr>
              <w:t xml:space="preserve">Clinical Advisory: Provider can compose (chat icon + Dashboard action); Seeker can only view + download</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New Advisory triggers a badge on the Advisory icon that clears only when opened</w:t>
            </w:r>
          </w:p>
        </w:tc>
      </w:tr>
      <w:tr>
        <w:tc>
          <w:tcPr>
            <w:tcW w:type="dxa" w:w="1700"/>
            <w:shd w:fill="FFFFFF" w:val="clear"/>
            <w:tcMar>
              <w:top w:type="dxa" w:w="90"/>
              <w:left w:type="dxa" w:w="120"/>
              <w:bottom w:type="dxa" w:w="90"/>
              <w:right w:type="dxa" w:w="120"/>
            </w:tcMar>
          </w:tcPr>
          <w:p>
            <w:r>
              <w:rPr>
                <w:sz w:val="18"/>
                <w:szCs w:val="18"/>
              </w:rPr>
              <w:t xml:space="preserve">Chat attachments</w:t>
            </w:r>
          </w:p>
        </w:tc>
        <w:tc>
          <w:tcPr>
            <w:tcW w:type="dxa" w:w="7650"/>
            <w:shd w:fill="FFFFFF" w:val="clear"/>
            <w:tcMar>
              <w:top w:type="dxa" w:w="90"/>
              <w:left w:type="dxa" w:w="120"/>
              <w:bottom w:type="dxa" w:w="90"/>
              <w:right w:type="dxa" w:w="120"/>
            </w:tcMar>
          </w:tcPr>
          <w:p>
            <w:r>
              <w:rPr>
                <w:sz w:val="18"/>
                <w:szCs w:val="18"/>
              </w:rPr>
              <w:t xml:space="preserve">Source picker (Camera/Gallery/Document) appears before the category flag bar; flag bar disappears on send/cancel</w:t>
            </w:r>
          </w:p>
        </w:tc>
      </w:tr>
      <w:tr>
        <w:tc>
          <w:tcPr>
            <w:tcW w:type="dxa" w:w="1700"/>
            <w:shd w:fill="F7F7F9" w:val="clear"/>
            <w:tcMar>
              <w:top w:type="dxa" w:w="90"/>
              <w:left w:type="dxa" w:w="120"/>
              <w:bottom w:type="dxa" w:w="90"/>
              <w:right w:type="dxa" w:w="120"/>
            </w:tcMar>
          </w:tcPr>
          <w:p>
            <w:r>
              <w:rPr>
                <w:sz w:val="18"/>
                <w:szCs w:val="18"/>
              </w:rPr>
              <w:t xml:space="preserve">Live Call</w:t>
            </w:r>
          </w:p>
        </w:tc>
        <w:tc>
          <w:tcPr>
            <w:tcW w:type="dxa" w:w="7650"/>
            <w:shd w:fill="F7F7F9" w:val="clear"/>
            <w:tcMar>
              <w:top w:type="dxa" w:w="90"/>
              <w:left w:type="dxa" w:w="120"/>
              <w:bottom w:type="dxa" w:w="90"/>
              <w:right w:type="dxa" w:w="120"/>
            </w:tcMar>
          </w:tcPr>
          <w:p>
            <w:r>
              <w:rPr>
                <w:sz w:val="18"/>
                <w:szCs w:val="18"/>
              </w:rPr>
              <w:t xml:space="preserve">Chat, Case File, and the role-specific action (Advise/Add Vitals) are reachable without ending the call</w:t>
            </w:r>
          </w:p>
        </w:tc>
      </w:tr>
      <w:tr>
        <w:tc>
          <w:tcPr>
            <w:tcW w:type="dxa" w:w="1700"/>
            <w:shd w:fill="FFFFFF" w:val="clear"/>
            <w:tcMar>
              <w:top w:type="dxa" w:w="90"/>
              <w:left w:type="dxa" w:w="120"/>
              <w:bottom w:type="dxa" w:w="90"/>
              <w:right w:type="dxa" w:w="120"/>
            </w:tcMar>
          </w:tcPr>
          <w:p>
            <w:r>
              <w:rPr>
                <w:sz w:val="18"/>
                <w:szCs w:val="18"/>
              </w:rPr>
              <w:t xml:space="preserve">Live Call — PiP</w:t>
            </w:r>
          </w:p>
        </w:tc>
        <w:tc>
          <w:tcPr>
            <w:tcW w:type="dxa" w:w="7650"/>
            <w:shd w:fill="FFFFFF" w:val="clear"/>
            <w:tcMar>
              <w:top w:type="dxa" w:w="90"/>
              <w:left w:type="dxa" w:w="120"/>
              <w:bottom w:type="dxa" w:w="90"/>
              <w:right w:type="dxa" w:w="120"/>
            </w:tcMar>
          </w:tcPr>
          <w:p>
            <w:r>
              <w:rPr>
                <w:sz w:val="18"/>
                <w:szCs w:val="18"/>
              </w:rPr>
              <w:t xml:space="preserve">Minimizing lands on that patient’s Case File with an OS-level PiP bubble, regardless of which screen the call started from</w:t>
            </w:r>
          </w:p>
        </w:tc>
      </w:tr>
      <w:tr>
        <w:tc>
          <w:tcPr>
            <w:tcW w:type="dxa" w:w="1700"/>
            <w:shd w:fill="F7F7F9" w:val="clear"/>
            <w:tcMar>
              <w:top w:type="dxa" w:w="90"/>
              <w:left w:type="dxa" w:w="120"/>
              <w:bottom w:type="dxa" w:w="90"/>
              <w:right w:type="dxa" w:w="120"/>
            </w:tcMar>
          </w:tcPr>
          <w:p>
            <w:r>
              <w:rPr>
                <w:sz w:val="18"/>
                <w:szCs w:val="18"/>
              </w:rPr>
              <w:t xml:space="preserve">Live Call — PiP</w:t>
            </w:r>
          </w:p>
        </w:tc>
        <w:tc>
          <w:tcPr>
            <w:tcW w:type="dxa" w:w="7650"/>
            <w:shd w:fill="F7F7F9" w:val="clear"/>
            <w:tcMar>
              <w:top w:type="dxa" w:w="90"/>
              <w:left w:type="dxa" w:w="120"/>
              <w:bottom w:type="dxa" w:w="90"/>
              <w:right w:type="dxa" w:w="120"/>
            </w:tcMar>
          </w:tcPr>
          <w:p>
            <w:r>
              <w:rPr>
                <w:sz w:val="18"/>
                <w:szCs w:val="18"/>
              </w:rPr>
              <w:t xml:space="preserve">Leaving the app entirely keeps the PiP bubble active over other apps; call is not terminated by minimizing</w:t>
            </w:r>
          </w:p>
        </w:tc>
      </w:tr>
      <w:tr>
        <w:tc>
          <w:tcPr>
            <w:tcW w:type="dxa" w:w="1700"/>
            <w:shd w:fill="FFFFFF" w:val="clear"/>
            <w:tcMar>
              <w:top w:type="dxa" w:w="90"/>
              <w:left w:type="dxa" w:w="120"/>
              <w:bottom w:type="dxa" w:w="90"/>
              <w:right w:type="dxa" w:w="120"/>
            </w:tcMar>
          </w:tcPr>
          <w:p>
            <w:r>
              <w:rPr>
                <w:sz w:val="18"/>
                <w:szCs w:val="18"/>
              </w:rPr>
              <w:t xml:space="preserve">Incoming calls</w:t>
            </w:r>
          </w:p>
        </w:tc>
        <w:tc>
          <w:tcPr>
            <w:tcW w:type="dxa" w:w="7650"/>
            <w:shd w:fill="FFFFFF" w:val="clear"/>
            <w:tcMar>
              <w:top w:type="dxa" w:w="90"/>
              <w:left w:type="dxa" w:w="120"/>
              <w:bottom w:type="dxa" w:w="90"/>
              <w:right w:type="dxa" w:w="120"/>
            </w:tcMar>
          </w:tcPr>
          <w:p>
            <w:r>
              <w:rPr>
                <w:sz w:val="18"/>
                <w:szCs w:val="18"/>
              </w:rPr>
              <w:t xml:space="preserve">A call is receivable and answerable with the app fully closed and the screen off (CallKit/ConnectionService, Section 4.9)</w:t>
            </w:r>
          </w:p>
        </w:tc>
      </w:tr>
      <w:tr>
        <w:tc>
          <w:tcPr>
            <w:tcW w:type="dxa" w:w="1700"/>
            <w:shd w:fill="F7F7F9" w:val="clear"/>
            <w:tcMar>
              <w:top w:type="dxa" w:w="90"/>
              <w:left w:type="dxa" w:w="120"/>
              <w:bottom w:type="dxa" w:w="90"/>
              <w:right w:type="dxa" w:w="120"/>
            </w:tcMar>
          </w:tcPr>
          <w:p>
            <w:r>
              <w:rPr>
                <w:sz w:val="18"/>
                <w:szCs w:val="18"/>
              </w:rPr>
              <w:t xml:space="preserve">Call routing</w:t>
            </w:r>
          </w:p>
        </w:tc>
        <w:tc>
          <w:tcPr>
            <w:tcW w:type="dxa" w:w="7650"/>
            <w:shd w:fill="F7F7F9" w:val="clear"/>
            <w:tcMar>
              <w:top w:type="dxa" w:w="90"/>
              <w:left w:type="dxa" w:w="120"/>
              <w:bottom w:type="dxa" w:w="90"/>
              <w:right w:type="dxa" w:w="120"/>
            </w:tcMar>
          </w:tcPr>
          <w:p>
            <w:r>
              <w:rPr>
                <w:sz w:val="18"/>
                <w:szCs w:val="18"/>
              </w:rPr>
              <w:t xml:space="preserve">A Provider’s call reaches exactly one Seeker-side target (assigned resident or Callback Device), never every logged-in session</w:t>
            </w:r>
          </w:p>
        </w:tc>
      </w:tr>
      <w:tr>
        <w:tc>
          <w:tcPr>
            <w:tcW w:type="dxa" w:w="1700"/>
            <w:shd w:fill="FFFFFF" w:val="clear"/>
            <w:tcMar>
              <w:top w:type="dxa" w:w="90"/>
              <w:left w:type="dxa" w:w="120"/>
              <w:bottom w:type="dxa" w:w="90"/>
              <w:right w:type="dxa" w:w="120"/>
            </w:tcMar>
          </w:tcPr>
          <w:p>
            <w:r>
              <w:rPr>
                <w:sz w:val="18"/>
                <w:szCs w:val="18"/>
              </w:rPr>
              <w:t xml:space="preserve">Call routing</w:t>
            </w:r>
          </w:p>
        </w:tc>
        <w:tc>
          <w:tcPr>
            <w:tcW w:type="dxa" w:w="7650"/>
            <w:shd w:fill="FFFFFF" w:val="clear"/>
            <w:tcMar>
              <w:top w:type="dxa" w:w="90"/>
              <w:left w:type="dxa" w:w="120"/>
              <w:bottom w:type="dxa" w:w="90"/>
              <w:right w:type="dxa" w:w="120"/>
            </w:tcMar>
          </w:tcPr>
          <w:p>
            <w:r>
              <w:rPr>
                <w:sz w:val="18"/>
                <w:szCs w:val="18"/>
              </w:rPr>
              <w:t xml:space="preserve">No-answer escalation places a real PSTN call to Perfusion’s own admin, in either direction</w:t>
            </w:r>
          </w:p>
        </w:tc>
      </w:tr>
      <w:tr>
        <w:tc>
          <w:tcPr>
            <w:tcW w:type="dxa" w:w="1700"/>
            <w:shd w:fill="F7F7F9" w:val="clear"/>
            <w:tcMar>
              <w:top w:type="dxa" w:w="90"/>
              <w:left w:type="dxa" w:w="120"/>
              <w:bottom w:type="dxa" w:w="90"/>
              <w:right w:type="dxa" w:w="120"/>
            </w:tcMar>
          </w:tcPr>
          <w:p>
            <w:r>
              <w:rPr>
                <w:sz w:val="18"/>
                <w:szCs w:val="18"/>
              </w:rPr>
              <w:t xml:space="preserve">Callback Device</w:t>
            </w:r>
          </w:p>
        </w:tc>
        <w:tc>
          <w:tcPr>
            <w:tcW w:type="dxa" w:w="7650"/>
            <w:shd w:fill="F7F7F9" w:val="clear"/>
            <w:tcMar>
              <w:top w:type="dxa" w:w="90"/>
              <w:left w:type="dxa" w:w="120"/>
              <w:bottom w:type="dxa" w:w="90"/>
              <w:right w:type="dxa" w:w="120"/>
            </w:tcMar>
          </w:tcPr>
          <w:p>
            <w:r>
              <w:rPr>
                <w:sz w:val="18"/>
                <w:szCs w:val="18"/>
              </w:rPr>
              <w:t xml:space="preserve">Device naming is asked once per (device, account) pairing, never re-prompted on ordinary re-login</w:t>
            </w:r>
          </w:p>
        </w:tc>
      </w:tr>
      <w:tr>
        <w:tc>
          <w:tcPr>
            <w:tcW w:type="dxa" w:w="1700"/>
            <w:shd w:fill="FFFFFF" w:val="clear"/>
            <w:tcMar>
              <w:top w:type="dxa" w:w="90"/>
              <w:left w:type="dxa" w:w="120"/>
              <w:bottom w:type="dxa" w:w="90"/>
              <w:right w:type="dxa" w:w="120"/>
            </w:tcMar>
          </w:tcPr>
          <w:p>
            <w:r>
              <w:rPr>
                <w:sz w:val="18"/>
                <w:szCs w:val="18"/>
              </w:rPr>
              <w:t xml:space="preserve">Callback Device</w:t>
            </w:r>
          </w:p>
        </w:tc>
        <w:tc>
          <w:tcPr>
            <w:tcW w:type="dxa" w:w="7650"/>
            <w:shd w:fill="FFFFFF" w:val="clear"/>
            <w:tcMar>
              <w:top w:type="dxa" w:w="90"/>
              <w:left w:type="dxa" w:w="120"/>
              <w:bottom w:type="dxa" w:w="90"/>
              <w:right w:type="dxa" w:w="120"/>
            </w:tcMar>
          </w:tcPr>
          <w:p>
            <w:r>
              <w:rPr>
                <w:sz w:val="18"/>
                <w:szCs w:val="18"/>
              </w:rPr>
              <w:t xml:space="preserve">The reconfirmation-due state renders as the row itself blinking — no separate banner — in Case File only, not the Dashboard</w:t>
            </w:r>
          </w:p>
        </w:tc>
      </w:tr>
      <w:tr>
        <w:tc>
          <w:tcPr>
            <w:tcW w:type="dxa" w:w="1700"/>
            <w:shd w:fill="F7F7F9" w:val="clear"/>
            <w:tcMar>
              <w:top w:type="dxa" w:w="90"/>
              <w:left w:type="dxa" w:w="120"/>
              <w:bottom w:type="dxa" w:w="90"/>
              <w:right w:type="dxa" w:w="120"/>
            </w:tcMar>
          </w:tcPr>
          <w:p>
            <w:r>
              <w:rPr>
                <w:sz w:val="18"/>
                <w:szCs w:val="18"/>
              </w:rPr>
              <w:t xml:space="preserve">Follow-up access</w:t>
            </w:r>
          </w:p>
        </w:tc>
        <w:tc>
          <w:tcPr>
            <w:tcW w:type="dxa" w:w="7650"/>
            <w:shd w:fill="F7F7F9" w:val="clear"/>
            <w:tcMar>
              <w:top w:type="dxa" w:w="90"/>
              <w:left w:type="dxa" w:w="120"/>
              <w:bottom w:type="dxa" w:w="90"/>
              <w:right w:type="dxa" w:w="120"/>
            </w:tcMar>
          </w:tcPr>
          <w:p>
            <w:r>
              <w:rPr>
                <w:sz w:val="18"/>
                <w:szCs w:val="18"/>
              </w:rPr>
              <w:t xml:space="preserve">Pausing blocks only the Seeker’s ability to call/video the Provider; the Provider’s own call ability is unaffected</w:t>
            </w:r>
          </w:p>
        </w:tc>
      </w:tr>
      <w:tr>
        <w:tc>
          <w:tcPr>
            <w:tcW w:type="dxa" w:w="1700"/>
            <w:shd w:fill="FFFFFF" w:val="clear"/>
            <w:tcMar>
              <w:top w:type="dxa" w:w="90"/>
              <w:left w:type="dxa" w:w="120"/>
              <w:bottom w:type="dxa" w:w="90"/>
              <w:right w:type="dxa" w:w="120"/>
            </w:tcMar>
          </w:tcPr>
          <w:p>
            <w:r>
              <w:rPr>
                <w:sz w:val="18"/>
                <w:szCs w:val="18"/>
              </w:rPr>
              <w:t xml:space="preserve">Follow-up access</w:t>
            </w:r>
          </w:p>
        </w:tc>
        <w:tc>
          <w:tcPr>
            <w:tcW w:type="dxa" w:w="7650"/>
            <w:shd w:fill="FFFFFF" w:val="clear"/>
            <w:tcMar>
              <w:top w:type="dxa" w:w="90"/>
              <w:left w:type="dxa" w:w="120"/>
              <w:bottom w:type="dxa" w:w="90"/>
              <w:right w:type="dxa" w:w="120"/>
            </w:tcMar>
          </w:tcPr>
          <w:p>
            <w:r>
              <w:rPr>
                <w:sz w:val="18"/>
                <w:szCs w:val="18"/>
              </w:rPr>
              <w:t xml:space="preserve">Chat remains available while call/video are paused; everything closes together only at the 24h window’s end</w:t>
            </w:r>
          </w:p>
        </w:tc>
      </w:tr>
      <w:tr>
        <w:tc>
          <w:tcPr>
            <w:tcW w:type="dxa" w:w="1700"/>
            <w:shd w:fill="F7F7F9" w:val="clear"/>
            <w:tcMar>
              <w:top w:type="dxa" w:w="90"/>
              <w:left w:type="dxa" w:w="120"/>
              <w:bottom w:type="dxa" w:w="90"/>
              <w:right w:type="dxa" w:w="120"/>
            </w:tcMar>
          </w:tcPr>
          <w:p>
            <w:r>
              <w:rPr>
                <w:sz w:val="18"/>
                <w:szCs w:val="18"/>
              </w:rPr>
              <w:t xml:space="preserve">Booking flow</w:t>
            </w:r>
          </w:p>
        </w:tc>
        <w:tc>
          <w:tcPr>
            <w:tcW w:type="dxa" w:w="7650"/>
            <w:shd w:fill="F7F7F9" w:val="clear"/>
            <w:tcMar>
              <w:top w:type="dxa" w:w="90"/>
              <w:left w:type="dxa" w:w="120"/>
              <w:bottom w:type="dxa" w:w="90"/>
              <w:right w:type="dxa" w:w="120"/>
            </w:tcMar>
          </w:tcPr>
          <w:p>
            <w:r>
              <w:rPr>
                <w:sz w:val="18"/>
                <w:szCs w:val="18"/>
              </w:rPr>
              <w:t xml:space="preserve">Tapping a slot chip on a consultant card selects both consultant and slot in one action</w:t>
            </w:r>
          </w:p>
        </w:tc>
      </w:tr>
      <w:tr>
        <w:tc>
          <w:tcPr>
            <w:tcW w:type="dxa" w:w="1700"/>
            <w:shd w:fill="FFFFFF" w:val="clear"/>
            <w:tcMar>
              <w:top w:type="dxa" w:w="90"/>
              <w:left w:type="dxa" w:w="120"/>
              <w:bottom w:type="dxa" w:w="90"/>
              <w:right w:type="dxa" w:w="120"/>
            </w:tcMar>
          </w:tcPr>
          <w:p>
            <w:r>
              <w:rPr>
                <w:sz w:val="18"/>
                <w:szCs w:val="18"/>
              </w:rPr>
              <w:t xml:space="preserve">Booking flow</w:t>
            </w:r>
          </w:p>
        </w:tc>
        <w:tc>
          <w:tcPr>
            <w:tcW w:type="dxa" w:w="7650"/>
            <w:shd w:fill="FFFFFF" w:val="clear"/>
            <w:tcMar>
              <w:top w:type="dxa" w:w="90"/>
              <w:left w:type="dxa" w:w="120"/>
              <w:bottom w:type="dxa" w:w="90"/>
              <w:right w:type="dxa" w:w="120"/>
            </w:tcMar>
          </w:tcPr>
          <w:p>
            <w:r>
              <w:rPr>
                <w:sz w:val="18"/>
                <w:szCs w:val="18"/>
              </w:rPr>
              <w:t xml:space="preserve">Patient search suggestions show Name + Age/Sex + Patient ID; new-patient booking generates a unique Patient ID</w:t>
            </w:r>
          </w:p>
        </w:tc>
      </w:tr>
      <w:tr>
        <w:tc>
          <w:tcPr>
            <w:tcW w:type="dxa" w:w="1700"/>
            <w:shd w:fill="F7F7F9" w:val="clear"/>
            <w:tcMar>
              <w:top w:type="dxa" w:w="90"/>
              <w:left w:type="dxa" w:w="120"/>
              <w:bottom w:type="dxa" w:w="90"/>
              <w:right w:type="dxa" w:w="120"/>
            </w:tcMar>
          </w:tcPr>
          <w:p>
            <w:r>
              <w:rPr>
                <w:sz w:val="18"/>
                <w:szCs w:val="18"/>
              </w:rPr>
              <w:t xml:space="preserve">Booking flow</w:t>
            </w:r>
          </w:p>
        </w:tc>
        <w:tc>
          <w:tcPr>
            <w:tcW w:type="dxa" w:w="7650"/>
            <w:shd w:fill="F7F7F9" w:val="clear"/>
            <w:tcMar>
              <w:top w:type="dxa" w:w="90"/>
              <w:left w:type="dxa" w:w="120"/>
              <w:bottom w:type="dxa" w:w="90"/>
              <w:right w:type="dxa" w:w="120"/>
            </w:tcMar>
          </w:tcPr>
          <w:p>
            <w:r>
              <w:rPr>
                <w:sz w:val="18"/>
                <w:szCs w:val="18"/>
              </w:rPr>
              <w:t xml:space="preserve">Allergy checkbox correctly shows/hides the Allergies field; Call-back Number is always requested fresh, never reused</w:t>
            </w:r>
          </w:p>
        </w:tc>
      </w:tr>
      <w:tr>
        <w:tc>
          <w:tcPr>
            <w:tcW w:type="dxa" w:w="1700"/>
            <w:shd w:fill="FFFFFF" w:val="clear"/>
            <w:tcMar>
              <w:top w:type="dxa" w:w="90"/>
              <w:left w:type="dxa" w:w="120"/>
              <w:bottom w:type="dxa" w:w="90"/>
              <w:right w:type="dxa" w:w="120"/>
            </w:tcMar>
          </w:tcPr>
          <w:p>
            <w:r>
              <w:rPr>
                <w:sz w:val="18"/>
                <w:szCs w:val="18"/>
              </w:rPr>
              <w:t xml:space="preserve">Booking flow</w:t>
            </w:r>
          </w:p>
        </w:tc>
        <w:tc>
          <w:tcPr>
            <w:tcW w:type="dxa" w:w="7650"/>
            <w:shd w:fill="FFFFFF" w:val="clear"/>
            <w:tcMar>
              <w:top w:type="dxa" w:w="90"/>
              <w:left w:type="dxa" w:w="120"/>
              <w:bottom w:type="dxa" w:w="90"/>
              <w:right w:type="dxa" w:w="120"/>
            </w:tcMar>
          </w:tcPr>
          <w:p>
            <w:r>
              <w:rPr>
                <w:sz w:val="18"/>
                <w:szCs w:val="18"/>
              </w:rPr>
              <w:t xml:space="preserve">Confirmation sheet states “postpaid, billed later”; no payment collection UI appears anywhere in the flow</w:t>
            </w:r>
          </w:p>
        </w:tc>
      </w:tr>
      <w:tr>
        <w:tc>
          <w:tcPr>
            <w:tcW w:type="dxa" w:w="1700"/>
            <w:shd w:fill="F7F7F9" w:val="clear"/>
            <w:tcMar>
              <w:top w:type="dxa" w:w="90"/>
              <w:left w:type="dxa" w:w="120"/>
              <w:bottom w:type="dxa" w:w="90"/>
              <w:right w:type="dxa" w:w="120"/>
            </w:tcMar>
          </w:tcPr>
          <w:p>
            <w:r>
              <w:rPr>
                <w:sz w:val="18"/>
                <w:szCs w:val="18"/>
              </w:rPr>
              <w:t xml:space="preserve">Booking flow</w:t>
            </w:r>
          </w:p>
        </w:tc>
        <w:tc>
          <w:tcPr>
            <w:tcW w:type="dxa" w:w="7650"/>
            <w:shd w:fill="F7F7F9" w:val="clear"/>
            <w:tcMar>
              <w:top w:type="dxa" w:w="90"/>
              <w:left w:type="dxa" w:w="120"/>
              <w:bottom w:type="dxa" w:w="90"/>
              <w:right w:type="dxa" w:w="120"/>
            </w:tcMar>
          </w:tcPr>
          <w:p>
            <w:r>
              <w:rPr>
                <w:sz w:val="18"/>
                <w:szCs w:val="18"/>
              </w:rPr>
              <w:t xml:space="preserve">Slot sheet shows only bookable slots: no past, already-booked, paused or overridden times; overlapping windows are merged; grouped Morning/Afternoon/Evening</w:t>
            </w:r>
          </w:p>
        </w:tc>
      </w:tr>
      <w:tr>
        <w:tc>
          <w:tcPr>
            <w:tcW w:type="dxa" w:w="1700"/>
            <w:shd w:fill="FFFFFF" w:val="clear"/>
            <w:tcMar>
              <w:top w:type="dxa" w:w="90"/>
              <w:left w:type="dxa" w:w="120"/>
              <w:bottom w:type="dxa" w:w="90"/>
              <w:right w:type="dxa" w:w="120"/>
            </w:tcMar>
          </w:tcPr>
          <w:p>
            <w:r>
              <w:rPr>
                <w:sz w:val="18"/>
                <w:szCs w:val="18"/>
              </w:rPr>
              <w:t xml:space="preserve">Booking flow</w:t>
            </w:r>
          </w:p>
        </w:tc>
        <w:tc>
          <w:tcPr>
            <w:tcW w:type="dxa" w:w="7650"/>
            <w:shd w:fill="FFFFFF" w:val="clear"/>
            <w:tcMar>
              <w:top w:type="dxa" w:w="90"/>
              <w:left w:type="dxa" w:w="120"/>
              <w:bottom w:type="dxa" w:w="90"/>
              <w:right w:type="dxa" w:w="120"/>
            </w:tcMar>
          </w:tcPr>
          <w:p>
            <w:r>
              <w:rPr>
                <w:sz w:val="18"/>
                <w:szCs w:val="18"/>
              </w:rPr>
              <w:t xml:space="preserve">Next-available chip books consultant + slot in one tap; card and “All slots ›” open the sheet; fully-booked consultants are not tappable and sort last</w:t>
            </w:r>
          </w:p>
        </w:tc>
      </w:tr>
      <w:tr>
        <w:tc>
          <w:tcPr>
            <w:tcW w:type="dxa" w:w="1700"/>
            <w:shd w:fill="F7F7F9" w:val="clear"/>
            <w:tcMar>
              <w:top w:type="dxa" w:w="90"/>
              <w:left w:type="dxa" w:w="120"/>
              <w:bottom w:type="dxa" w:w="90"/>
              <w:right w:type="dxa" w:w="120"/>
            </w:tcMar>
          </w:tcPr>
          <w:p>
            <w:r>
              <w:rPr>
                <w:sz w:val="18"/>
                <w:szCs w:val="18"/>
              </w:rPr>
              <w:t xml:space="preserve">Availability</w:t>
            </w:r>
          </w:p>
        </w:tc>
        <w:tc>
          <w:tcPr>
            <w:tcW w:type="dxa" w:w="7650"/>
            <w:shd w:fill="F7F7F9" w:val="clear"/>
            <w:tcMar>
              <w:top w:type="dxa" w:w="90"/>
              <w:left w:type="dxa" w:w="120"/>
              <w:bottom w:type="dxa" w:w="90"/>
              <w:right w:type="dxa" w:w="120"/>
            </w:tcMar>
          </w:tcPr>
          <w:p>
            <w:r>
              <w:rPr>
                <w:sz w:val="18"/>
                <w:szCs w:val="18"/>
              </w:rPr>
              <w:t xml:space="preserve">Multiple time windows per day; ‘Copy to all days’ propagates correctly and remains individually editable after</w:t>
            </w:r>
          </w:p>
        </w:tc>
      </w:tr>
      <w:tr>
        <w:tc>
          <w:tcPr>
            <w:tcW w:type="dxa" w:w="1700"/>
            <w:shd w:fill="FFFFFF" w:val="clear"/>
            <w:tcMar>
              <w:top w:type="dxa" w:w="90"/>
              <w:left w:type="dxa" w:w="120"/>
              <w:bottom w:type="dxa" w:w="90"/>
              <w:right w:type="dxa" w:w="120"/>
            </w:tcMar>
          </w:tcPr>
          <w:p>
            <w:r>
              <w:rPr>
                <w:sz w:val="18"/>
                <w:szCs w:val="18"/>
              </w:rPr>
              <w:t xml:space="preserve">Availability</w:t>
            </w:r>
          </w:p>
        </w:tc>
        <w:tc>
          <w:tcPr>
            <w:tcW w:type="dxa" w:w="7650"/>
            <w:shd w:fill="FFFFFF" w:val="clear"/>
            <w:tcMar>
              <w:top w:type="dxa" w:w="90"/>
              <w:left w:type="dxa" w:w="120"/>
              <w:bottom w:type="dxa" w:w="90"/>
              <w:right w:type="dxa" w:w="120"/>
            </w:tcMar>
          </w:tcPr>
          <w:p>
            <w:r>
              <w:rPr>
                <w:sz w:val="18"/>
                <w:szCs w:val="18"/>
              </w:rPr>
              <w:t xml:space="preserve">All seven days (Mon–Sun) are present; a change made here appears in the seeker’s bookable slots immediately</w:t>
            </w:r>
          </w:p>
        </w:tc>
      </w:tr>
      <w:tr>
        <w:tc>
          <w:tcPr>
            <w:tcW w:type="dxa" w:w="1700"/>
            <w:shd w:fill="F7F7F9" w:val="clear"/>
            <w:tcMar>
              <w:top w:type="dxa" w:w="90"/>
              <w:left w:type="dxa" w:w="120"/>
              <w:bottom w:type="dxa" w:w="90"/>
              <w:right w:type="dxa" w:w="120"/>
            </w:tcMar>
          </w:tcPr>
          <w:p>
            <w:r>
              <w:rPr>
                <w:sz w:val="18"/>
                <w:szCs w:val="18"/>
              </w:rPr>
              <w:t xml:space="preserve">Availability</w:t>
            </w:r>
          </w:p>
        </w:tc>
        <w:tc>
          <w:tcPr>
            <w:tcW w:type="dxa" w:w="7650"/>
            <w:shd w:fill="F7F7F9" w:val="clear"/>
            <w:tcMar>
              <w:top w:type="dxa" w:w="90"/>
              <w:left w:type="dxa" w:w="120"/>
              <w:bottom w:type="dxa" w:w="90"/>
              <w:right w:type="dxa" w:w="120"/>
            </w:tcMar>
          </w:tcPr>
          <w:p>
            <w:r>
              <w:rPr>
                <w:sz w:val="18"/>
                <w:szCs w:val="18"/>
              </w:rPr>
              <w:t xml:space="preserve">Long-press on a slot toggles a temporary disabled state distinct from permanent deletion</w:t>
            </w:r>
          </w:p>
        </w:tc>
      </w:tr>
      <w:tr>
        <w:tc>
          <w:tcPr>
            <w:tcW w:type="dxa" w:w="1700"/>
            <w:shd w:fill="FFFFFF" w:val="clear"/>
            <w:tcMar>
              <w:top w:type="dxa" w:w="90"/>
              <w:left w:type="dxa" w:w="120"/>
              <w:bottom w:type="dxa" w:w="90"/>
              <w:right w:type="dxa" w:w="120"/>
            </w:tcMar>
          </w:tcPr>
          <w:p>
            <w:r>
              <w:rPr>
                <w:sz w:val="18"/>
                <w:szCs w:val="18"/>
              </w:rPr>
              <w:t xml:space="preserve">Availability</w:t>
            </w:r>
          </w:p>
        </w:tc>
        <w:tc>
          <w:tcPr>
            <w:tcW w:type="dxa" w:w="7650"/>
            <w:shd w:fill="FFFFFF" w:val="clear"/>
            <w:tcMar>
              <w:top w:type="dxa" w:w="90"/>
              <w:left w:type="dxa" w:w="120"/>
              <w:bottom w:type="dxa" w:w="90"/>
              <w:right w:type="dxa" w:w="120"/>
            </w:tcMar>
          </w:tcPr>
          <w:p>
            <w:r>
              <w:rPr>
                <w:sz w:val="18"/>
                <w:szCs w:val="18"/>
              </w:rPr>
              <w:t xml:space="preserve">Pause Consultations is a single tap with no confirmation dialog; existing bookings are unaffected</w:t>
            </w:r>
          </w:p>
        </w:tc>
      </w:tr>
      <w:tr>
        <w:tc>
          <w:tcPr>
            <w:tcW w:type="dxa" w:w="1700"/>
            <w:shd w:fill="F7F7F9" w:val="clear"/>
            <w:tcMar>
              <w:top w:type="dxa" w:w="90"/>
              <w:left w:type="dxa" w:w="120"/>
              <w:bottom w:type="dxa" w:w="90"/>
              <w:right w:type="dxa" w:w="120"/>
            </w:tcMar>
          </w:tcPr>
          <w:p>
            <w:r>
              <w:rPr>
                <w:sz w:val="18"/>
                <w:szCs w:val="18"/>
              </w:rPr>
              <w:t xml:space="preserve">Billing</w:t>
            </w:r>
          </w:p>
        </w:tc>
        <w:tc>
          <w:tcPr>
            <w:tcW w:type="dxa" w:w="7650"/>
            <w:shd w:fill="F7F7F9" w:val="clear"/>
            <w:tcMar>
              <w:top w:type="dxa" w:w="90"/>
              <w:left w:type="dxa" w:w="120"/>
              <w:bottom w:type="dxa" w:w="90"/>
              <w:right w:type="dxa" w:w="120"/>
            </w:tcMar>
          </w:tcPr>
          <w:p>
            <w:r>
              <w:rPr>
                <w:sz w:val="18"/>
                <w:szCs w:val="18"/>
              </w:rPr>
              <w:t xml:space="preserve">Provider statistics and transaction amounts come from the backend, never calculated client-side</w:t>
            </w:r>
          </w:p>
        </w:tc>
      </w:tr>
      <w:tr>
        <w:tc>
          <w:tcPr>
            <w:tcW w:type="dxa" w:w="1700"/>
            <w:shd w:fill="FFFFFF" w:val="clear"/>
            <w:tcMar>
              <w:top w:type="dxa" w:w="90"/>
              <w:left w:type="dxa" w:w="120"/>
              <w:bottom w:type="dxa" w:w="90"/>
              <w:right w:type="dxa" w:w="120"/>
            </w:tcMar>
          </w:tcPr>
          <w:p>
            <w:r>
              <w:rPr>
                <w:sz w:val="18"/>
                <w:szCs w:val="18"/>
              </w:rPr>
              <w:t xml:space="preserve">My Profile</w:t>
            </w:r>
          </w:p>
        </w:tc>
        <w:tc>
          <w:tcPr>
            <w:tcW w:type="dxa" w:w="7650"/>
            <w:shd w:fill="FFFFFF" w:val="clear"/>
            <w:tcMar>
              <w:top w:type="dxa" w:w="90"/>
              <w:left w:type="dxa" w:w="120"/>
              <w:bottom w:type="dxa" w:w="90"/>
              <w:right w:type="dxa" w:w="120"/>
            </w:tcMar>
          </w:tcPr>
          <w:p>
            <w:r>
              <w:rPr>
                <w:sz w:val="18"/>
                <w:szCs w:val="18"/>
              </w:rPr>
              <w:t xml:space="preserve">Provider profile shows an Availability row that opens the full Availability screen; there is no standalone Available/Pause button on the profile</w:t>
            </w:r>
          </w:p>
        </w:tc>
      </w:tr>
      <w:tr>
        <w:tc>
          <w:tcPr>
            <w:tcW w:type="dxa" w:w="1700"/>
            <w:shd w:fill="F7F7F9" w:val="clear"/>
            <w:tcMar>
              <w:top w:type="dxa" w:w="90"/>
              <w:left w:type="dxa" w:w="120"/>
              <w:bottom w:type="dxa" w:w="90"/>
              <w:right w:type="dxa" w:w="120"/>
            </w:tcMar>
          </w:tcPr>
          <w:p>
            <w:r>
              <w:rPr>
                <w:sz w:val="18"/>
                <w:szCs w:val="18"/>
              </w:rPr>
              <w:t xml:space="preserve">My Profile</w:t>
            </w:r>
          </w:p>
        </w:tc>
        <w:tc>
          <w:tcPr>
            <w:tcW w:type="dxa" w:w="7650"/>
            <w:shd w:fill="F7F7F9" w:val="clear"/>
            <w:tcMar>
              <w:top w:type="dxa" w:w="90"/>
              <w:left w:type="dxa" w:w="120"/>
              <w:bottom w:type="dxa" w:w="90"/>
              <w:right w:type="dxa" w:w="120"/>
            </w:tcMar>
          </w:tcPr>
          <w:p>
            <w:r>
              <w:rPr>
                <w:sz w:val="18"/>
                <w:szCs w:val="18"/>
              </w:rPr>
              <w:t xml:space="preserve">Edit Profile saves all editable fields together; server validation errors show under the failing field; locked fields never appear in the form</w:t>
            </w:r>
          </w:p>
        </w:tc>
      </w:tr>
      <w:tr>
        <w:tc>
          <w:tcPr>
            <w:tcW w:type="dxa" w:w="1700"/>
            <w:shd w:fill="FFFFFF" w:val="clear"/>
            <w:tcMar>
              <w:top w:type="dxa" w:w="90"/>
              <w:left w:type="dxa" w:w="120"/>
              <w:bottom w:type="dxa" w:w="90"/>
              <w:right w:type="dxa" w:w="120"/>
            </w:tcMar>
          </w:tcPr>
          <w:p>
            <w:r>
              <w:rPr>
                <w:sz w:val="18"/>
                <w:szCs w:val="18"/>
              </w:rPr>
              <w:t xml:space="preserve">Availability</w:t>
            </w:r>
          </w:p>
        </w:tc>
        <w:tc>
          <w:tcPr>
            <w:tcW w:type="dxa" w:w="7650"/>
            <w:shd w:fill="FFFFFF" w:val="clear"/>
            <w:tcMar>
              <w:top w:type="dxa" w:w="90"/>
              <w:left w:type="dxa" w:w="120"/>
              <w:bottom w:type="dxa" w:w="90"/>
              <w:right w:type="dxa" w:w="120"/>
            </w:tcMar>
          </w:tcPr>
          <w:p>
            <w:r>
              <w:rPr>
                <w:sz w:val="18"/>
                <w:szCs w:val="18"/>
              </w:rPr>
              <w:t xml:space="preserve">Every change (window add/edit/delete, day switch, copy to all days, pause) saves immediately; a failed save reverts the row with an error message</w:t>
            </w:r>
          </w:p>
        </w:tc>
      </w:tr>
      <w:tr>
        <w:tc>
          <w:tcPr>
            <w:tcW w:type="dxa" w:w="1700"/>
            <w:shd w:fill="F7F7F9" w:val="clear"/>
            <w:tcMar>
              <w:top w:type="dxa" w:w="90"/>
              <w:left w:type="dxa" w:w="120"/>
              <w:bottom w:type="dxa" w:w="90"/>
              <w:right w:type="dxa" w:w="120"/>
            </w:tcMar>
          </w:tcPr>
          <w:p>
            <w:r>
              <w:rPr>
                <w:sz w:val="18"/>
                <w:szCs w:val="18"/>
              </w:rPr>
              <w:t xml:space="preserve">Availability</w:t>
            </w:r>
          </w:p>
        </w:tc>
        <w:tc>
          <w:tcPr>
            <w:tcW w:type="dxa" w:w="7650"/>
            <w:shd w:fill="F7F7F9" w:val="clear"/>
            <w:tcMar>
              <w:top w:type="dxa" w:w="90"/>
              <w:left w:type="dxa" w:w="120"/>
              <w:bottom w:type="dxa" w:w="90"/>
              <w:right w:type="dxa" w:w="120"/>
            </w:tcMar>
          </w:tcPr>
          <w:p>
            <w:r>
              <w:rPr>
                <w:sz w:val="18"/>
                <w:szCs w:val="18"/>
              </w:rPr>
              <w:t xml:space="preserve">A window cannot end before it starts; overlapping windows never produce duplicate slots for seekers</w:t>
            </w:r>
          </w:p>
        </w:tc>
      </w:tr>
      <w:tr>
        <w:tc>
          <w:tcPr>
            <w:tcW w:type="dxa" w:w="1700"/>
            <w:shd w:fill="FFFFFF" w:val="clear"/>
            <w:tcMar>
              <w:top w:type="dxa" w:w="90"/>
              <w:left w:type="dxa" w:w="120"/>
              <w:bottom w:type="dxa" w:w="90"/>
              <w:right w:type="dxa" w:w="120"/>
            </w:tcMar>
          </w:tcPr>
          <w:p>
            <w:r>
              <w:rPr>
                <w:sz w:val="18"/>
                <w:szCs w:val="18"/>
              </w:rPr>
              <w:t xml:space="preserve">My Profile</w:t>
            </w:r>
          </w:p>
        </w:tc>
        <w:tc>
          <w:tcPr>
            <w:tcW w:type="dxa" w:w="7650"/>
            <w:shd w:fill="FFFFFF" w:val="clear"/>
            <w:tcMar>
              <w:top w:type="dxa" w:w="90"/>
              <w:left w:type="dxa" w:w="120"/>
              <w:bottom w:type="dxa" w:w="90"/>
              <w:right w:type="dxa" w:w="120"/>
            </w:tcMar>
          </w:tcPr>
          <w:p>
            <w:r>
              <w:rPr>
                <w:sz w:val="18"/>
                <w:szCs w:val="18"/>
              </w:rPr>
              <w:t xml:space="preserve">Locked fields (Registration Number, Hospital Name, etc.) are absent from the Edit form entirely, not merely disabled</w:t>
            </w:r>
          </w:p>
        </w:tc>
      </w:tr>
      <w:tr>
        <w:tc>
          <w:tcPr>
            <w:tcW w:type="dxa" w:w="1700"/>
            <w:shd w:fill="F7F7F9" w:val="clear"/>
            <w:tcMar>
              <w:top w:type="dxa" w:w="90"/>
              <w:left w:type="dxa" w:w="120"/>
              <w:bottom w:type="dxa" w:w="90"/>
              <w:right w:type="dxa" w:w="120"/>
            </w:tcMar>
          </w:tcPr>
          <w:p>
            <w:r>
              <w:rPr>
                <w:sz w:val="18"/>
                <w:szCs w:val="18"/>
              </w:rPr>
              <w:t xml:space="preserve">My Profile</w:t>
            </w:r>
          </w:p>
        </w:tc>
        <w:tc>
          <w:tcPr>
            <w:tcW w:type="dxa" w:w="7650"/>
            <w:shd w:fill="F7F7F9" w:val="clear"/>
            <w:tcMar>
              <w:top w:type="dxa" w:w="90"/>
              <w:left w:type="dxa" w:w="120"/>
              <w:bottom w:type="dxa" w:w="90"/>
              <w:right w:type="dxa" w:w="120"/>
            </w:tcMar>
          </w:tcPr>
          <w:p>
            <w:r>
              <w:rPr>
                <w:sz w:val="18"/>
                <w:szCs w:val="18"/>
              </w:rPr>
              <w:t xml:space="preserve">Seeker’s profile represents the hospital (name/location in the hero), never an individual staff member</w:t>
            </w:r>
          </w:p>
        </w:tc>
      </w:tr>
      <w:tr>
        <w:tc>
          <w:tcPr>
            <w:tcW w:type="dxa" w:w="1700"/>
            <w:shd w:fill="FFFFFF" w:val="clear"/>
            <w:tcMar>
              <w:top w:type="dxa" w:w="90"/>
              <w:left w:type="dxa" w:w="120"/>
              <w:bottom w:type="dxa" w:w="90"/>
              <w:right w:type="dxa" w:w="120"/>
            </w:tcMar>
          </w:tcPr>
          <w:p>
            <w:r>
              <w:rPr>
                <w:sz w:val="18"/>
                <w:szCs w:val="18"/>
              </w:rPr>
              <w:t xml:space="preserve">My Profile</w:t>
            </w:r>
          </w:p>
        </w:tc>
        <w:tc>
          <w:tcPr>
            <w:tcW w:type="dxa" w:w="7650"/>
            <w:shd w:fill="FFFFFF" w:val="clear"/>
            <w:tcMar>
              <w:top w:type="dxa" w:w="90"/>
              <w:left w:type="dxa" w:w="120"/>
              <w:bottom w:type="dxa" w:w="90"/>
              <w:right w:type="dxa" w:w="120"/>
            </w:tcMar>
          </w:tcPr>
          <w:p>
            <w:r>
              <w:rPr>
                <w:sz w:val="18"/>
                <w:szCs w:val="18"/>
              </w:rPr>
              <w:t xml:space="preserve">Portfolio’s free-text field and photo row are independently editable — not coupled as one-photo-per-entry</w:t>
            </w:r>
          </w:p>
        </w:tc>
      </w:tr>
      <w:tr>
        <w:tc>
          <w:tcPr>
            <w:tcW w:type="dxa" w:w="1700"/>
            <w:shd w:fill="F7F7F9" w:val="clear"/>
            <w:tcMar>
              <w:top w:type="dxa" w:w="90"/>
              <w:left w:type="dxa" w:w="120"/>
              <w:bottom w:type="dxa" w:w="90"/>
              <w:right w:type="dxa" w:w="120"/>
            </w:tcMar>
          </w:tcPr>
          <w:p>
            <w:r>
              <w:rPr>
                <w:sz w:val="18"/>
                <w:szCs w:val="18"/>
              </w:rPr>
              <w:t xml:space="preserve">Notifications</w:t>
            </w:r>
          </w:p>
        </w:tc>
        <w:tc>
          <w:tcPr>
            <w:tcW w:type="dxa" w:w="7650"/>
            <w:shd w:fill="F7F7F9" w:val="clear"/>
            <w:tcMar>
              <w:top w:type="dxa" w:w="90"/>
              <w:left w:type="dxa" w:w="120"/>
              <w:bottom w:type="dxa" w:w="90"/>
              <w:right w:type="dxa" w:w="120"/>
            </w:tcMar>
          </w:tcPr>
          <w:p>
            <w:r>
              <w:rPr>
                <w:sz w:val="18"/>
                <w:szCs w:val="18"/>
              </w:rPr>
              <w:t xml:space="preserve">Push and in-app notifications both fire for every category in Section 8.5, including the two new ones</w:t>
            </w:r>
          </w:p>
        </w:tc>
      </w:tr>
      <w:tr>
        <w:tc>
          <w:tcPr>
            <w:tcW w:type="dxa" w:w="1700"/>
            <w:shd w:fill="FFFFFF" w:val="clear"/>
            <w:tcMar>
              <w:top w:type="dxa" w:w="90"/>
              <w:left w:type="dxa" w:w="120"/>
              <w:bottom w:type="dxa" w:w="90"/>
              <w:right w:type="dxa" w:w="120"/>
            </w:tcMar>
          </w:tcPr>
          <w:p>
            <w:r>
              <w:rPr>
                <w:sz w:val="18"/>
                <w:szCs w:val="18"/>
              </w:rPr>
              <w:t xml:space="preserve">Security</w:t>
            </w:r>
          </w:p>
        </w:tc>
        <w:tc>
          <w:tcPr>
            <w:tcW w:type="dxa" w:w="7650"/>
            <w:shd w:fill="FFFFFF" w:val="clear"/>
            <w:tcMar>
              <w:top w:type="dxa" w:w="90"/>
              <w:left w:type="dxa" w:w="120"/>
              <w:bottom w:type="dxa" w:w="90"/>
              <w:right w:type="dxa" w:w="120"/>
            </w:tcMar>
          </w:tcPr>
          <w:p>
            <w:r>
              <w:rPr>
                <w:sz w:val="18"/>
                <w:szCs w:val="18"/>
              </w:rPr>
              <w:t xml:space="preserve">Server-side authorization blocks unauthorized patient/consultation/file access regardless of client UI state</w:t>
            </w:r>
          </w:p>
        </w:tc>
      </w:tr>
      <w:tr>
        <w:tc>
          <w:tcPr>
            <w:tcW w:type="dxa" w:w="1700"/>
            <w:shd w:fill="F7F7F9" w:val="clear"/>
            <w:tcMar>
              <w:top w:type="dxa" w:w="90"/>
              <w:left w:type="dxa" w:w="120"/>
              <w:bottom w:type="dxa" w:w="90"/>
              <w:right w:type="dxa" w:w="120"/>
            </w:tcMar>
          </w:tcPr>
          <w:p>
            <w:r>
              <w:rPr>
                <w:sz w:val="18"/>
                <w:szCs w:val="18"/>
              </w:rPr>
              <w:t xml:space="preserve">Network states</w:t>
            </w:r>
          </w:p>
        </w:tc>
        <w:tc>
          <w:tcPr>
            <w:tcW w:type="dxa" w:w="7650"/>
            <w:shd w:fill="F7F7F9" w:val="clear"/>
            <w:tcMar>
              <w:top w:type="dxa" w:w="90"/>
              <w:left w:type="dxa" w:w="120"/>
              <w:bottom w:type="dxa" w:w="90"/>
              <w:right w:type="dxa" w:w="120"/>
            </w:tcMar>
          </w:tcPr>
          <w:p>
            <w:r>
              <w:rPr>
                <w:sz w:val="18"/>
                <w:szCs w:val="18"/>
              </w:rPr>
              <w:t xml:space="preserve">Loading, empty, and error states with Retry appear on every network-backed screen</w:t>
            </w:r>
          </w:p>
        </w:tc>
      </w:tr>
    </w:tbl>
    <w:p>
      <w:r>
        <w:br w:type="page"/>
      </w:r>
    </w:p>
    <w:p>
      <w:pPr>
        <w:pStyle w:val="Heading1"/>
        <w:spacing w:after="200" w:before="400"/>
      </w:pPr>
      <w:r>
        <w:t xml:space="preserve">16. End-to-End Journey Summary</w:t>
      </w:r>
    </w:p>
    <w:p>
      <w:pPr>
        <w:spacing w:after="120"/>
      </w:pPr>
      <w:r>
        <w:rPr>
          <w:b w:val="false"/>
          <w:bCs w:val="false"/>
          <w:i w:val="false"/>
          <w:iCs w:val="false"/>
        </w:rPr>
        <w:t xml:space="preserve">Rewritten from the original document’s summary, which described a single-call-then-Documentation lifecycle. This version reflects the continuous 24-hour engagement window (Section 4.1) throughout.</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Authenticate → Accept Terms → Dashboard → tap a consultation row → expand reveals Call / Video / Case File / Advise → Case File (Chat + Vitals + Clinical Summary + Patient Profile + Clinical Advisory, one merged screen).</w:t>
      </w:r>
    </w:p>
    <w:p>
      <w:pPr>
        <w:pStyle w:val="ListParagraph"/>
        <w:numPr>
          <w:ilvl w:val="0"/>
          <w:numId w:val="2"/>
        </w:numPr>
        <w:spacing w:after="60"/>
      </w:pPr>
      <w:r>
        <w:rPr>
          <w:b w:val="false"/>
          <w:bCs w:val="false"/>
        </w:rPr>
        <w:t xml:space="preserve">Within the 24-hour Ongoing window: call, video, and chat all remain available; the follow-up word-toggle can mute the Seeker’s ability to call/video at any point, reversibly, without affecting chat.</w:t>
      </w:r>
    </w:p>
    <w:p>
      <w:pPr>
        <w:pStyle w:val="ListParagraph"/>
        <w:numPr>
          <w:ilvl w:val="0"/>
          <w:numId w:val="2"/>
        </w:numPr>
        <w:spacing w:after="60"/>
      </w:pPr>
      <w:r>
        <w:rPr>
          <w:b w:val="false"/>
          <w:bCs w:val="false"/>
        </w:rPr>
        <w:t xml:space="preserve">At any point during the window: compose a Clinical Advisory entry (chat pencil icon or Dashboard action) — it appends live to both the chat feed and the permanent trail. There is no discrete ‘Documentation’ step — Clinical Advisory absorbs that job (Section 8, Open Decision, still to be explicitly confirmed).</w:t>
      </w:r>
    </w:p>
    <w:p>
      <w:pPr>
        <w:pStyle w:val="ListParagraph"/>
        <w:numPr>
          <w:ilvl w:val="0"/>
          <w:numId w:val="2"/>
        </w:numPr>
        <w:spacing w:after="60"/>
      </w:pPr>
      <w:r>
        <w:rPr>
          <w:b w:val="false"/>
          <w:bCs w:val="false"/>
        </w:rPr>
        <w:t xml:space="preserve">At the 24-hour mark: the window closes, call/video/chat all become unavailable simultaneously, and the record (Case File, Clinical Summary, Vitals flowsheet, Clinical Advisory trail) remains permanently viewable, read-only.</w:t>
      </w:r>
    </w:p>
    <w:p>
      <w:pPr>
        <w:pStyle w:val="ListParagraph"/>
        <w:numPr>
          <w:ilvl w:val="0"/>
          <w:numId w:val="2"/>
        </w:numPr>
        <w:spacing w:after="60"/>
      </w:pPr>
      <w:r>
        <w:rPr>
          <w:b w:val="false"/>
          <w:bCs w:val="false"/>
        </w:rPr>
        <w:t xml:space="preserve">Ongoing account management: Availability + Pause Consultations, Billing, My Profile, Notifications — all reachable from the bottom navigation at any time, independent of any specific consultation’s state.</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Authenticate → Accept Terms → Dashboard → New Consultation → Explore Consultants (filter by specialty + today’s availability) → tap a slot chip (selects consultant + slot together) → Patient &amp; Clinical Details (search existing or create new patient inline, presenting complaint, attachments) → Book → confirmation sheet (postpaid, irreversibility warning) → Consultation Scheduled — chat is open immediately.</w:t>
      </w:r>
    </w:p>
    <w:p>
      <w:pPr>
        <w:pStyle w:val="ListParagraph"/>
        <w:numPr>
          <w:ilvl w:val="0"/>
          <w:numId w:val="2"/>
        </w:numPr>
        <w:spacing w:after="60"/>
      </w:pPr>
      <w:r>
        <w:rPr>
          <w:b w:val="false"/>
          <w:bCs w:val="false"/>
        </w:rPr>
        <w:t xml:space="preserve">Within the 24-hour window: call, video, and chat available by default; Add Vitals and the attach/flag chat flow are Seeker-specific actions inside Case File; a new Provider Clinical Advisory triggers an unread badge until opened.</w:t>
      </w:r>
    </w:p>
    <w:p>
      <w:pPr>
        <w:pStyle w:val="ListParagraph"/>
        <w:numPr>
          <w:ilvl w:val="0"/>
          <w:numId w:val="2"/>
        </w:numPr>
        <w:spacing w:after="60"/>
      </w:pPr>
      <w:r>
        <w:rPr>
          <w:b w:val="false"/>
          <w:bCs w:val="false"/>
        </w:rPr>
        <w:t xml:space="preserve">If the Provider pauses follow-up access: the Seeker’s Call/Video icons silently disable — no explanatory label anywhere — while chat remains fully available.</w:t>
      </w:r>
    </w:p>
    <w:p>
      <w:pPr>
        <w:pStyle w:val="ListParagraph"/>
        <w:numPr>
          <w:ilvl w:val="0"/>
          <w:numId w:val="2"/>
        </w:numPr>
        <w:spacing w:after="60"/>
      </w:pPr>
      <w:r>
        <w:rPr>
          <w:b w:val="false"/>
          <w:bCs w:val="false"/>
        </w:rPr>
        <w:t xml:space="preserve">At the 24-hour mark: everything closes simultaneously, same as Provider’s side; the record remains permanently viewable via Case File, Clinical Summary, and the Clinical Advisory trail (view + download only, never edited by Seeker).</w:t>
      </w:r>
    </w:p>
    <w:p>
      <w:pPr>
        <w:pStyle w:val="ListParagraph"/>
        <w:numPr>
          <w:ilvl w:val="0"/>
          <w:numId w:val="2"/>
        </w:numPr>
        <w:spacing w:after="60"/>
      </w:pPr>
      <w:r>
        <w:rPr>
          <w:b w:val="false"/>
          <w:bCs w:val="false"/>
        </w:rPr>
        <w:t xml:space="preserve">There is no cancellation step anywhere in this journey, and no emergency-consultation mode — both explicitly excluded per product decision.</w:t>
      </w:r>
    </w:p>
    <w:p>
      <w:r>
        <w:br w:type="page"/>
      </w:r>
    </w:p>
    <w:p>
      <w:pPr>
        <w:pStyle w:val="Heading1"/>
        <w:spacing w:after="200" w:before="400"/>
      </w:pPr>
      <w:r>
        <w:t xml:space="preserve">17. Final Product Principle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80"/>
            </w:pPr>
            <w:r>
              <w:rPr>
                <w:b/>
                <w:bCs/>
                <w:color w:val="2A2A2A"/>
                <w:sz w:val="24"/>
                <w:szCs w:val="24"/>
              </w:rPr>
              <w:t xml:space="preserve">Perfusion is not a booking-and-call app.</w:t>
            </w:r>
          </w:p>
          <w:p>
            <w:pPr>
              <w:spacing w:after="80"/>
            </w:pPr>
            <w:r>
              <w:rPr>
                <w:b w:val="false"/>
                <w:bCs w:val="false"/>
                <w:color w:val="2A2A2A"/>
                <w:sz w:val="20"/>
                <w:szCs w:val="20"/>
              </w:rPr>
              <w:t xml:space="preserve">The core product relationship is patient-centric and continuous: Patient → Engagement Window → Vitals &amp; Clinical Material → Communication → Clinical Advisory → Longitudinal History.</w:t>
            </w:r>
          </w:p>
          <w:p>
            <w:pPr>
              <w:spacing w:after="0"/>
            </w:pPr>
            <w:r>
              <w:rPr>
                <w:b w:val="false"/>
                <w:bCs w:val="false"/>
                <w:color w:val="2A2A2A"/>
                <w:sz w:val="20"/>
                <w:szCs w:val="20"/>
              </w:rPr>
              <w:t xml:space="preserve">Every screen in this document exists to serve that continuity while giving each role only the actions and information authorized for it. Where a design decision in this document seems to add friction, check whether it is protecting that continuity (Case File’s merged structure, the staleness dots, the wrap-not-truncate rule) before removing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DB2841"/>
      <w:sz w:val="32"/>
      <w:szCs w:val="32"/>
    </w:rPr>
  </w:style>
  <w:style w:type="paragraph" w:styleId="Heading2">
    <w:name w:val="Heading 2"/>
    <w:basedOn w:val="Normal"/>
    <w:next w:val="Normal"/>
    <w:qFormat/>
    <w:pPr>
      <w:spacing w:after="140" w:before="280"/>
    </w:pPr>
    <w:rPr>
      <w:b/>
      <w:bCs/>
      <w:color w:val="2A2A2A"/>
      <w:sz w:val="26"/>
      <w:szCs w:val="26"/>
    </w:rPr>
  </w:style>
  <w:style w:type="paragraph" w:styleId="Heading3">
    <w:name w:val="Heading 3"/>
    <w:basedOn w:val="Normal"/>
    <w:next w:val="Normal"/>
    <w:qFormat/>
    <w:pPr>
      <w:spacing w:after="100" w:before="200"/>
    </w:pPr>
    <w:rPr>
      <w:b/>
      <w:bCs/>
      <w:color w:val="2A2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2026-09-28T13:24:01.252Z</dcterms:created>
  <dcterms:modified xsi:type="dcterms:W3CDTF">2026-09-28T13:24:01.291Z</dcterms:modified>
</cp:coreProperties>
</file>

<file path=docProps/custom.xml><?xml version="1.0" encoding="utf-8"?>
<Properties xmlns="http://schemas.openxmlformats.org/officeDocument/2006/custom-properties" xmlns:vt="http://schemas.openxmlformats.org/officeDocument/2006/docPropsVTypes"/>
</file>