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F0654A"/>
          <w:sz w:val="44"/>
          <w:szCs w:val="44"/>
        </w:rPr>
        <w:t xml:space="preserve">Perfusion Mobile — UI/UX Design System</w:t>
      </w:r>
    </w:p>
    <w:p>
      <w:pPr>
        <w:spacing w:after="320"/>
      </w:pPr>
      <w:r>
        <w:rPr>
          <w:i/>
          <w:iCs/>
          <w:color w:val="6B5F58"/>
          <w:sz w:val="22"/>
          <w:szCs w:val="22"/>
        </w:rPr>
        <w:t xml:space="preserve">A standalone companion to the Reconciled Specification. That document defines what every screen does; this one defines what everything should look and feel like.</w:t>
      </w:r>
    </w:p>
    <w:p>
      <w:pPr>
        <w:pStyle w:val="Heading1"/>
        <w:spacing w:after="160" w:before="320"/>
      </w:pPr>
      <w:r>
        <w:t xml:space="preserve">1. Design Philosophy</w:t>
      </w:r>
    </w:p>
    <w:p>
      <w:pPr>
        <w:spacing w:after="140"/>
      </w:pPr>
      <w:r>
        <w:rPr>
          <w:color w:val="2E2220"/>
          <w:sz w:val="22"/>
          <w:szCs w:val="22"/>
        </w:rPr>
        <w:t xml:space="preserve">This app is used daily by individual doctors, not procured once by a hospital IT department and tolerated by staff. The audience is comfortable with WhatsApp, Instagram, Blinkit, Swiggy, Zomato, Uber and Rapido — not with enterprise software. They are largely not highly tech-confident, often short on time, and include a meaningful older-generation population. The product must feel like an app people choose to open, not a utility they are required to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0C9BD" w:sz="4"/>
              <w:left w:val="single" w:color="F0C9BD" w:sz="4"/>
              <w:bottom w:val="single" w:color="F0C9BD" w:sz="4"/>
              <w:right w:val="single" w:color="F0C9BD" w:sz="4"/>
            </w:tcBorders>
            <w:shd w:fill="FBEDE8" w:val="clear"/>
            <w:tcMar>
              <w:top w:type="dxa" w:w="160"/>
              <w:left w:type="dxa" w:w="200"/>
              <w:bottom w:type="dxa" w:w="160"/>
              <w:right w:type="dxa" w:w="200"/>
            </w:tcMar>
          </w:tcPr>
          <w:p>
            <w:pPr>
              <w:spacing w:after="60"/>
            </w:pPr>
            <w:r>
              <w:rPr>
                <w:b/>
                <w:bCs/>
                <w:color w:val="2E2220"/>
                <w:sz w:val="22"/>
                <w:szCs w:val="22"/>
              </w:rPr>
              <w:t xml:space="preserve">Governing reference case: Marrow (NEET-PG prep) won a technically comparable market almost entirely on interface quality against poorly-designed incumbents (DAMS, Prepladder, Cerebellum). This is direct evidence that visible design quality, not just feature completeness, is a real competitive lever for this exact population. The lesson is the strategy — earn trust through production value — not Marrow's specific 2015-era visual choices, which are dated and are not being copied.</w:t>
            </w:r>
          </w:p>
        </w:tc>
      </w:tr>
    </w:tbl>
    <w:p>
      <w:pPr>
        <w:spacing w:after="60"/>
      </w:pPr>
    </w:p>
    <w:p>
      <w:pPr>
        <w:pStyle w:val="Heading2"/>
        <w:spacing w:after="120" w:before="260"/>
      </w:pPr>
      <w:r>
        <w:t xml:space="preserve">1.1 What this means concretely</w:t>
      </w:r>
    </w:p>
    <w:p>
      <w:pPr>
        <w:pStyle w:val="ListParagraph"/>
        <w:numPr>
          <w:ilvl w:val="0"/>
          <w:numId w:val="1"/>
        </w:numPr>
        <w:spacing w:after="90"/>
      </w:pPr>
      <w:r>
        <w:rPr>
          <w:color w:val="2E2220"/>
          <w:sz w:val="22"/>
          <w:szCs w:val="22"/>
        </w:rPr>
        <w:t xml:space="preserve">There is no separate “clinical, restrained” register and “warm, consumer” register. One warm, tactile design quality bar applies everywhere in the app, including Case File, vitals, and the dashboard. An earlier draft of this system proposed splitting the two; that split has been explicitly rejected.</w:t>
      </w:r>
    </w:p>
    <w:p>
      <w:pPr>
        <w:pStyle w:val="ListParagraph"/>
        <w:numPr>
          <w:ilvl w:val="0"/>
          <w:numId w:val="1"/>
        </w:numPr>
        <w:spacing w:after="90"/>
      </w:pPr>
      <w:r>
        <w:rPr>
          <w:color w:val="2E2220"/>
          <w:sz w:val="22"/>
          <w:szCs w:val="22"/>
        </w:rPr>
        <w:t xml:space="preserve">Case File’s chat should look and feel like a chat app people already enjoy using — real bubbles, avatars, comfortable spacing — not a clinical log with a text box attached.</w:t>
      </w:r>
    </w:p>
    <w:p>
      <w:pPr>
        <w:pStyle w:val="ListParagraph"/>
        <w:numPr>
          <w:ilvl w:val="0"/>
          <w:numId w:val="1"/>
        </w:numPr>
        <w:spacing w:after="90"/>
      </w:pPr>
      <w:r>
        <w:rPr>
          <w:color w:val="2E2220"/>
          <w:sz w:val="22"/>
          <w:szCs w:val="22"/>
        </w:rPr>
        <w:t xml:space="preserve">The target mental model is “clinical WhatsApp”: the tool doctors use to discuss a shared patient, not a hospital information system.</w:t>
      </w:r>
    </w:p>
    <w:p>
      <w:pPr>
        <w:pStyle w:val="ListParagraph"/>
        <w:numPr>
          <w:ilvl w:val="0"/>
          <w:numId w:val="1"/>
        </w:numPr>
        <w:spacing w:after="90"/>
      </w:pPr>
      <w:r>
        <w:rPr>
          <w:color w:val="2E2220"/>
          <w:sz w:val="22"/>
          <w:szCs w:val="22"/>
        </w:rPr>
        <w:t xml:space="preserve">Habit formation is a primary design goal, not a side effect. Every screen should be evaluated partly on whether it makes a doctor want to open the app again, not only on whether it displays the correct data.</w:t>
      </w:r>
    </w:p>
    <w:p>
      <w:pPr>
        <w:pStyle w:val="Heading2"/>
        <w:spacing w:after="120" w:before="260"/>
      </w:pPr>
      <w:r>
        <w:t xml:space="preserve">1.2 The one deliberate exception</w:t>
      </w:r>
    </w:p>
    <w:p>
      <w:pPr>
        <w:spacing w:after="140"/>
      </w:pPr>
      <w:r>
        <w:rPr>
          <w:color w:val="2E2220"/>
          <w:sz w:val="22"/>
          <w:szCs w:val="22"/>
        </w:rPr>
        <w:t xml:space="preserve">Brand color stays reserved for a live/urgent call state and primary actions, rather than being used as a full-bleed fill everywhere. This is a craft argument, not a clinical-safety argument: a color used constantly for everything stops signaling anything and starts looking cheap, the same reason WhatsApp keeps its green to specific moments rather than painting every screen in it. Status colors (Scheduled, Completed, Cancelled) remain small functional signals — they are not the “restraint” being discussed here and may stay largely as designed.</w:t>
      </w:r>
    </w:p>
    <w:p>
      <w:r>
        <w:br w:type="page"/>
      </w:r>
    </w:p>
    <w:p>
      <w:pPr>
        <w:pStyle w:val="Heading1"/>
        <w:spacing w:after="160" w:before="320"/>
      </w:pPr>
      <w:r>
        <w:t xml:space="preserve">2. Color System — Direction B, “Coral + Plum” (FINAL)</w:t>
      </w:r>
    </w:p>
    <w:p>
      <w:pPr>
        <w:spacing w:after="140"/>
      </w:pPr>
      <w:r>
        <w:rPr>
          <w:color w:val="2E2220"/>
          <w:sz w:val="22"/>
          <w:szCs w:val="22"/>
        </w:rPr>
        <w:t xml:space="preserve">Selected after a live, interactive comparison of four directions (Confident Red, Coral+Plum, Deep Violet+Amber, and Brand Brick sampled directly from Perfusion’s own marketing poster). Confident Red and Brand Brick read as too intense for a screen viewed dozens of times a day; Deep Violet was too large a brand departure. Coral+Plum was chosen specifically because it felt soothing rather than intense — the deciding criterion, in the founder’s own words, was that this is the palette she wants to keep looking at.</w:t>
      </w:r>
    </w:p>
    <w:p>
      <w:pPr>
        <w:pStyle w:val="Heading2"/>
        <w:spacing w:after="120" w:before="260"/>
      </w:pPr>
      <w:r>
        <w:t xml:space="preserve">2.1 Core tokens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50"/>
      </w:tblGrid>
      <w:tr>
        <w:tc>
          <w:tcPr>
            <w:tcW w:type="dxa" w:w="2000"/>
            <w:shd w:fill="2E2220" w:val="clear"/>
            <w:tcMar>
              <w:top w:type="dxa" w:w="100"/>
              <w:left w:type="dxa" w:w="120"/>
              <w:bottom w:type="dxa" w:w="100"/>
              <w:right w:type="dxa" w:w="120"/>
            </w:tcMar>
          </w:tcPr>
          <w:p>
            <w:r>
              <w:rPr>
                <w:b/>
                <w:bCs/>
                <w:color w:val="FFFFFF"/>
                <w:sz w:val="19"/>
                <w:szCs w:val="19"/>
              </w:rPr>
              <w:t xml:space="preserve">TOKEN</w:t>
            </w:r>
          </w:p>
        </w:tc>
        <w:tc>
          <w:tcPr>
            <w:tcW w:type="dxa" w:w="1600"/>
            <w:shd w:fill="2E2220" w:val="clear"/>
            <w:tcMar>
              <w:top w:type="dxa" w:w="100"/>
              <w:left w:type="dxa" w:w="120"/>
              <w:bottom w:type="dxa" w:w="100"/>
              <w:right w:type="dxa" w:w="120"/>
            </w:tcMar>
          </w:tcPr>
          <w:p>
            <w:r>
              <w:rPr>
                <w:b/>
                <w:bCs/>
                <w:color w:val="FFFFFF"/>
                <w:sz w:val="19"/>
                <w:szCs w:val="19"/>
              </w:rPr>
              <w:t xml:space="preserve">HEX</w:t>
            </w:r>
          </w:p>
        </w:tc>
        <w:tc>
          <w:tcPr>
            <w:tcW w:type="dxa" w:w="5750"/>
            <w:shd w:fill="2E2220" w:val="clear"/>
            <w:tcMar>
              <w:top w:type="dxa" w:w="100"/>
              <w:left w:type="dxa" w:w="120"/>
              <w:bottom w:type="dxa" w:w="100"/>
              <w:right w:type="dxa" w:w="120"/>
            </w:tcMar>
          </w:tcPr>
          <w:p>
            <w:r>
              <w:rPr>
                <w:b/>
                <w:bCs/>
                <w:color w:val="FFFFFF"/>
                <w:sz w:val="19"/>
                <w:szCs w:val="19"/>
              </w:rPr>
              <w:t xml:space="preserve">USAGE</w:t>
            </w:r>
          </w:p>
        </w:tc>
      </w:tr>
      <w:tr>
        <w:tc>
          <w:tcPr>
            <w:tcW w:type="dxa" w:w="2000"/>
            <w:shd w:fill="FFFFFF" w:val="clear"/>
            <w:tcMar>
              <w:top w:type="dxa" w:w="90"/>
              <w:left w:type="dxa" w:w="120"/>
              <w:bottom w:type="dxa" w:w="90"/>
              <w:right w:type="dxa" w:w="120"/>
            </w:tcMar>
          </w:tcPr>
          <w:p>
            <w:r>
              <w:rPr>
                <w:b/>
                <w:bCs/>
                <w:color w:val="2E2220"/>
                <w:sz w:val="20"/>
                <w:szCs w:val="20"/>
              </w:rPr>
              <w:t xml:space="preserve">Coral (primary)</w:t>
            </w:r>
          </w:p>
        </w:tc>
        <w:tc>
          <w:tcPr>
            <w:tcW w:type="dxa" w:w="1600"/>
            <w:shd w:fill="F0654A" w:val="clear"/>
            <w:tcMar>
              <w:top w:type="dxa" w:w="90"/>
              <w:left w:type="dxa" w:w="120"/>
              <w:bottom w:type="dxa" w:w="90"/>
              <w:right w:type="dxa" w:w="120"/>
            </w:tcMar>
          </w:tcPr>
          <w:p>
            <w:r>
              <w:rPr>
                <w:b/>
                <w:bCs/>
                <w:color w:val="2A2A2A"/>
                <w:sz w:val="19"/>
                <w:szCs w:val="19"/>
              </w:rPr>
              <w:t xml:space="preserve">#F0654A</w:t>
            </w:r>
          </w:p>
        </w:tc>
        <w:tc>
          <w:tcPr>
            <w:tcW w:type="dxa" w:w="5750"/>
            <w:shd w:fill="FFFFFF" w:val="clear"/>
            <w:tcMar>
              <w:top w:type="dxa" w:w="90"/>
              <w:left w:type="dxa" w:w="120"/>
              <w:bottom w:type="dxa" w:w="90"/>
              <w:right w:type="dxa" w:w="120"/>
            </w:tcMar>
          </w:tcPr>
          <w:p>
            <w:r>
              <w:rPr>
                <w:color w:val="2E2220"/>
                <w:sz w:val="20"/>
                <w:szCs w:val="20"/>
              </w:rPr>
              <w:t xml:space="preserve">The brand color. Used generously: headers, primary buttons, active tab, outgoing chat bubbles, FAB, key icons. Not rationed.</w:t>
            </w:r>
          </w:p>
        </w:tc>
      </w:tr>
      <w:tr>
        <w:tc>
          <w:tcPr>
            <w:tcW w:type="dxa" w:w="2000"/>
            <w:shd w:fill="FFFFFF" w:val="clear"/>
            <w:tcMar>
              <w:top w:type="dxa" w:w="90"/>
              <w:left w:type="dxa" w:w="120"/>
              <w:bottom w:type="dxa" w:w="90"/>
              <w:right w:type="dxa" w:w="120"/>
            </w:tcMar>
          </w:tcPr>
          <w:p>
            <w:r>
              <w:rPr>
                <w:b/>
                <w:bCs/>
                <w:color w:val="2E2220"/>
                <w:sz w:val="20"/>
                <w:szCs w:val="20"/>
              </w:rPr>
              <w:t xml:space="preserve">Plum (secondary)</w:t>
            </w:r>
          </w:p>
        </w:tc>
        <w:tc>
          <w:tcPr>
            <w:tcW w:type="dxa" w:w="1600"/>
            <w:shd w:fill="7A2E4D" w:val="clear"/>
            <w:tcMar>
              <w:top w:type="dxa" w:w="90"/>
              <w:left w:type="dxa" w:w="120"/>
              <w:bottom w:type="dxa" w:w="90"/>
              <w:right w:type="dxa" w:w="120"/>
            </w:tcMar>
          </w:tcPr>
          <w:p>
            <w:r>
              <w:rPr>
                <w:b/>
                <w:bCs/>
                <w:color w:val="FFFFFF"/>
                <w:sz w:val="19"/>
                <w:szCs w:val="19"/>
              </w:rPr>
              <w:t xml:space="preserve">#7A2E4D</w:t>
            </w:r>
          </w:p>
        </w:tc>
        <w:tc>
          <w:tcPr>
            <w:tcW w:type="dxa" w:w="5750"/>
            <w:shd w:fill="FFFFFF" w:val="clear"/>
            <w:tcMar>
              <w:top w:type="dxa" w:w="90"/>
              <w:left w:type="dxa" w:w="120"/>
              <w:bottom w:type="dxa" w:w="90"/>
              <w:right w:type="dxa" w:w="120"/>
            </w:tcMar>
          </w:tcPr>
          <w:p>
            <w:r>
              <w:rPr>
                <w:color w:val="2E2220"/>
                <w:sz w:val="20"/>
                <w:szCs w:val="20"/>
              </w:rPr>
              <w:t xml:space="preserve">Depth and contrast partner to Coral. Used in gradients (header, avatars), darker accents, and anywhere Coral alone would feel flat.</w:t>
            </w:r>
          </w:p>
        </w:tc>
      </w:tr>
      <w:tr>
        <w:tc>
          <w:tcPr>
            <w:tcW w:type="dxa" w:w="2000"/>
            <w:shd w:fill="FFFFFF" w:val="clear"/>
            <w:tcMar>
              <w:top w:type="dxa" w:w="90"/>
              <w:left w:type="dxa" w:w="120"/>
              <w:bottom w:type="dxa" w:w="90"/>
              <w:right w:type="dxa" w:w="120"/>
            </w:tcMar>
          </w:tcPr>
          <w:p>
            <w:r>
              <w:rPr>
                <w:b/>
                <w:bCs/>
                <w:color w:val="2E2220"/>
                <w:sz w:val="20"/>
                <w:szCs w:val="20"/>
              </w:rPr>
              <w:t xml:space="preserve">Canvas</w:t>
            </w:r>
          </w:p>
        </w:tc>
        <w:tc>
          <w:tcPr>
            <w:tcW w:type="dxa" w:w="1600"/>
            <w:shd w:fill="FDF6F1" w:val="clear"/>
            <w:tcMar>
              <w:top w:type="dxa" w:w="90"/>
              <w:left w:type="dxa" w:w="120"/>
              <w:bottom w:type="dxa" w:w="90"/>
              <w:right w:type="dxa" w:w="120"/>
            </w:tcMar>
          </w:tcPr>
          <w:p>
            <w:r>
              <w:rPr>
                <w:b/>
                <w:bCs/>
                <w:color w:val="2A2A2A"/>
                <w:sz w:val="19"/>
                <w:szCs w:val="19"/>
              </w:rPr>
              <w:t xml:space="preserve">#FDF6F1</w:t>
            </w:r>
          </w:p>
        </w:tc>
        <w:tc>
          <w:tcPr>
            <w:tcW w:type="dxa" w:w="5750"/>
            <w:shd w:fill="FFFFFF" w:val="clear"/>
            <w:tcMar>
              <w:top w:type="dxa" w:w="90"/>
              <w:left w:type="dxa" w:w="120"/>
              <w:bottom w:type="dxa" w:w="90"/>
              <w:right w:type="dxa" w:w="120"/>
            </w:tcMar>
          </w:tcPr>
          <w:p>
            <w:r>
              <w:rPr>
                <w:color w:val="2E2220"/>
                <w:sz w:val="20"/>
                <w:szCs w:val="20"/>
              </w:rPr>
              <w:t xml:space="preserve">App background. Warm cream, not stark white or grey — this is the single biggest lever for making the app feel warm rather than clinical.</w:t>
            </w:r>
          </w:p>
        </w:tc>
      </w:tr>
      <w:tr>
        <w:tc>
          <w:tcPr>
            <w:tcW w:type="dxa" w:w="2000"/>
            <w:shd w:fill="FFFFFF" w:val="clear"/>
            <w:tcMar>
              <w:top w:type="dxa" w:w="90"/>
              <w:left w:type="dxa" w:w="120"/>
              <w:bottom w:type="dxa" w:w="90"/>
              <w:right w:type="dxa" w:w="120"/>
            </w:tcMar>
          </w:tcPr>
          <w:p>
            <w:r>
              <w:rPr>
                <w:b/>
                <w:bCs/>
                <w:color w:val="2E2220"/>
                <w:sz w:val="20"/>
                <w:szCs w:val="20"/>
              </w:rPr>
              <w:t xml:space="preserve">Card</w:t>
            </w:r>
          </w:p>
        </w:tc>
        <w:tc>
          <w:tcPr>
            <w:tcW w:type="dxa" w:w="1600"/>
            <w:shd w:fill="FFFFFF" w:val="clear"/>
            <w:tcMar>
              <w:top w:type="dxa" w:w="90"/>
              <w:left w:type="dxa" w:w="120"/>
              <w:bottom w:type="dxa" w:w="90"/>
              <w:right w:type="dxa" w:w="120"/>
            </w:tcMar>
          </w:tcPr>
          <w:p>
            <w:r>
              <w:rPr>
                <w:b/>
                <w:bCs/>
                <w:color w:val="2A2A2A"/>
                <w:sz w:val="19"/>
                <w:szCs w:val="19"/>
              </w:rPr>
              <w:t xml:space="preserve">#FFFFFF</w:t>
            </w:r>
          </w:p>
        </w:tc>
        <w:tc>
          <w:tcPr>
            <w:tcW w:type="dxa" w:w="5750"/>
            <w:shd w:fill="FFFFFF" w:val="clear"/>
            <w:tcMar>
              <w:top w:type="dxa" w:w="90"/>
              <w:left w:type="dxa" w:w="120"/>
              <w:bottom w:type="dxa" w:w="90"/>
              <w:right w:type="dxa" w:w="120"/>
            </w:tcMar>
          </w:tcPr>
          <w:p>
            <w:r>
              <w:rPr>
                <w:color w:val="2E2220"/>
                <w:sz w:val="20"/>
                <w:szCs w:val="20"/>
              </w:rPr>
              <w:t xml:space="preserve">Card and sheet surfaces sitting on Canvas.</w:t>
            </w:r>
          </w:p>
        </w:tc>
      </w:tr>
      <w:tr>
        <w:tc>
          <w:tcPr>
            <w:tcW w:type="dxa" w:w="2000"/>
            <w:shd w:fill="FFFFFF" w:val="clear"/>
            <w:tcMar>
              <w:top w:type="dxa" w:w="90"/>
              <w:left w:type="dxa" w:w="120"/>
              <w:bottom w:type="dxa" w:w="90"/>
              <w:right w:type="dxa" w:w="120"/>
            </w:tcMar>
          </w:tcPr>
          <w:p>
            <w:r>
              <w:rPr>
                <w:b/>
                <w:bCs/>
                <w:color w:val="2E2220"/>
                <w:sz w:val="20"/>
                <w:szCs w:val="20"/>
              </w:rPr>
              <w:t xml:space="preserve">Ink</w:t>
            </w:r>
          </w:p>
        </w:tc>
        <w:tc>
          <w:tcPr>
            <w:tcW w:type="dxa" w:w="1600"/>
            <w:shd w:fill="2E2220" w:val="clear"/>
            <w:tcMar>
              <w:top w:type="dxa" w:w="90"/>
              <w:left w:type="dxa" w:w="120"/>
              <w:bottom w:type="dxa" w:w="90"/>
              <w:right w:type="dxa" w:w="120"/>
            </w:tcMar>
          </w:tcPr>
          <w:p>
            <w:r>
              <w:rPr>
                <w:b/>
                <w:bCs/>
                <w:color w:val="FFFFFF"/>
                <w:sz w:val="19"/>
                <w:szCs w:val="19"/>
              </w:rPr>
              <w:t xml:space="preserve">#2E2220</w:t>
            </w:r>
          </w:p>
        </w:tc>
        <w:tc>
          <w:tcPr>
            <w:tcW w:type="dxa" w:w="5750"/>
            <w:shd w:fill="FFFFFF" w:val="clear"/>
            <w:tcMar>
              <w:top w:type="dxa" w:w="90"/>
              <w:left w:type="dxa" w:w="120"/>
              <w:bottom w:type="dxa" w:w="90"/>
              <w:right w:type="dxa" w:w="120"/>
            </w:tcMar>
          </w:tcPr>
          <w:p>
            <w:r>
              <w:rPr>
                <w:color w:val="2E2220"/>
                <w:sz w:val="20"/>
                <w:szCs w:val="20"/>
              </w:rPr>
              <w:t xml:space="preserve">Primary text. Warm near-black, not cold charcoal.</w:t>
            </w:r>
          </w:p>
        </w:tc>
      </w:tr>
      <w:tr>
        <w:tc>
          <w:tcPr>
            <w:tcW w:type="dxa" w:w="2000"/>
            <w:shd w:fill="FFFFFF" w:val="clear"/>
            <w:tcMar>
              <w:top w:type="dxa" w:w="90"/>
              <w:left w:type="dxa" w:w="120"/>
              <w:bottom w:type="dxa" w:w="90"/>
              <w:right w:type="dxa" w:w="120"/>
            </w:tcMar>
          </w:tcPr>
          <w:p>
            <w:r>
              <w:rPr>
                <w:b/>
                <w:bCs/>
                <w:color w:val="2E2220"/>
                <w:sz w:val="20"/>
                <w:szCs w:val="20"/>
              </w:rPr>
              <w:t xml:space="preserve">Ink-soft</w:t>
            </w:r>
          </w:p>
        </w:tc>
        <w:tc>
          <w:tcPr>
            <w:tcW w:type="dxa" w:w="1600"/>
            <w:shd w:fill="8C7A75" w:val="clear"/>
            <w:tcMar>
              <w:top w:type="dxa" w:w="90"/>
              <w:left w:type="dxa" w:w="120"/>
              <w:bottom w:type="dxa" w:w="90"/>
              <w:right w:type="dxa" w:w="120"/>
            </w:tcMar>
          </w:tcPr>
          <w:p>
            <w:r>
              <w:rPr>
                <w:b/>
                <w:bCs/>
                <w:color w:val="2A2A2A"/>
                <w:sz w:val="19"/>
                <w:szCs w:val="19"/>
              </w:rPr>
              <w:t xml:space="preserve">#8C7A75</w:t>
            </w:r>
          </w:p>
        </w:tc>
        <w:tc>
          <w:tcPr>
            <w:tcW w:type="dxa" w:w="5750"/>
            <w:shd w:fill="FFFFFF" w:val="clear"/>
            <w:tcMar>
              <w:top w:type="dxa" w:w="90"/>
              <w:left w:type="dxa" w:w="120"/>
              <w:bottom w:type="dxa" w:w="90"/>
              <w:right w:type="dxa" w:w="120"/>
            </w:tcMar>
          </w:tcPr>
          <w:p>
            <w:r>
              <w:rPr>
                <w:color w:val="2E2220"/>
                <w:sz w:val="20"/>
                <w:szCs w:val="20"/>
              </w:rPr>
              <w:t xml:space="preserve">Secondary/meta text (timestamps, hospital names, labels).</w:t>
            </w:r>
          </w:p>
        </w:tc>
      </w:tr>
      <w:tr>
        <w:tc>
          <w:tcPr>
            <w:tcW w:type="dxa" w:w="2000"/>
            <w:shd w:fill="FFFFFF" w:val="clear"/>
            <w:tcMar>
              <w:top w:type="dxa" w:w="90"/>
              <w:left w:type="dxa" w:w="120"/>
              <w:bottom w:type="dxa" w:w="90"/>
              <w:right w:type="dxa" w:w="120"/>
            </w:tcMar>
          </w:tcPr>
          <w:p>
            <w:r>
              <w:rPr>
                <w:b/>
                <w:bCs/>
                <w:color w:val="2E2220"/>
                <w:sz w:val="20"/>
                <w:szCs w:val="20"/>
              </w:rPr>
              <w:t xml:space="preserve">Coral tint</w:t>
            </w:r>
          </w:p>
        </w:tc>
        <w:tc>
          <w:tcPr>
            <w:tcW w:type="dxa" w:w="1600"/>
            <w:shd w:fill="FDE6E0" w:val="clear"/>
            <w:tcMar>
              <w:top w:type="dxa" w:w="90"/>
              <w:left w:type="dxa" w:w="120"/>
              <w:bottom w:type="dxa" w:w="90"/>
              <w:right w:type="dxa" w:w="120"/>
            </w:tcMar>
          </w:tcPr>
          <w:p>
            <w:r>
              <w:rPr>
                <w:b/>
                <w:bCs/>
                <w:color w:val="2A2A2A"/>
                <w:sz w:val="19"/>
                <w:szCs w:val="19"/>
              </w:rPr>
              <w:t xml:space="preserve">#FDE6E0</w:t>
            </w:r>
          </w:p>
        </w:tc>
        <w:tc>
          <w:tcPr>
            <w:tcW w:type="dxa" w:w="5750"/>
            <w:shd w:fill="FFFFFF" w:val="clear"/>
            <w:tcMar>
              <w:top w:type="dxa" w:w="90"/>
              <w:left w:type="dxa" w:w="120"/>
              <w:bottom w:type="dxa" w:w="90"/>
              <w:right w:type="dxa" w:w="120"/>
            </w:tcMar>
          </w:tcPr>
          <w:p>
            <w:r>
              <w:rPr>
                <w:color w:val="2E2220"/>
                <w:sz w:val="20"/>
                <w:szCs w:val="20"/>
              </w:rPr>
              <w:t xml:space="preserve">Light background fill for chips, status pills, icon badges on a Coral theme.</w:t>
            </w:r>
          </w:p>
        </w:tc>
      </w:tr>
      <w:tr>
        <w:tc>
          <w:tcPr>
            <w:tcW w:type="dxa" w:w="2000"/>
            <w:shd w:fill="FFFFFF" w:val="clear"/>
            <w:tcMar>
              <w:top w:type="dxa" w:w="90"/>
              <w:left w:type="dxa" w:w="120"/>
              <w:bottom w:type="dxa" w:w="90"/>
              <w:right w:type="dxa" w:w="120"/>
            </w:tcMar>
          </w:tcPr>
          <w:p>
            <w:r>
              <w:rPr>
                <w:b/>
                <w:bCs/>
                <w:color w:val="2E2220"/>
                <w:sz w:val="20"/>
                <w:szCs w:val="20"/>
              </w:rPr>
              <w:t xml:space="preserve">Plum tint</w:t>
            </w:r>
          </w:p>
        </w:tc>
        <w:tc>
          <w:tcPr>
            <w:tcW w:type="dxa" w:w="1600"/>
            <w:shd w:fill="F1DEE7" w:val="clear"/>
            <w:tcMar>
              <w:top w:type="dxa" w:w="90"/>
              <w:left w:type="dxa" w:w="120"/>
              <w:bottom w:type="dxa" w:w="90"/>
              <w:right w:type="dxa" w:w="120"/>
            </w:tcMar>
          </w:tcPr>
          <w:p>
            <w:r>
              <w:rPr>
                <w:b/>
                <w:bCs/>
                <w:color w:val="2A2A2A"/>
                <w:sz w:val="19"/>
                <w:szCs w:val="19"/>
              </w:rPr>
              <w:t xml:space="preserve">#F1DEE7</w:t>
            </w:r>
          </w:p>
        </w:tc>
        <w:tc>
          <w:tcPr>
            <w:tcW w:type="dxa" w:w="5750"/>
            <w:shd w:fill="FFFFFF" w:val="clear"/>
            <w:tcMar>
              <w:top w:type="dxa" w:w="90"/>
              <w:left w:type="dxa" w:w="120"/>
              <w:bottom w:type="dxa" w:w="90"/>
              <w:right w:type="dxa" w:w="120"/>
            </w:tcMar>
          </w:tcPr>
          <w:p>
            <w:r>
              <w:rPr>
                <w:color w:val="2E2220"/>
                <w:sz w:val="20"/>
                <w:szCs w:val="20"/>
              </w:rPr>
              <w:t xml:space="preserve">Light background fill for chips and cards on a Plum theme (e.g. the Clinical Advisory card).</w:t>
            </w:r>
          </w:p>
        </w:tc>
      </w:tr>
    </w:tbl>
    <w:p>
      <w:pPr>
        <w:pStyle w:val="Heading2"/>
        <w:spacing w:after="120" w:before="260"/>
      </w:pPr>
      <w:r>
        <w:t xml:space="preserve">2.2 Status colors (small, functional, unchanged in kind)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50"/>
      </w:tblGrid>
      <w:tr>
        <w:tc>
          <w:tcPr>
            <w:tcW w:type="dxa" w:w="2000"/>
            <w:shd w:fill="2E2220" w:val="clear"/>
            <w:tcMar>
              <w:top w:type="dxa" w:w="100"/>
              <w:left w:type="dxa" w:w="120"/>
              <w:bottom w:type="dxa" w:w="100"/>
              <w:right w:type="dxa" w:w="120"/>
            </w:tcMar>
          </w:tcPr>
          <w:p>
            <w:r>
              <w:rPr>
                <w:b/>
                <w:bCs/>
                <w:color w:val="FFFFFF"/>
                <w:sz w:val="19"/>
                <w:szCs w:val="19"/>
              </w:rPr>
              <w:t xml:space="preserve">TOKEN</w:t>
            </w:r>
          </w:p>
        </w:tc>
        <w:tc>
          <w:tcPr>
            <w:tcW w:type="dxa" w:w="1600"/>
            <w:shd w:fill="2E2220" w:val="clear"/>
            <w:tcMar>
              <w:top w:type="dxa" w:w="100"/>
              <w:left w:type="dxa" w:w="120"/>
              <w:bottom w:type="dxa" w:w="100"/>
              <w:right w:type="dxa" w:w="120"/>
            </w:tcMar>
          </w:tcPr>
          <w:p>
            <w:r>
              <w:rPr>
                <w:b/>
                <w:bCs/>
                <w:color w:val="FFFFFF"/>
                <w:sz w:val="19"/>
                <w:szCs w:val="19"/>
              </w:rPr>
              <w:t xml:space="preserve">HEX</w:t>
            </w:r>
          </w:p>
        </w:tc>
        <w:tc>
          <w:tcPr>
            <w:tcW w:type="dxa" w:w="5750"/>
            <w:shd w:fill="2E2220" w:val="clear"/>
            <w:tcMar>
              <w:top w:type="dxa" w:w="100"/>
              <w:left w:type="dxa" w:w="120"/>
              <w:bottom w:type="dxa" w:w="100"/>
              <w:right w:type="dxa" w:w="120"/>
            </w:tcMar>
          </w:tcPr>
          <w:p>
            <w:r>
              <w:rPr>
                <w:b/>
                <w:bCs/>
                <w:color w:val="FFFFFF"/>
                <w:sz w:val="19"/>
                <w:szCs w:val="19"/>
              </w:rPr>
              <w:t xml:space="preserve">USAGE</w:t>
            </w:r>
          </w:p>
        </w:tc>
      </w:tr>
      <w:tr>
        <w:tc>
          <w:tcPr>
            <w:tcW w:type="dxa" w:w="2000"/>
            <w:shd w:fill="FFFFFF" w:val="clear"/>
            <w:tcMar>
              <w:top w:type="dxa" w:w="90"/>
              <w:left w:type="dxa" w:w="120"/>
              <w:bottom w:type="dxa" w:w="90"/>
              <w:right w:type="dxa" w:w="120"/>
            </w:tcMar>
          </w:tcPr>
          <w:p>
            <w:r>
              <w:rPr>
                <w:b/>
                <w:bCs/>
                <w:color w:val="2E2220"/>
                <w:sz w:val="20"/>
                <w:szCs w:val="20"/>
              </w:rPr>
              <w:t xml:space="preserve">Scheduled</w:t>
            </w:r>
          </w:p>
        </w:tc>
        <w:tc>
          <w:tcPr>
            <w:tcW w:type="dxa" w:w="1600"/>
            <w:shd w:fill="2F6FED" w:val="clear"/>
            <w:tcMar>
              <w:top w:type="dxa" w:w="90"/>
              <w:left w:type="dxa" w:w="120"/>
              <w:bottom w:type="dxa" w:w="90"/>
              <w:right w:type="dxa" w:w="120"/>
            </w:tcMar>
          </w:tcPr>
          <w:p>
            <w:r>
              <w:rPr>
                <w:b/>
                <w:bCs/>
                <w:color w:val="FFFFFF"/>
                <w:sz w:val="19"/>
                <w:szCs w:val="19"/>
              </w:rPr>
              <w:t xml:space="preserve">#2F6FED</w:t>
            </w:r>
          </w:p>
        </w:tc>
        <w:tc>
          <w:tcPr>
            <w:tcW w:type="dxa" w:w="5750"/>
            <w:shd w:fill="FFFFFF" w:val="clear"/>
            <w:tcMar>
              <w:top w:type="dxa" w:w="90"/>
              <w:left w:type="dxa" w:w="120"/>
              <w:bottom w:type="dxa" w:w="90"/>
              <w:right w:type="dxa" w:w="120"/>
            </w:tcMar>
          </w:tcPr>
          <w:p>
            <w:r>
              <w:rPr>
                <w:color w:val="2E2220"/>
                <w:sz w:val="20"/>
                <w:szCs w:val="20"/>
              </w:rPr>
              <w:t xml:space="preserve">Blue dot/pill on a consultation row.</w:t>
            </w:r>
          </w:p>
        </w:tc>
      </w:tr>
      <w:tr>
        <w:tc>
          <w:tcPr>
            <w:tcW w:type="dxa" w:w="2000"/>
            <w:shd w:fill="FFFFFF" w:val="clear"/>
            <w:tcMar>
              <w:top w:type="dxa" w:w="90"/>
              <w:left w:type="dxa" w:w="120"/>
              <w:bottom w:type="dxa" w:w="90"/>
              <w:right w:type="dxa" w:w="120"/>
            </w:tcMar>
          </w:tcPr>
          <w:p>
            <w:r>
              <w:rPr>
                <w:b/>
                <w:bCs/>
                <w:color w:val="2E2220"/>
                <w:sz w:val="20"/>
                <w:szCs w:val="20"/>
              </w:rPr>
              <w:t xml:space="preserve">Ongoing / Live</w:t>
            </w:r>
          </w:p>
        </w:tc>
        <w:tc>
          <w:tcPr>
            <w:tcW w:type="dxa" w:w="1600"/>
            <w:shd w:fill="F0654A" w:val="clear"/>
            <w:tcMar>
              <w:top w:type="dxa" w:w="90"/>
              <w:left w:type="dxa" w:w="120"/>
              <w:bottom w:type="dxa" w:w="90"/>
              <w:right w:type="dxa" w:w="120"/>
            </w:tcMar>
          </w:tcPr>
          <w:p>
            <w:r>
              <w:rPr>
                <w:b/>
                <w:bCs/>
                <w:color w:val="2A2A2A"/>
                <w:sz w:val="19"/>
                <w:szCs w:val="19"/>
              </w:rPr>
              <w:t xml:space="preserve">#F0654A</w:t>
            </w:r>
          </w:p>
        </w:tc>
        <w:tc>
          <w:tcPr>
            <w:tcW w:type="dxa" w:w="5750"/>
            <w:shd w:fill="FFFFFF" w:val="clear"/>
            <w:tcMar>
              <w:top w:type="dxa" w:w="90"/>
              <w:left w:type="dxa" w:w="120"/>
              <w:bottom w:type="dxa" w:w="90"/>
              <w:right w:type="dxa" w:w="120"/>
            </w:tcMar>
          </w:tcPr>
          <w:p>
            <w:r>
              <w:rPr>
                <w:color w:val="2E2220"/>
                <w:sz w:val="20"/>
                <w:szCs w:val="20"/>
              </w:rPr>
              <w:t xml:space="preserve">Uses brand Coral — an active engagement is exactly the moment brand color should show up.</w:t>
            </w:r>
          </w:p>
        </w:tc>
      </w:tr>
      <w:tr>
        <w:tc>
          <w:tcPr>
            <w:tcW w:type="dxa" w:w="2000"/>
            <w:shd w:fill="FFFFFF" w:val="clear"/>
            <w:tcMar>
              <w:top w:type="dxa" w:w="90"/>
              <w:left w:type="dxa" w:w="120"/>
              <w:bottom w:type="dxa" w:w="90"/>
              <w:right w:type="dxa" w:w="120"/>
            </w:tcMar>
          </w:tcPr>
          <w:p>
            <w:r>
              <w:rPr>
                <w:b/>
                <w:bCs/>
                <w:color w:val="2E2220"/>
                <w:sz w:val="20"/>
                <w:szCs w:val="20"/>
              </w:rPr>
              <w:t xml:space="preserve">Completed</w:t>
            </w:r>
          </w:p>
        </w:tc>
        <w:tc>
          <w:tcPr>
            <w:tcW w:type="dxa" w:w="1600"/>
            <w:shd w:fill="1FA971" w:val="clear"/>
            <w:tcMar>
              <w:top w:type="dxa" w:w="90"/>
              <w:left w:type="dxa" w:w="120"/>
              <w:bottom w:type="dxa" w:w="90"/>
              <w:right w:type="dxa" w:w="120"/>
            </w:tcMar>
          </w:tcPr>
          <w:p>
            <w:r>
              <w:rPr>
                <w:b/>
                <w:bCs/>
                <w:color w:val="FFFFFF"/>
                <w:sz w:val="19"/>
                <w:szCs w:val="19"/>
              </w:rPr>
              <w:t xml:space="preserve">#1FA971</w:t>
            </w:r>
          </w:p>
        </w:tc>
        <w:tc>
          <w:tcPr>
            <w:tcW w:type="dxa" w:w="5750"/>
            <w:shd w:fill="FFFFFF" w:val="clear"/>
            <w:tcMar>
              <w:top w:type="dxa" w:w="90"/>
              <w:left w:type="dxa" w:w="120"/>
              <w:bottom w:type="dxa" w:w="90"/>
              <w:right w:type="dxa" w:w="120"/>
            </w:tcMar>
          </w:tcPr>
          <w:p>
            <w:r>
              <w:rPr>
                <w:color w:val="2E2220"/>
                <w:sz w:val="20"/>
                <w:szCs w:val="20"/>
              </w:rPr>
              <w:t xml:space="preserve">Green dot/pill, also PAID in Billing.</w:t>
            </w:r>
          </w:p>
        </w:tc>
      </w:tr>
      <w:tr>
        <w:tc>
          <w:tcPr>
            <w:tcW w:type="dxa" w:w="2000"/>
            <w:shd w:fill="FFFFFF" w:val="clear"/>
            <w:tcMar>
              <w:top w:type="dxa" w:w="90"/>
              <w:left w:type="dxa" w:w="120"/>
              <w:bottom w:type="dxa" w:w="90"/>
              <w:right w:type="dxa" w:w="120"/>
            </w:tcMar>
          </w:tcPr>
          <w:p>
            <w:r>
              <w:rPr>
                <w:b/>
                <w:bCs/>
                <w:color w:val="2E2220"/>
                <w:sz w:val="20"/>
                <w:szCs w:val="20"/>
              </w:rPr>
              <w:t xml:space="preserve">Cancelled / Expired</w:t>
            </w:r>
          </w:p>
        </w:tc>
        <w:tc>
          <w:tcPr>
            <w:tcW w:type="dxa" w:w="1600"/>
            <w:shd w:fill="9AA0AC" w:val="clear"/>
            <w:tcMar>
              <w:top w:type="dxa" w:w="90"/>
              <w:left w:type="dxa" w:w="120"/>
              <w:bottom w:type="dxa" w:w="90"/>
              <w:right w:type="dxa" w:w="120"/>
            </w:tcMar>
          </w:tcPr>
          <w:p>
            <w:r>
              <w:rPr>
                <w:b/>
                <w:bCs/>
                <w:color w:val="2A2A2A"/>
                <w:sz w:val="19"/>
                <w:szCs w:val="19"/>
              </w:rPr>
              <w:t xml:space="preserve">#9AA0AC</w:t>
            </w:r>
          </w:p>
        </w:tc>
        <w:tc>
          <w:tcPr>
            <w:tcW w:type="dxa" w:w="5750"/>
            <w:shd w:fill="FFFFFF" w:val="clear"/>
            <w:tcMar>
              <w:top w:type="dxa" w:w="90"/>
              <w:left w:type="dxa" w:w="120"/>
              <w:bottom w:type="dxa" w:w="90"/>
              <w:right w:type="dxa" w:w="120"/>
            </w:tcMar>
          </w:tcPr>
          <w:p>
            <w:r>
              <w:rPr>
                <w:color w:val="2E2220"/>
                <w:sz w:val="20"/>
                <w:szCs w:val="20"/>
              </w:rPr>
              <w:t xml:space="preserve">Grey dot/pill for terminal, closed states.</w:t>
            </w:r>
          </w:p>
        </w:tc>
      </w:tr>
    </w:tbl>
    <w:p>
      <w:pPr>
        <w:spacing w:after="140"/>
      </w:pPr>
      <w:r>
        <w:rPr>
          <w:color w:val="2E2220"/>
          <w:sz w:val="22"/>
          <w:szCs w:val="22"/>
        </w:rPr>
        <w:t xml:space="preserve">These remain small (a dot plus a word, or a pill), not full-screen fills. Their job is quick scanning across a list, which is undermined if they compete with the brand palette for attention.</w:t>
      </w:r>
    </w:p>
    <w:p>
      <w:pPr>
        <w:pStyle w:val="Heading2"/>
        <w:spacing w:after="120" w:before="260"/>
      </w:pPr>
      <w:r>
        <w:t xml:space="preserve">2.3 Usage rules</w:t>
      </w:r>
    </w:p>
    <w:p>
      <w:pPr>
        <w:pStyle w:val="ListParagraph"/>
        <w:numPr>
          <w:ilvl w:val="0"/>
          <w:numId w:val="1"/>
        </w:numPr>
        <w:spacing w:after="90"/>
      </w:pPr>
      <w:r>
        <w:rPr>
          <w:color w:val="2E2220"/>
          <w:sz w:val="22"/>
          <w:szCs w:val="22"/>
        </w:rPr>
        <w:t xml:space="preserve">Header surfaces (Dashboard, Case File, Profile, Booking) use a Coral→Plum gradient, not a flat fill — this is what gives the app visual depth instead of looking like a flat-design app from a decade ago.</w:t>
      </w:r>
    </w:p>
    <w:p>
      <w:pPr>
        <w:pStyle w:val="ListParagraph"/>
        <w:numPr>
          <w:ilvl w:val="0"/>
          <w:numId w:val="1"/>
        </w:numPr>
        <w:spacing w:after="90"/>
      </w:pPr>
      <w:r>
        <w:rPr>
          <w:color w:val="2E2220"/>
          <w:sz w:val="22"/>
          <w:szCs w:val="22"/>
        </w:rPr>
        <w:t xml:space="preserve">Avatars and key circular elements use a soft Coral→Plum or Coral→gold gradient rather than a flat tint, at near-zero cost and a real gain in perceived polish.</w:t>
      </w:r>
    </w:p>
    <w:p>
      <w:pPr>
        <w:pStyle w:val="ListParagraph"/>
        <w:numPr>
          <w:ilvl w:val="0"/>
          <w:numId w:val="1"/>
        </w:numPr>
        <w:spacing w:after="90"/>
      </w:pPr>
      <w:r>
        <w:rPr>
          <w:color w:val="2E2220"/>
          <w:sz w:val="22"/>
          <w:szCs w:val="22"/>
        </w:rPr>
        <w:t xml:space="preserve">Shadows are warm-tinted (a low-alpha Ink or Plum shadow), never pure black — a small detail that is part of why the reference mockups feel considered rather than default.</w:t>
      </w:r>
    </w:p>
    <w:p>
      <w:pPr>
        <w:pStyle w:val="ListParagraph"/>
        <w:numPr>
          <w:ilvl w:val="0"/>
          <w:numId w:val="1"/>
        </w:numPr>
        <w:spacing w:after="90"/>
      </w:pPr>
      <w:r>
        <w:rPr>
          <w:color w:val="2E2220"/>
          <w:sz w:val="22"/>
          <w:szCs w:val="22"/>
        </w:rPr>
        <w:t xml:space="preserve">The one boundary that survives “no restraints”: an actual live call and any genuinely urgent moment should stay visually distinct through motion and placement, not by shouting louder in color than the rest of the app. If everything is equally vivid, nothing reads as more important.</w:t>
      </w:r>
    </w:p>
    <w:p>
      <w:r>
        <w:br w:type="page"/>
      </w:r>
    </w:p>
    <w:p>
      <w:pPr>
        <w:pStyle w:val="Heading1"/>
        <w:spacing w:after="160" w:before="320"/>
      </w:pPr>
      <w:r>
        <w:t xml:space="preserve">3. Typography</w:t>
      </w:r>
    </w:p>
    <w:p>
      <w:pPr>
        <w:spacing w:after="140"/>
      </w:pPr>
      <w:r>
        <w:rPr>
          <w:color w:val="2E2220"/>
          <w:sz w:val="22"/>
          <w:szCs w:val="22"/>
        </w:rPr>
        <w:t xml:space="preserve">Two families: Sora and Inter. The families are unchanged from earlier drafts of this system — what changes is confidence of use. Sora is no longer restricted to “titles and greetings only”; it now carries every screen title, every greeting, and every number that matters (a vitals value, a fee, a dashboard stat). Inter carries everything read in sentences: messages, descriptions, metadata.</w:t>
      </w:r>
    </w:p>
    <w:p>
      <w:pPr>
        <w:pStyle w:val="Heading2"/>
        <w:spacing w:after="120" w:before="260"/>
      </w:pPr>
      <w:r>
        <w:t xml:space="preserve">3.1 Type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2050"/>
        <w:gridCol w:w="1600"/>
      </w:tblGrid>
      <w:tr>
        <w:tc>
          <w:tcPr>
            <w:tcW w:type="dxa" w:w="2600"/>
            <w:shd w:fill="2E2220" w:val="clear"/>
            <w:tcMar>
              <w:top w:type="dxa" w:w="100"/>
              <w:left w:type="dxa" w:w="120"/>
              <w:bottom w:type="dxa" w:w="100"/>
              <w:right w:type="dxa" w:w="120"/>
            </w:tcMar>
          </w:tcPr>
          <w:p>
            <w:r>
              <w:rPr>
                <w:b/>
                <w:bCs/>
                <w:color w:val="FFFFFF"/>
                <w:sz w:val="19"/>
                <w:szCs w:val="19"/>
              </w:rPr>
              <w:t xml:space="preserve">ROLE</w:t>
            </w:r>
          </w:p>
        </w:tc>
        <w:tc>
          <w:tcPr>
            <w:tcW w:type="dxa" w:w="1400"/>
            <w:shd w:fill="2E2220" w:val="clear"/>
            <w:tcMar>
              <w:top w:type="dxa" w:w="100"/>
              <w:left w:type="dxa" w:w="120"/>
              <w:bottom w:type="dxa" w:w="100"/>
              <w:right w:type="dxa" w:w="120"/>
            </w:tcMar>
          </w:tcPr>
          <w:p>
            <w:r>
              <w:rPr>
                <w:b/>
                <w:bCs/>
                <w:color w:val="FFFFFF"/>
                <w:sz w:val="19"/>
                <w:szCs w:val="19"/>
              </w:rPr>
              <w:t xml:space="preserve">SIZE</w:t>
            </w:r>
          </w:p>
        </w:tc>
        <w:tc>
          <w:tcPr>
            <w:tcW w:type="dxa" w:w="1700"/>
            <w:shd w:fill="2E2220" w:val="clear"/>
            <w:tcMar>
              <w:top w:type="dxa" w:w="100"/>
              <w:left w:type="dxa" w:w="120"/>
              <w:bottom w:type="dxa" w:w="100"/>
              <w:right w:type="dxa" w:w="120"/>
            </w:tcMar>
          </w:tcPr>
          <w:p>
            <w:r>
              <w:rPr>
                <w:b/>
                <w:bCs/>
                <w:color w:val="FFFFFF"/>
                <w:sz w:val="19"/>
                <w:szCs w:val="19"/>
              </w:rPr>
              <w:t xml:space="preserve">WEIGHT</w:t>
            </w:r>
          </w:p>
        </w:tc>
        <w:tc>
          <w:tcPr>
            <w:tcW w:type="dxa" w:w="2050"/>
            <w:shd w:fill="2E2220" w:val="clear"/>
            <w:tcMar>
              <w:top w:type="dxa" w:w="100"/>
              <w:left w:type="dxa" w:w="120"/>
              <w:bottom w:type="dxa" w:w="100"/>
              <w:right w:type="dxa" w:w="120"/>
            </w:tcMar>
          </w:tcPr>
          <w:p>
            <w:r>
              <w:rPr>
                <w:b/>
                <w:bCs/>
                <w:color w:val="FFFFFF"/>
                <w:sz w:val="19"/>
                <w:szCs w:val="19"/>
              </w:rPr>
              <w:t xml:space="preserve">FONT</w:t>
            </w:r>
          </w:p>
        </w:tc>
        <w:tc>
          <w:tcPr>
            <w:tcW w:type="dxa" w:w="1600"/>
            <w:shd w:fill="2E2220" w:val="clear"/>
            <w:tcMar>
              <w:top w:type="dxa" w:w="100"/>
              <w:left w:type="dxa" w:w="120"/>
              <w:bottom w:type="dxa" w:w="100"/>
              <w:right w:type="dxa" w:w="120"/>
            </w:tcMar>
          </w:tcPr>
          <w:p>
            <w:r>
              <w:rPr>
                <w:b/>
                <w:bCs/>
                <w:color w:val="FFFFFF"/>
                <w:sz w:val="19"/>
                <w:szCs w:val="19"/>
              </w:rPr>
              <w:t xml:space="preserve">EXAMPLE</w:t>
            </w:r>
          </w:p>
        </w:tc>
      </w:tr>
      <w:tr>
        <w:tc>
          <w:tcPr>
            <w:tcW w:type="dxa" w:w="2600"/>
            <w:shd w:fill="FFFFFF" w:val="clear"/>
            <w:tcMar>
              <w:top w:type="dxa" w:w="90"/>
              <w:left w:type="dxa" w:w="120"/>
              <w:bottom w:type="dxa" w:w="90"/>
              <w:right w:type="dxa" w:w="120"/>
            </w:tcMar>
          </w:tcPr>
          <w:p>
            <w:r>
              <w:rPr>
                <w:color w:val="2E2220"/>
                <w:sz w:val="20"/>
                <w:szCs w:val="20"/>
              </w:rPr>
              <w:t xml:space="preserve">Greeting (“Good morning, Dr. Sharma”)</w:t>
            </w:r>
          </w:p>
        </w:tc>
        <w:tc>
          <w:tcPr>
            <w:tcW w:type="dxa" w:w="1400"/>
            <w:shd w:fill="FFFFFF" w:val="clear"/>
            <w:tcMar>
              <w:top w:type="dxa" w:w="90"/>
              <w:left w:type="dxa" w:w="120"/>
              <w:bottom w:type="dxa" w:w="90"/>
              <w:right w:type="dxa" w:w="120"/>
            </w:tcMar>
          </w:tcPr>
          <w:p>
            <w:r>
              <w:rPr>
                <w:color w:val="2E2220"/>
                <w:sz w:val="20"/>
                <w:szCs w:val="20"/>
              </w:rPr>
              <w:t xml:space="preserve">22–24px</w:t>
            </w:r>
          </w:p>
        </w:tc>
        <w:tc>
          <w:tcPr>
            <w:tcW w:type="dxa" w:w="1700"/>
            <w:shd w:fill="FFFFFF" w:val="clear"/>
            <w:tcMar>
              <w:top w:type="dxa" w:w="90"/>
              <w:left w:type="dxa" w:w="120"/>
              <w:bottom w:type="dxa" w:w="90"/>
              <w:right w:type="dxa" w:w="120"/>
            </w:tcMar>
          </w:tcPr>
          <w:p>
            <w:r>
              <w:rPr>
                <w:color w:val="2E2220"/>
                <w:sz w:val="20"/>
                <w:szCs w:val="20"/>
              </w:rPr>
              <w:t xml:space="preserve">Bold</w:t>
            </w:r>
          </w:p>
        </w:tc>
        <w:tc>
          <w:tcPr>
            <w:tcW w:type="dxa" w:w="2050"/>
            <w:shd w:fill="FFFFFF" w:val="clear"/>
            <w:tcMar>
              <w:top w:type="dxa" w:w="90"/>
              <w:left w:type="dxa" w:w="120"/>
              <w:bottom w:type="dxa" w:w="90"/>
              <w:right w:type="dxa" w:w="120"/>
            </w:tcMar>
          </w:tcPr>
          <w:p>
            <w:r>
              <w:rPr>
                <w:color w:val="2E2220"/>
                <w:sz w:val="20"/>
                <w:szCs w:val="20"/>
              </w:rPr>
              <w:t xml:space="preserve">Sora</w:t>
            </w:r>
          </w:p>
        </w:tc>
        <w:tc>
          <w:tcPr>
            <w:tcW w:type="dxa" w:w="1600"/>
            <w:shd w:fill="FFFFFF" w:val="clear"/>
            <w:tcMar>
              <w:top w:type="dxa" w:w="90"/>
              <w:left w:type="dxa" w:w="120"/>
              <w:bottom w:type="dxa" w:w="90"/>
              <w:right w:type="dxa" w:w="120"/>
            </w:tcMar>
          </w:tcPr>
          <w:p>
            <w:r>
              <w:rPr>
                <w:color w:val="2E2220"/>
                <w:sz w:val="20"/>
                <w:szCs w:val="20"/>
              </w:rPr>
              <w:t xml:space="preserve">Dashboard header</w:t>
            </w:r>
          </w:p>
        </w:tc>
      </w:tr>
      <w:tr>
        <w:tc>
          <w:tcPr>
            <w:tcW w:type="dxa" w:w="2600"/>
            <w:shd w:fill="FFFFFF" w:val="clear"/>
            <w:tcMar>
              <w:top w:type="dxa" w:w="90"/>
              <w:left w:type="dxa" w:w="120"/>
              <w:bottom w:type="dxa" w:w="90"/>
              <w:right w:type="dxa" w:w="120"/>
            </w:tcMar>
          </w:tcPr>
          <w:p>
            <w:r>
              <w:rPr>
                <w:color w:val="2E2220"/>
                <w:sz w:val="20"/>
                <w:szCs w:val="20"/>
              </w:rPr>
              <w:t xml:space="preserve">Screen title</w:t>
            </w:r>
          </w:p>
        </w:tc>
        <w:tc>
          <w:tcPr>
            <w:tcW w:type="dxa" w:w="1400"/>
            <w:shd w:fill="FFFFFF" w:val="clear"/>
            <w:tcMar>
              <w:top w:type="dxa" w:w="90"/>
              <w:left w:type="dxa" w:w="120"/>
              <w:bottom w:type="dxa" w:w="90"/>
              <w:right w:type="dxa" w:w="120"/>
            </w:tcMar>
          </w:tcPr>
          <w:p>
            <w:r>
              <w:rPr>
                <w:color w:val="2E2220"/>
                <w:sz w:val="20"/>
                <w:szCs w:val="20"/>
              </w:rPr>
              <w:t xml:space="preserve">18px</w:t>
            </w:r>
          </w:p>
        </w:tc>
        <w:tc>
          <w:tcPr>
            <w:tcW w:type="dxa" w:w="1700"/>
            <w:shd w:fill="FFFFFF" w:val="clear"/>
            <w:tcMar>
              <w:top w:type="dxa" w:w="90"/>
              <w:left w:type="dxa" w:w="120"/>
              <w:bottom w:type="dxa" w:w="90"/>
              <w:right w:type="dxa" w:w="120"/>
            </w:tcMar>
          </w:tcPr>
          <w:p>
            <w:r>
              <w:rPr>
                <w:color w:val="2E2220"/>
                <w:sz w:val="20"/>
                <w:szCs w:val="20"/>
              </w:rPr>
              <w:t xml:space="preserve">Semibold</w:t>
            </w:r>
          </w:p>
        </w:tc>
        <w:tc>
          <w:tcPr>
            <w:tcW w:type="dxa" w:w="2050"/>
            <w:shd w:fill="FFFFFF" w:val="clear"/>
            <w:tcMar>
              <w:top w:type="dxa" w:w="90"/>
              <w:left w:type="dxa" w:w="120"/>
              <w:bottom w:type="dxa" w:w="90"/>
              <w:right w:type="dxa" w:w="120"/>
            </w:tcMar>
          </w:tcPr>
          <w:p>
            <w:r>
              <w:rPr>
                <w:color w:val="2E2220"/>
                <w:sz w:val="20"/>
                <w:szCs w:val="20"/>
              </w:rPr>
              <w:t xml:space="preserve">Sora</w:t>
            </w:r>
          </w:p>
        </w:tc>
        <w:tc>
          <w:tcPr>
            <w:tcW w:type="dxa" w:w="1600"/>
            <w:shd w:fill="FFFFFF" w:val="clear"/>
            <w:tcMar>
              <w:top w:type="dxa" w:w="90"/>
              <w:left w:type="dxa" w:w="120"/>
              <w:bottom w:type="dxa" w:w="90"/>
              <w:right w:type="dxa" w:w="120"/>
            </w:tcMar>
          </w:tcPr>
          <w:p>
            <w:r>
              <w:rPr>
                <w:color w:val="2E2220"/>
                <w:sz w:val="20"/>
                <w:szCs w:val="20"/>
              </w:rPr>
              <w:t xml:space="preserve">“Case File”, “Availability”</w:t>
            </w:r>
          </w:p>
        </w:tc>
      </w:tr>
      <w:tr>
        <w:tc>
          <w:tcPr>
            <w:tcW w:type="dxa" w:w="2600"/>
            <w:shd w:fill="FFFFFF" w:val="clear"/>
            <w:tcMar>
              <w:top w:type="dxa" w:w="90"/>
              <w:left w:type="dxa" w:w="120"/>
              <w:bottom w:type="dxa" w:w="90"/>
              <w:right w:type="dxa" w:w="120"/>
            </w:tcMar>
          </w:tcPr>
          <w:p>
            <w:r>
              <w:rPr>
                <w:color w:val="2E2220"/>
                <w:sz w:val="20"/>
                <w:szCs w:val="20"/>
              </w:rPr>
              <w:t xml:space="preserve">Card headline</w:t>
            </w:r>
          </w:p>
        </w:tc>
        <w:tc>
          <w:tcPr>
            <w:tcW w:type="dxa" w:w="1400"/>
            <w:shd w:fill="FFFFFF" w:val="clear"/>
            <w:tcMar>
              <w:top w:type="dxa" w:w="90"/>
              <w:left w:type="dxa" w:w="120"/>
              <w:bottom w:type="dxa" w:w="90"/>
              <w:right w:type="dxa" w:w="120"/>
            </w:tcMar>
          </w:tcPr>
          <w:p>
            <w:r>
              <w:rPr>
                <w:color w:val="2E2220"/>
                <w:sz w:val="20"/>
                <w:szCs w:val="20"/>
              </w:rPr>
              <w:t xml:space="preserve">15–16px</w:t>
            </w:r>
          </w:p>
        </w:tc>
        <w:tc>
          <w:tcPr>
            <w:tcW w:type="dxa" w:w="1700"/>
            <w:shd w:fill="FFFFFF" w:val="clear"/>
            <w:tcMar>
              <w:top w:type="dxa" w:w="90"/>
              <w:left w:type="dxa" w:w="120"/>
              <w:bottom w:type="dxa" w:w="90"/>
              <w:right w:type="dxa" w:w="120"/>
            </w:tcMar>
          </w:tcPr>
          <w:p>
            <w:r>
              <w:rPr>
                <w:color w:val="2E2220"/>
                <w:sz w:val="20"/>
                <w:szCs w:val="20"/>
              </w:rPr>
              <w:t xml:space="preserve">Bold</w:t>
            </w:r>
          </w:p>
        </w:tc>
        <w:tc>
          <w:tcPr>
            <w:tcW w:type="dxa" w:w="2050"/>
            <w:shd w:fill="FFFFFF" w:val="clear"/>
            <w:tcMar>
              <w:top w:type="dxa" w:w="90"/>
              <w:left w:type="dxa" w:w="120"/>
              <w:bottom w:type="dxa" w:w="90"/>
              <w:right w:type="dxa" w:w="120"/>
            </w:tcMar>
          </w:tcPr>
          <w:p>
            <w:r>
              <w:rPr>
                <w:color w:val="2E2220"/>
                <w:sz w:val="20"/>
                <w:szCs w:val="20"/>
              </w:rPr>
              <w:t xml:space="preserve">Sora</w:t>
            </w:r>
          </w:p>
        </w:tc>
        <w:tc>
          <w:tcPr>
            <w:tcW w:type="dxa" w:w="1600"/>
            <w:shd w:fill="FFFFFF" w:val="clear"/>
            <w:tcMar>
              <w:top w:type="dxa" w:w="90"/>
              <w:left w:type="dxa" w:w="120"/>
              <w:bottom w:type="dxa" w:w="90"/>
              <w:right w:type="dxa" w:w="120"/>
            </w:tcMar>
          </w:tcPr>
          <w:p>
            <w:r>
              <w:rPr>
                <w:color w:val="2E2220"/>
                <w:sz w:val="20"/>
                <w:szCs w:val="20"/>
              </w:rPr>
              <w:t xml:space="preserve">Patient name, consultant name</w:t>
            </w:r>
          </w:p>
        </w:tc>
      </w:tr>
      <w:tr>
        <w:tc>
          <w:tcPr>
            <w:tcW w:type="dxa" w:w="2600"/>
            <w:shd w:fill="FFFFFF" w:val="clear"/>
            <w:tcMar>
              <w:top w:type="dxa" w:w="90"/>
              <w:left w:type="dxa" w:w="120"/>
              <w:bottom w:type="dxa" w:w="90"/>
              <w:right w:type="dxa" w:w="120"/>
            </w:tcMar>
          </w:tcPr>
          <w:p>
            <w:r>
              <w:rPr>
                <w:color w:val="2E2220"/>
                <w:sz w:val="20"/>
                <w:szCs w:val="20"/>
              </w:rPr>
              <w:t xml:space="preserve">Key number</w:t>
            </w:r>
          </w:p>
        </w:tc>
        <w:tc>
          <w:tcPr>
            <w:tcW w:type="dxa" w:w="1400"/>
            <w:shd w:fill="FFFFFF" w:val="clear"/>
            <w:tcMar>
              <w:top w:type="dxa" w:w="90"/>
              <w:left w:type="dxa" w:w="120"/>
              <w:bottom w:type="dxa" w:w="90"/>
              <w:right w:type="dxa" w:w="120"/>
            </w:tcMar>
          </w:tcPr>
          <w:p>
            <w:r>
              <w:rPr>
                <w:color w:val="2E2220"/>
                <w:sz w:val="20"/>
                <w:szCs w:val="20"/>
              </w:rPr>
              <w:t xml:space="preserve">16–20px</w:t>
            </w:r>
          </w:p>
        </w:tc>
        <w:tc>
          <w:tcPr>
            <w:tcW w:type="dxa" w:w="1700"/>
            <w:shd w:fill="FFFFFF" w:val="clear"/>
            <w:tcMar>
              <w:top w:type="dxa" w:w="90"/>
              <w:left w:type="dxa" w:w="120"/>
              <w:bottom w:type="dxa" w:w="90"/>
              <w:right w:type="dxa" w:w="120"/>
            </w:tcMar>
          </w:tcPr>
          <w:p>
            <w:r>
              <w:rPr>
                <w:color w:val="2E2220"/>
                <w:sz w:val="20"/>
                <w:szCs w:val="20"/>
              </w:rPr>
              <w:t xml:space="preserve">Bold</w:t>
            </w:r>
          </w:p>
        </w:tc>
        <w:tc>
          <w:tcPr>
            <w:tcW w:type="dxa" w:w="2050"/>
            <w:shd w:fill="FFFFFF" w:val="clear"/>
            <w:tcMar>
              <w:top w:type="dxa" w:w="90"/>
              <w:left w:type="dxa" w:w="120"/>
              <w:bottom w:type="dxa" w:w="90"/>
              <w:right w:type="dxa" w:w="120"/>
            </w:tcMar>
          </w:tcPr>
          <w:p>
            <w:r>
              <w:rPr>
                <w:color w:val="2E2220"/>
                <w:sz w:val="20"/>
                <w:szCs w:val="20"/>
              </w:rPr>
              <w:t xml:space="preserve">Sora</w:t>
            </w:r>
          </w:p>
        </w:tc>
        <w:tc>
          <w:tcPr>
            <w:tcW w:type="dxa" w:w="1600"/>
            <w:shd w:fill="FFFFFF" w:val="clear"/>
            <w:tcMar>
              <w:top w:type="dxa" w:w="90"/>
              <w:left w:type="dxa" w:w="120"/>
              <w:bottom w:type="dxa" w:w="90"/>
              <w:right w:type="dxa" w:w="120"/>
            </w:tcMar>
          </w:tcPr>
          <w:p>
            <w:r>
              <w:rPr>
                <w:color w:val="2E2220"/>
                <w:sz w:val="20"/>
                <w:szCs w:val="20"/>
              </w:rPr>
              <w:t xml:space="preserve">A vitals value, a fee, a stat</w:t>
            </w:r>
          </w:p>
        </w:tc>
      </w:tr>
      <w:tr>
        <w:tc>
          <w:tcPr>
            <w:tcW w:type="dxa" w:w="2600"/>
            <w:shd w:fill="FFFFFF" w:val="clear"/>
            <w:tcMar>
              <w:top w:type="dxa" w:w="90"/>
              <w:left w:type="dxa" w:w="120"/>
              <w:bottom w:type="dxa" w:w="90"/>
              <w:right w:type="dxa" w:w="120"/>
            </w:tcMar>
          </w:tcPr>
          <w:p>
            <w:r>
              <w:rPr>
                <w:color w:val="2E2220"/>
                <w:sz w:val="20"/>
                <w:szCs w:val="20"/>
              </w:rPr>
              <w:t xml:space="preserve">Body text</w:t>
            </w:r>
          </w:p>
        </w:tc>
        <w:tc>
          <w:tcPr>
            <w:tcW w:type="dxa" w:w="1400"/>
            <w:shd w:fill="FFFFFF" w:val="clear"/>
            <w:tcMar>
              <w:top w:type="dxa" w:w="90"/>
              <w:left w:type="dxa" w:w="120"/>
              <w:bottom w:type="dxa" w:w="90"/>
              <w:right w:type="dxa" w:w="120"/>
            </w:tcMar>
          </w:tcPr>
          <w:p>
            <w:r>
              <w:rPr>
                <w:color w:val="2E2220"/>
                <w:sz w:val="20"/>
                <w:szCs w:val="20"/>
              </w:rPr>
              <w:t xml:space="preserve">14px</w:t>
            </w:r>
          </w:p>
        </w:tc>
        <w:tc>
          <w:tcPr>
            <w:tcW w:type="dxa" w:w="1700"/>
            <w:shd w:fill="FFFFFF" w:val="clear"/>
            <w:tcMar>
              <w:top w:type="dxa" w:w="90"/>
              <w:left w:type="dxa" w:w="120"/>
              <w:bottom w:type="dxa" w:w="90"/>
              <w:right w:type="dxa" w:w="120"/>
            </w:tcMar>
          </w:tcPr>
          <w:p>
            <w:r>
              <w:rPr>
                <w:color w:val="2E2220"/>
                <w:sz w:val="20"/>
                <w:szCs w:val="20"/>
              </w:rPr>
              <w:t xml:space="preserve">Regular/Medium</w:t>
            </w:r>
          </w:p>
        </w:tc>
        <w:tc>
          <w:tcPr>
            <w:tcW w:type="dxa" w:w="2050"/>
            <w:shd w:fill="FFFFFF" w:val="clear"/>
            <w:tcMar>
              <w:top w:type="dxa" w:w="90"/>
              <w:left w:type="dxa" w:w="120"/>
              <w:bottom w:type="dxa" w:w="90"/>
              <w:right w:type="dxa" w:w="120"/>
            </w:tcMar>
          </w:tcPr>
          <w:p>
            <w:r>
              <w:rPr>
                <w:color w:val="2E2220"/>
                <w:sz w:val="20"/>
                <w:szCs w:val="20"/>
              </w:rPr>
              <w:t xml:space="preserve">Inter</w:t>
            </w:r>
          </w:p>
        </w:tc>
        <w:tc>
          <w:tcPr>
            <w:tcW w:type="dxa" w:w="1600"/>
            <w:shd w:fill="FFFFFF" w:val="clear"/>
            <w:tcMar>
              <w:top w:type="dxa" w:w="90"/>
              <w:left w:type="dxa" w:w="120"/>
              <w:bottom w:type="dxa" w:w="90"/>
              <w:right w:type="dxa" w:w="120"/>
            </w:tcMar>
          </w:tcPr>
          <w:p>
            <w:r>
              <w:rPr>
                <w:color w:val="2E2220"/>
                <w:sz w:val="20"/>
                <w:szCs w:val="20"/>
              </w:rPr>
              <w:t xml:space="preserve">Chat messages, descriptions</w:t>
            </w:r>
          </w:p>
        </w:tc>
      </w:tr>
      <w:tr>
        <w:tc>
          <w:tcPr>
            <w:tcW w:type="dxa" w:w="2600"/>
            <w:shd w:fill="FFFFFF" w:val="clear"/>
            <w:tcMar>
              <w:top w:type="dxa" w:w="90"/>
              <w:left w:type="dxa" w:w="120"/>
              <w:bottom w:type="dxa" w:w="90"/>
              <w:right w:type="dxa" w:w="120"/>
            </w:tcMar>
          </w:tcPr>
          <w:p>
            <w:r>
              <w:rPr>
                <w:color w:val="2E2220"/>
                <w:sz w:val="20"/>
                <w:szCs w:val="20"/>
              </w:rPr>
              <w:t xml:space="preserve">Secondary / meta</w:t>
            </w:r>
          </w:p>
        </w:tc>
        <w:tc>
          <w:tcPr>
            <w:tcW w:type="dxa" w:w="1400"/>
            <w:shd w:fill="FFFFFF" w:val="clear"/>
            <w:tcMar>
              <w:top w:type="dxa" w:w="90"/>
              <w:left w:type="dxa" w:w="120"/>
              <w:bottom w:type="dxa" w:w="90"/>
              <w:right w:type="dxa" w:w="120"/>
            </w:tcMar>
          </w:tcPr>
          <w:p>
            <w:r>
              <w:rPr>
                <w:color w:val="2E2220"/>
                <w:sz w:val="20"/>
                <w:szCs w:val="20"/>
              </w:rPr>
              <w:t xml:space="preserve">12–13px</w:t>
            </w:r>
          </w:p>
        </w:tc>
        <w:tc>
          <w:tcPr>
            <w:tcW w:type="dxa" w:w="1700"/>
            <w:shd w:fill="FFFFFF" w:val="clear"/>
            <w:tcMar>
              <w:top w:type="dxa" w:w="90"/>
              <w:left w:type="dxa" w:w="120"/>
              <w:bottom w:type="dxa" w:w="90"/>
              <w:right w:type="dxa" w:w="120"/>
            </w:tcMar>
          </w:tcPr>
          <w:p>
            <w:r>
              <w:rPr>
                <w:color w:val="2E2220"/>
                <w:sz w:val="20"/>
                <w:szCs w:val="20"/>
              </w:rPr>
              <w:t xml:space="preserve">Regular</w:t>
            </w:r>
          </w:p>
        </w:tc>
        <w:tc>
          <w:tcPr>
            <w:tcW w:type="dxa" w:w="2050"/>
            <w:shd w:fill="FFFFFF" w:val="clear"/>
            <w:tcMar>
              <w:top w:type="dxa" w:w="90"/>
              <w:left w:type="dxa" w:w="120"/>
              <w:bottom w:type="dxa" w:w="90"/>
              <w:right w:type="dxa" w:w="120"/>
            </w:tcMar>
          </w:tcPr>
          <w:p>
            <w:r>
              <w:rPr>
                <w:color w:val="2E2220"/>
                <w:sz w:val="20"/>
                <w:szCs w:val="20"/>
              </w:rPr>
              <w:t xml:space="preserve">Inter</w:t>
            </w:r>
          </w:p>
        </w:tc>
        <w:tc>
          <w:tcPr>
            <w:tcW w:type="dxa" w:w="1600"/>
            <w:shd w:fill="FFFFFF" w:val="clear"/>
            <w:tcMar>
              <w:top w:type="dxa" w:w="90"/>
              <w:left w:type="dxa" w:w="120"/>
              <w:bottom w:type="dxa" w:w="90"/>
              <w:right w:type="dxa" w:w="120"/>
            </w:tcMar>
          </w:tcPr>
          <w:p>
            <w:r>
              <w:rPr>
                <w:color w:val="2E2220"/>
                <w:sz w:val="20"/>
                <w:szCs w:val="20"/>
              </w:rPr>
              <w:t xml:space="preserve">Hospital name, timestamp</w:t>
            </w:r>
          </w:p>
        </w:tc>
      </w:tr>
      <w:tr>
        <w:tc>
          <w:tcPr>
            <w:tcW w:type="dxa" w:w="2600"/>
            <w:shd w:fill="FFFFFF" w:val="clear"/>
            <w:tcMar>
              <w:top w:type="dxa" w:w="90"/>
              <w:left w:type="dxa" w:w="120"/>
              <w:bottom w:type="dxa" w:w="90"/>
              <w:right w:type="dxa" w:w="120"/>
            </w:tcMar>
          </w:tcPr>
          <w:p>
            <w:r>
              <w:rPr>
                <w:color w:val="2E2220"/>
                <w:sz w:val="20"/>
                <w:szCs w:val="20"/>
              </w:rPr>
              <w:t xml:space="preserve">Eyebrow / section label</w:t>
            </w:r>
          </w:p>
        </w:tc>
        <w:tc>
          <w:tcPr>
            <w:tcW w:type="dxa" w:w="1400"/>
            <w:shd w:fill="FFFFFF" w:val="clear"/>
            <w:tcMar>
              <w:top w:type="dxa" w:w="90"/>
              <w:left w:type="dxa" w:w="120"/>
              <w:bottom w:type="dxa" w:w="90"/>
              <w:right w:type="dxa" w:w="120"/>
            </w:tcMar>
          </w:tcPr>
          <w:p>
            <w:r>
              <w:rPr>
                <w:color w:val="2E2220"/>
                <w:sz w:val="20"/>
                <w:szCs w:val="20"/>
              </w:rPr>
              <w:t xml:space="preserve">11px</w:t>
            </w:r>
          </w:p>
        </w:tc>
        <w:tc>
          <w:tcPr>
            <w:tcW w:type="dxa" w:w="1700"/>
            <w:shd w:fill="FFFFFF" w:val="clear"/>
            <w:tcMar>
              <w:top w:type="dxa" w:w="90"/>
              <w:left w:type="dxa" w:w="120"/>
              <w:bottom w:type="dxa" w:w="90"/>
              <w:right w:type="dxa" w:w="120"/>
            </w:tcMar>
          </w:tcPr>
          <w:p>
            <w:r>
              <w:rPr>
                <w:color w:val="2E2220"/>
                <w:sz w:val="20"/>
                <w:szCs w:val="20"/>
              </w:rPr>
              <w:t xml:space="preserve">Bold, +0.3 tracking</w:t>
            </w:r>
          </w:p>
        </w:tc>
        <w:tc>
          <w:tcPr>
            <w:tcW w:type="dxa" w:w="2050"/>
            <w:shd w:fill="FFFFFF" w:val="clear"/>
            <w:tcMar>
              <w:top w:type="dxa" w:w="90"/>
              <w:left w:type="dxa" w:w="120"/>
              <w:bottom w:type="dxa" w:w="90"/>
              <w:right w:type="dxa" w:w="120"/>
            </w:tcMar>
          </w:tcPr>
          <w:p>
            <w:r>
              <w:rPr>
                <w:color w:val="2E2220"/>
                <w:sz w:val="20"/>
                <w:szCs w:val="20"/>
              </w:rPr>
              <w:t xml:space="preserve">Inter</w:t>
            </w:r>
          </w:p>
        </w:tc>
        <w:tc>
          <w:tcPr>
            <w:tcW w:type="dxa" w:w="1600"/>
            <w:shd w:fill="FFFFFF" w:val="clear"/>
            <w:tcMar>
              <w:top w:type="dxa" w:w="90"/>
              <w:left w:type="dxa" w:w="120"/>
              <w:bottom w:type="dxa" w:w="90"/>
              <w:right w:type="dxa" w:w="120"/>
            </w:tcMar>
          </w:tcPr>
          <w:p>
            <w:r>
              <w:rPr>
                <w:color w:val="2E2220"/>
                <w:sz w:val="20"/>
                <w:szCs w:val="20"/>
              </w:rPr>
              <w:t xml:space="preserve">“TODAY”, “PERSONAL DETAILS”</w:t>
            </w:r>
          </w:p>
        </w:tc>
      </w:tr>
    </w:tbl>
    <w:p>
      <w:pPr>
        <w:spacing w:after="140"/>
      </w:pPr>
      <w:r>
        <w:rPr>
          <w:color w:val="2E2220"/>
          <w:sz w:val="22"/>
          <w:szCs w:val="22"/>
        </w:rPr>
        <w:t xml:space="preserve">Rationale for putting numbers in Sora rather than Inter: a number a doctor needs to register quickly (a BP reading, a fee) benefits from the same visual weight as a title — it is information that deserves to be seen first, not read like a sentence.</w:t>
      </w:r>
    </w:p>
    <w:p>
      <w:r>
        <w:br w:type="page"/>
      </w:r>
    </w:p>
    <w:p>
      <w:pPr>
        <w:pStyle w:val="Heading1"/>
        <w:spacing w:after="160" w:before="320"/>
      </w:pPr>
      <w:r>
        <w:t xml:space="preserve">4. Iconography</w:t>
      </w:r>
    </w:p>
    <w:p>
      <w:pPr>
        <w:pStyle w:val="ListParagraph"/>
        <w:numPr>
          <w:ilvl w:val="0"/>
          <w:numId w:val="1"/>
        </w:numPr>
        <w:spacing w:after="90"/>
      </w:pPr>
      <w:r>
        <w:rPr>
          <w:color w:val="2E2220"/>
          <w:sz w:val="22"/>
          <w:szCs w:val="22"/>
        </w:rPr>
        <w:t xml:space="preserve">Line-style by default: consistent stroke width (≈1.6–1.8), rounded joins, no mixed icon-set weights.</w:t>
      </w:r>
    </w:p>
    <w:p>
      <w:pPr>
        <w:pStyle w:val="ListParagraph"/>
        <w:numPr>
          <w:ilvl w:val="0"/>
          <w:numId w:val="1"/>
        </w:numPr>
        <w:spacing w:after="90"/>
      </w:pPr>
      <w:r>
        <w:rPr>
          <w:color w:val="2E2220"/>
          <w:sz w:val="22"/>
          <w:szCs w:val="22"/>
        </w:rPr>
        <w:t xml:space="preserve">Filled and colored ONLY for the active/selected state — e.g. the active bottom-tab icon fills Coral while inactive tabs stay plain grey line icons. This does two jobs: it looks polished, and it lets the eye catch the active state by color before reading the label.</w:t>
      </w:r>
    </w:p>
    <w:p>
      <w:pPr>
        <w:pStyle w:val="Heading2"/>
        <w:spacing w:after="120" w:before="260"/>
      </w:pPr>
      <w:r>
        <w:t xml:space="preserve">4.1 Enabled vs. disabled: color is not decoration, it is a state signal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0C9BD" w:sz="4"/>
              <w:left w:val="single" w:color="F0C9BD" w:sz="4"/>
              <w:bottom w:val="single" w:color="F0C9BD" w:sz="4"/>
              <w:right w:val="single" w:color="F0C9BD" w:sz="4"/>
            </w:tcBorders>
            <w:shd w:fill="FBEDE8" w:val="clear"/>
            <w:tcMar>
              <w:top w:type="dxa" w:w="160"/>
              <w:left w:type="dxa" w:w="200"/>
              <w:bottom w:type="dxa" w:w="160"/>
              <w:right w:type="dxa" w:w="200"/>
            </w:tcMar>
          </w:tcPr>
          <w:p>
            <w:pPr>
              <w:spacing w:after="60"/>
            </w:pPr>
            <w:r>
              <w:rPr>
                <w:b/>
                <w:bCs/>
                <w:color w:val="2E2220"/>
                <w:sz w:val="22"/>
                <w:szCs w:val="22"/>
              </w:rPr>
              <w:t xml:space="preserve">A grey icon reads as disabled, not as “restrained.” Every phone app on a user’s device has already trained them that a grey phone or video icon means “you can’t use this right now.” Muting a working action to look calmer makes it look broken instead — this was a real mistake caught during design review of the Dashboard row-expand menu.</w:t>
            </w:r>
          </w:p>
        </w:tc>
      </w:tr>
    </w:tbl>
    <w:p>
      <w:pPr>
        <w:spacing w:after="60"/>
      </w:pPr>
    </w:p>
    <w:p>
      <w:pPr>
        <w:pStyle w:val="ListParagraph"/>
        <w:numPr>
          <w:ilvl w:val="0"/>
          <w:numId w:val="1"/>
        </w:numPr>
        <w:spacing w:after="90"/>
      </w:pPr>
      <w:r>
        <w:rPr>
          <w:color w:val="2E2220"/>
          <w:sz w:val="22"/>
          <w:szCs w:val="22"/>
        </w:rPr>
        <w:t xml:space="preserve">Call uses its universally recognized green, and Video uses blue (the color every major call product — FaceTime, Google Meet — already uses), whenever the action is actually available. This is not “making things colorful for decoration” — it is using the one color convention users already carry into the app, the same Jakob’s-Law reasoning behind the rest of this system.</w:t>
      </w:r>
    </w:p>
    <w:p>
      <w:pPr>
        <w:pStyle w:val="ListParagraph"/>
        <w:numPr>
          <w:ilvl w:val="0"/>
          <w:numId w:val="1"/>
        </w:numPr>
        <w:spacing w:after="90"/>
      </w:pPr>
      <w:r>
        <w:rPr>
          <w:color w:val="2E2220"/>
          <w:sz w:val="22"/>
          <w:szCs w:val="22"/>
        </w:rPr>
        <w:t xml:space="preserve">Case File and Advise have no pre-existing color convention, so they stay in the neutral Ink-soft tone even when enabled — there is nothing to borrow, and inventing a color for them would be the kind of novelty this system is trying to avoid.</w:t>
      </w:r>
    </w:p>
    <w:p>
      <w:pPr>
        <w:pStyle w:val="ListParagraph"/>
        <w:numPr>
          <w:ilvl w:val="0"/>
          <w:numId w:val="1"/>
        </w:numPr>
        <w:spacing w:after="90"/>
      </w:pPr>
      <w:r>
        <w:rPr>
          <w:color w:val="2E2220"/>
          <w:sz w:val="22"/>
          <w:szCs w:val="22"/>
        </w:rPr>
        <w:t xml:space="preserve">A genuinely disabled action (e.g. Call/Video/Advise on a Completed consultation, per the original specification’s row-behavior rules) is shown fully muted: faint grey icon, faint grey label, not tappable. This is the ONLY situation grey belongs on one of these icons — it must correctly mean “unavailable,” never “available, but styled quietly.”</w:t>
      </w:r>
    </w:p>
    <w:p>
      <w:pPr>
        <w:pStyle w:val="ListParagraph"/>
        <w:numPr>
          <w:ilvl w:val="0"/>
          <w:numId w:val="1"/>
        </w:numPr>
        <w:spacing w:after="90"/>
      </w:pPr>
      <w:r>
        <w:rPr>
          <w:color w:val="2E2220"/>
          <w:sz w:val="22"/>
          <w:szCs w:val="22"/>
        </w:rPr>
        <w:t xml:space="preserve">Case File remains dark/legible and tappable in every state, including on a Completed consultation, since the record itself is always reachable — only the live actions (Call, Video, Advise composition) become unavailable once the engagement window closes.</w:t>
      </w:r>
    </w:p>
    <w:p>
      <w:pPr>
        <w:pStyle w:val="ListParagraph"/>
        <w:numPr>
          <w:ilvl w:val="0"/>
          <w:numId w:val="1"/>
        </w:numPr>
        <w:spacing w:after="90"/>
      </w:pPr>
      <w:r>
        <w:rPr>
          <w:color w:val="2E2220"/>
          <w:sz w:val="22"/>
          <w:szCs w:val="22"/>
        </w:rPr>
        <w:t xml:space="preserve">Custom icons for two specific concepts, not borrowed from a generic set: the Case File icon (a simple patient bust) and the Clinical Advisory icon (a pencil, deliberately not a prescription pad, consistent with the terminology decision that Perfusion offers advisory opinion rather than prescriptions).</w:t>
      </w:r>
    </w:p>
    <w:p>
      <w:pPr>
        <w:pStyle w:val="ListParagraph"/>
        <w:numPr>
          <w:ilvl w:val="0"/>
          <w:numId w:val="1"/>
        </w:numPr>
        <w:spacing w:after="90"/>
      </w:pPr>
      <w:r>
        <w:rPr>
          <w:color w:val="2E2220"/>
          <w:sz w:val="22"/>
          <w:szCs w:val="22"/>
        </w:rPr>
        <w:t xml:space="preserve">Category icons on vitals (BP, HR, GCS, SpO2) each get their own small tinted badge rather than sharing one visual treatment — this was a specific fix for vitals reading as “boring”: color-coding by category lets the eye jump straight to the number wanted instead of reading every label in sequence.</w:t>
      </w:r>
    </w:p>
    <w:p>
      <w:r>
        <w:br w:type="page"/>
      </w:r>
    </w:p>
    <w:p>
      <w:pPr>
        <w:pStyle w:val="Heading1"/>
        <w:spacing w:after="160" w:before="320"/>
      </w:pPr>
      <w:r>
        <w:t xml:space="preserve">5. Layout &amp; Spacing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0C9BD" w:sz="4"/>
              <w:left w:val="single" w:color="F0C9BD" w:sz="4"/>
              <w:bottom w:val="single" w:color="F0C9BD" w:sz="4"/>
              <w:right w:val="single" w:color="F0C9BD" w:sz="4"/>
            </w:tcBorders>
            <w:shd w:fill="FBEDE8" w:val="clear"/>
            <w:tcMar>
              <w:top w:type="dxa" w:w="160"/>
              <w:left w:type="dxa" w:w="200"/>
              <w:bottom w:type="dxa" w:w="160"/>
              <w:right w:type="dxa" w:w="200"/>
            </w:tcMar>
          </w:tcPr>
          <w:p>
            <w:pPr>
              <w:spacing w:after="60"/>
            </w:pPr>
            <w:r>
              <w:rPr>
                <w:b/>
                <w:bCs/>
                <w:color w:val="2E2220"/>
                <w:sz w:val="22"/>
                <w:szCs w:val="22"/>
              </w:rPr>
              <w:t xml:space="preserve">This section did not exist in an earlier draft of this document, and its absence was a real gap: a color palette tells a builder what things look like, but not where things go or how big they are. Without it, every screen gets built with independently-guessed padding, which produces visible inconsistency even when the colors and fonts are correct. The values below are drawn directly from the reference screens already built (Section 10), not invented separately from them.</w:t>
            </w:r>
          </w:p>
        </w:tc>
      </w:tr>
    </w:tbl>
    <w:p>
      <w:pPr>
        <w:pStyle w:val="Heading2"/>
        <w:spacing w:after="120" w:before="260"/>
      </w:pPr>
      <w:r>
        <w:t xml:space="preserve">5.1 Spacing scale</w:t>
      </w:r>
    </w:p>
    <w:p>
      <w:pPr>
        <w:spacing w:after="140"/>
      </w:pPr>
      <w:r>
        <w:rPr>
          <w:color w:val="2E2220"/>
          <w:sz w:val="22"/>
          <w:szCs w:val="22"/>
        </w:rPr>
        <w:t xml:space="preserve">A base-4 scale. Every margin, padding, and gap in the app should be one of these values — not an arbitrary in-between number.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c>
          <w:tcPr>
            <w:tcW w:type="dxa" w:w="1400"/>
            <w:shd w:fill="2E2220" w:val="clear"/>
            <w:tcMar>
              <w:top w:type="dxa" w:w="100"/>
              <w:left w:type="dxa" w:w="120"/>
              <w:bottom w:type="dxa" w:w="100"/>
              <w:right w:type="dxa" w:w="120"/>
            </w:tcMar>
          </w:tcPr>
          <w:p>
            <w:r>
              <w:rPr>
                <w:b/>
                <w:bCs/>
                <w:color w:val="FFFFFF"/>
                <w:sz w:val="19"/>
                <w:szCs w:val="19"/>
              </w:rPr>
              <w:t xml:space="preserve">VALUE (PX)</w:t>
            </w:r>
          </w:p>
        </w:tc>
        <w:tc>
          <w:tcPr>
            <w:tcW w:type="dxa" w:w="7950"/>
            <w:shd w:fill="2E2220" w:val="clear"/>
            <w:tcMar>
              <w:top w:type="dxa" w:w="100"/>
              <w:left w:type="dxa" w:w="120"/>
              <w:bottom w:type="dxa" w:w="100"/>
              <w:right w:type="dxa" w:w="120"/>
            </w:tcMar>
          </w:tcPr>
          <w:p>
            <w:r>
              <w:rPr>
                <w:b/>
                <w:bCs/>
                <w:color w:val="FFFFFF"/>
                <w:sz w:val="19"/>
                <w:szCs w:val="19"/>
              </w:rPr>
              <w:t xml:space="preserve">USED FOR</w:t>
            </w:r>
          </w:p>
        </w:tc>
      </w:tr>
      <w:tr>
        <w:tc>
          <w:tcPr>
            <w:tcW w:type="dxa" w:w="1400"/>
            <w:shd w:fill="FFFFFF" w:val="clear"/>
            <w:tcMar>
              <w:top w:type="dxa" w:w="90"/>
              <w:left w:type="dxa" w:w="120"/>
              <w:bottom w:type="dxa" w:w="90"/>
              <w:right w:type="dxa" w:w="120"/>
            </w:tcMar>
          </w:tcPr>
          <w:p>
            <w:r>
              <w:rPr>
                <w:color w:val="2E2220"/>
                <w:sz w:val="20"/>
                <w:szCs w:val="20"/>
              </w:rPr>
              <w:t xml:space="preserve">4</w:t>
            </w:r>
          </w:p>
        </w:tc>
        <w:tc>
          <w:tcPr>
            <w:tcW w:type="dxa" w:w="7950"/>
            <w:shd w:fill="FFFFFF" w:val="clear"/>
            <w:tcMar>
              <w:top w:type="dxa" w:w="90"/>
              <w:left w:type="dxa" w:w="120"/>
              <w:bottom w:type="dxa" w:w="90"/>
              <w:right w:type="dxa" w:w="120"/>
            </w:tcMar>
          </w:tcPr>
          <w:p>
            <w:r>
              <w:rPr>
                <w:color w:val="2E2220"/>
                <w:sz w:val="20"/>
                <w:szCs w:val="20"/>
              </w:rPr>
              <w:t xml:space="preserve">Icon-to-label gap inside a small element</w:t>
            </w:r>
          </w:p>
        </w:tc>
      </w:tr>
      <w:tr>
        <w:tc>
          <w:tcPr>
            <w:tcW w:type="dxa" w:w="1400"/>
            <w:shd w:fill="FFFFFF" w:val="clear"/>
            <w:tcMar>
              <w:top w:type="dxa" w:w="90"/>
              <w:left w:type="dxa" w:w="120"/>
              <w:bottom w:type="dxa" w:w="90"/>
              <w:right w:type="dxa" w:w="120"/>
            </w:tcMar>
          </w:tcPr>
          <w:p>
            <w:r>
              <w:rPr>
                <w:color w:val="2E2220"/>
                <w:sz w:val="20"/>
                <w:szCs w:val="20"/>
              </w:rPr>
              <w:t xml:space="preserve">8</w:t>
            </w:r>
          </w:p>
        </w:tc>
        <w:tc>
          <w:tcPr>
            <w:tcW w:type="dxa" w:w="7950"/>
            <w:shd w:fill="FFFFFF" w:val="clear"/>
            <w:tcMar>
              <w:top w:type="dxa" w:w="90"/>
              <w:left w:type="dxa" w:w="120"/>
              <w:bottom w:type="dxa" w:w="90"/>
              <w:right w:type="dxa" w:w="120"/>
            </w:tcMar>
          </w:tcPr>
          <w:p>
            <w:r>
              <w:rPr>
                <w:color w:val="2E2220"/>
                <w:sz w:val="20"/>
                <w:szCs w:val="20"/>
              </w:rPr>
              <w:t xml:space="preserve">Gap between tightly related elements (badge + text, icon + label)</w:t>
            </w:r>
          </w:p>
        </w:tc>
      </w:tr>
      <w:tr>
        <w:tc>
          <w:tcPr>
            <w:tcW w:type="dxa" w:w="1400"/>
            <w:shd w:fill="FFFFFF" w:val="clear"/>
            <w:tcMar>
              <w:top w:type="dxa" w:w="90"/>
              <w:left w:type="dxa" w:w="120"/>
              <w:bottom w:type="dxa" w:w="90"/>
              <w:right w:type="dxa" w:w="120"/>
            </w:tcMar>
          </w:tcPr>
          <w:p>
            <w:r>
              <w:rPr>
                <w:color w:val="2E2220"/>
                <w:sz w:val="20"/>
                <w:szCs w:val="20"/>
              </w:rPr>
              <w:t xml:space="preserve">12</w:t>
            </w:r>
          </w:p>
        </w:tc>
        <w:tc>
          <w:tcPr>
            <w:tcW w:type="dxa" w:w="7950"/>
            <w:shd w:fill="FFFFFF" w:val="clear"/>
            <w:tcMar>
              <w:top w:type="dxa" w:w="90"/>
              <w:left w:type="dxa" w:w="120"/>
              <w:bottom w:type="dxa" w:w="90"/>
              <w:right w:type="dxa" w:w="120"/>
            </w:tcMar>
          </w:tcPr>
          <w:p>
            <w:r>
              <w:rPr>
                <w:color w:val="2E2220"/>
                <w:sz w:val="20"/>
                <w:szCs w:val="20"/>
              </w:rPr>
              <w:t xml:space="preserve">Gap between cards in a list; internal gap between a card's sections</w:t>
            </w:r>
          </w:p>
        </w:tc>
      </w:tr>
      <w:tr>
        <w:tc>
          <w:tcPr>
            <w:tcW w:type="dxa" w:w="1400"/>
            <w:shd w:fill="FFFFFF" w:val="clear"/>
            <w:tcMar>
              <w:top w:type="dxa" w:w="90"/>
              <w:left w:type="dxa" w:w="120"/>
              <w:bottom w:type="dxa" w:w="90"/>
              <w:right w:type="dxa" w:w="120"/>
            </w:tcMar>
          </w:tcPr>
          <w:p>
            <w:r>
              <w:rPr>
                <w:color w:val="2E2220"/>
                <w:sz w:val="20"/>
                <w:szCs w:val="20"/>
              </w:rPr>
              <w:t xml:space="preserve">16</w:t>
            </w:r>
          </w:p>
        </w:tc>
        <w:tc>
          <w:tcPr>
            <w:tcW w:type="dxa" w:w="7950"/>
            <w:shd w:fill="FFFFFF" w:val="clear"/>
            <w:tcMar>
              <w:top w:type="dxa" w:w="90"/>
              <w:left w:type="dxa" w:w="120"/>
              <w:bottom w:type="dxa" w:w="90"/>
              <w:right w:type="dxa" w:w="120"/>
            </w:tcMar>
          </w:tcPr>
          <w:p>
            <w:r>
              <w:rPr>
                <w:color w:val="2E2220"/>
                <w:sz w:val="20"/>
                <w:szCs w:val="20"/>
              </w:rPr>
              <w:t xml:space="preserve">Standard screen edge margin (left/right) on every screen</w:t>
            </w:r>
          </w:p>
        </w:tc>
      </w:tr>
      <w:tr>
        <w:tc>
          <w:tcPr>
            <w:tcW w:type="dxa" w:w="1400"/>
            <w:shd w:fill="FFFFFF" w:val="clear"/>
            <w:tcMar>
              <w:top w:type="dxa" w:w="90"/>
              <w:left w:type="dxa" w:w="120"/>
              <w:bottom w:type="dxa" w:w="90"/>
              <w:right w:type="dxa" w:w="120"/>
            </w:tcMar>
          </w:tcPr>
          <w:p>
            <w:r>
              <w:rPr>
                <w:color w:val="2E2220"/>
                <w:sz w:val="20"/>
                <w:szCs w:val="20"/>
              </w:rPr>
              <w:t xml:space="preserve">20</w:t>
            </w:r>
          </w:p>
        </w:tc>
        <w:tc>
          <w:tcPr>
            <w:tcW w:type="dxa" w:w="7950"/>
            <w:shd w:fill="FFFFFF" w:val="clear"/>
            <w:tcMar>
              <w:top w:type="dxa" w:w="90"/>
              <w:left w:type="dxa" w:w="120"/>
              <w:bottom w:type="dxa" w:w="90"/>
              <w:right w:type="dxa" w:w="120"/>
            </w:tcMar>
          </w:tcPr>
          <w:p>
            <w:r>
              <w:rPr>
                <w:color w:val="2E2220"/>
                <w:sz w:val="20"/>
                <w:szCs w:val="20"/>
              </w:rPr>
              <w:t xml:space="preserve">Card internal padding on larger cards; section spacing</w:t>
            </w:r>
          </w:p>
        </w:tc>
      </w:tr>
      <w:tr>
        <w:tc>
          <w:tcPr>
            <w:tcW w:type="dxa" w:w="1400"/>
            <w:shd w:fill="FFFFFF" w:val="clear"/>
            <w:tcMar>
              <w:top w:type="dxa" w:w="90"/>
              <w:left w:type="dxa" w:w="120"/>
              <w:bottom w:type="dxa" w:w="90"/>
              <w:right w:type="dxa" w:w="120"/>
            </w:tcMar>
          </w:tcPr>
          <w:p>
            <w:r>
              <w:rPr>
                <w:color w:val="2E2220"/>
                <w:sz w:val="20"/>
                <w:szCs w:val="20"/>
              </w:rPr>
              <w:t xml:space="preserve">24</w:t>
            </w:r>
          </w:p>
        </w:tc>
        <w:tc>
          <w:tcPr>
            <w:tcW w:type="dxa" w:w="7950"/>
            <w:shd w:fill="FFFFFF" w:val="clear"/>
            <w:tcMar>
              <w:top w:type="dxa" w:w="90"/>
              <w:left w:type="dxa" w:w="120"/>
              <w:bottom w:type="dxa" w:w="90"/>
              <w:right w:type="dxa" w:w="120"/>
            </w:tcMar>
          </w:tcPr>
          <w:p>
            <w:r>
              <w:rPr>
                <w:color w:val="2E2220"/>
                <w:sz w:val="20"/>
                <w:szCs w:val="20"/>
              </w:rPr>
              <w:t xml:space="preserve">Spacing between major sections on a screen</w:t>
            </w:r>
          </w:p>
        </w:tc>
      </w:tr>
      <w:tr>
        <w:tc>
          <w:tcPr>
            <w:tcW w:type="dxa" w:w="1400"/>
            <w:shd w:fill="FFFFFF" w:val="clear"/>
            <w:tcMar>
              <w:top w:type="dxa" w:w="90"/>
              <w:left w:type="dxa" w:w="120"/>
              <w:bottom w:type="dxa" w:w="90"/>
              <w:right w:type="dxa" w:w="120"/>
            </w:tcMar>
          </w:tcPr>
          <w:p>
            <w:r>
              <w:rPr>
                <w:color w:val="2E2220"/>
                <w:sz w:val="20"/>
                <w:szCs w:val="20"/>
              </w:rPr>
              <w:t xml:space="preserve">32</w:t>
            </w:r>
          </w:p>
        </w:tc>
        <w:tc>
          <w:tcPr>
            <w:tcW w:type="dxa" w:w="7950"/>
            <w:shd w:fill="FFFFFF" w:val="clear"/>
            <w:tcMar>
              <w:top w:type="dxa" w:w="90"/>
              <w:left w:type="dxa" w:w="120"/>
              <w:bottom w:type="dxa" w:w="90"/>
              <w:right w:type="dxa" w:w="120"/>
            </w:tcMar>
          </w:tcPr>
          <w:p>
            <w:r>
              <w:rPr>
                <w:color w:val="2E2220"/>
                <w:sz w:val="20"/>
                <w:szCs w:val="20"/>
              </w:rPr>
              <w:t xml:space="preserve">Large vertical separation (e.g. above/below an empty-state icon)</w:t>
            </w:r>
          </w:p>
        </w:tc>
      </w:tr>
    </w:tbl>
    <w:p>
      <w:pPr>
        <w:pStyle w:val="Heading2"/>
        <w:spacing w:after="120" w:before="260"/>
      </w:pPr>
      <w:r>
        <w:t xml:space="preserve">5.2 Screen structure template</w:t>
      </w:r>
    </w:p>
    <w:p>
      <w:pPr>
        <w:pStyle w:val="ListParagraph"/>
        <w:numPr>
          <w:ilvl w:val="0"/>
          <w:numId w:val="1"/>
        </w:numPr>
        <w:spacing w:after="90"/>
      </w:pPr>
      <w:r>
        <w:rPr>
          <w:color w:val="2E2220"/>
          <w:sz w:val="22"/>
          <w:szCs w:val="22"/>
        </w:rPr>
        <w:t xml:space="preserve">Status bar: reserved space at the top for the OS clock/signal icons — handled by the safe-area inset, never hand-padded with a fixed pixel guess.</w:t>
      </w:r>
    </w:p>
    <w:p>
      <w:pPr>
        <w:pStyle w:val="ListParagraph"/>
        <w:numPr>
          <w:ilvl w:val="0"/>
          <w:numId w:val="1"/>
        </w:numPr>
        <w:spacing w:after="90"/>
      </w:pPr>
      <w:r>
        <w:rPr>
          <w:color w:val="2E2220"/>
          <w:sz w:val="22"/>
          <w:szCs w:val="22"/>
        </w:rPr>
        <w:t xml:space="preserve">Compact header (back arrow + title, e.g. Explore Consultants, Availability): approx. 56–64px tall, 16px horizontal padding.</w:t>
      </w:r>
    </w:p>
    <w:p>
      <w:pPr>
        <w:pStyle w:val="ListParagraph"/>
        <w:numPr>
          <w:ilvl w:val="0"/>
          <w:numId w:val="1"/>
        </w:numPr>
        <w:spacing w:after="90"/>
      </w:pPr>
      <w:r>
        <w:rPr>
          <w:color w:val="2E2220"/>
          <w:sz w:val="22"/>
          <w:szCs w:val="22"/>
        </w:rPr>
        <w:t xml:space="preserve">Hero header with greeting (Dashboard): approx. 130–150px tall, gradient fill, 20px horizontal padding, rounded bottom corners (24px radius).</w:t>
      </w:r>
    </w:p>
    <w:p>
      <w:pPr>
        <w:pStyle w:val="ListParagraph"/>
        <w:numPr>
          <w:ilvl w:val="0"/>
          <w:numId w:val="1"/>
        </w:numPr>
        <w:spacing w:after="90"/>
      </w:pPr>
      <w:r>
        <w:rPr>
          <w:color w:val="2E2220"/>
          <w:sz w:val="22"/>
          <w:szCs w:val="22"/>
        </w:rPr>
        <w:t xml:space="preserve">Hero header with avatar (My Profile): approx. 190–210px tall, same gradient and corner treatment, content centered rather than left-aligned.</w:t>
      </w:r>
    </w:p>
    <w:p>
      <w:pPr>
        <w:pStyle w:val="ListParagraph"/>
        <w:numPr>
          <w:ilvl w:val="0"/>
          <w:numId w:val="1"/>
        </w:numPr>
        <w:spacing w:after="90"/>
      </w:pPr>
      <w:r>
        <w:rPr>
          <w:color w:val="2E2220"/>
          <w:sz w:val="22"/>
          <w:szCs w:val="22"/>
        </w:rPr>
        <w:t xml:space="preserve">Content area: 16px horizontal margin on every screen, no exceptions. Cards inside it span the full remaining width.</w:t>
      </w:r>
    </w:p>
    <w:p>
      <w:pPr>
        <w:pStyle w:val="ListParagraph"/>
        <w:numPr>
          <w:ilvl w:val="0"/>
          <w:numId w:val="1"/>
        </w:numPr>
        <w:spacing w:after="90"/>
      </w:pPr>
      <w:r>
        <w:rPr>
          <w:color w:val="2E2220"/>
          <w:sz w:val="22"/>
          <w:szCs w:val="22"/>
        </w:rPr>
        <w:t xml:space="preserve">Card list spacing: 12px gap between cards, 14px internal padding on a standard row card, up to 16–20px on a card with more content (e.g. a profile section).</w:t>
      </w:r>
    </w:p>
    <w:p>
      <w:pPr>
        <w:pStyle w:val="ListParagraph"/>
        <w:numPr>
          <w:ilvl w:val="0"/>
          <w:numId w:val="1"/>
        </w:numPr>
        <w:spacing w:after="90"/>
      </w:pPr>
      <w:r>
        <w:rPr>
          <w:color w:val="2E2220"/>
          <w:sz w:val="22"/>
          <w:szCs w:val="22"/>
        </w:rPr>
        <w:t xml:space="preserve">Bottom tab bar: approx. 70–80px total height including label text and the bottom safe-area inset. Reused unchanged on every primary screen (Dashboard, Consultations, Billing, Profile).</w:t>
      </w:r>
    </w:p>
    <w:p>
      <w:pPr>
        <w:pStyle w:val="ListParagraph"/>
        <w:numPr>
          <w:ilvl w:val="0"/>
          <w:numId w:val="1"/>
        </w:numPr>
        <w:spacing w:after="90"/>
      </w:pPr>
      <w:r>
        <w:rPr>
          <w:color w:val="2E2220"/>
          <w:sz w:val="22"/>
          <w:szCs w:val="22"/>
        </w:rPr>
        <w:t xml:space="preserve">Bottom sheets: 20–22px top corner radius, a small centered drag-handle bar, content padded 16–18px on the sides.</w:t>
      </w:r>
    </w:p>
    <w:p>
      <w:pPr>
        <w:pStyle w:val="Heading2"/>
        <w:spacing w:after="120" w:before="260"/>
      </w:pPr>
      <w:r>
        <w:t xml:space="preserve">5.3 Component sizing standards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50"/>
      </w:tblGrid>
      <w:tr>
        <w:tc>
          <w:tcPr>
            <w:tcW w:type="dxa" w:w="4200"/>
            <w:shd w:fill="2E2220" w:val="clear"/>
            <w:tcMar>
              <w:top w:type="dxa" w:w="100"/>
              <w:left w:type="dxa" w:w="120"/>
              <w:bottom w:type="dxa" w:w="100"/>
              <w:right w:type="dxa" w:w="120"/>
            </w:tcMar>
          </w:tcPr>
          <w:p>
            <w:r>
              <w:rPr>
                <w:b/>
                <w:bCs/>
                <w:color w:val="FFFFFF"/>
                <w:sz w:val="19"/>
                <w:szCs w:val="19"/>
              </w:rPr>
              <w:t xml:space="preserve">ELEMENT</w:t>
            </w:r>
          </w:p>
        </w:tc>
        <w:tc>
          <w:tcPr>
            <w:tcW w:type="dxa" w:w="2400"/>
            <w:shd w:fill="2E2220" w:val="clear"/>
            <w:tcMar>
              <w:top w:type="dxa" w:w="100"/>
              <w:left w:type="dxa" w:w="120"/>
              <w:bottom w:type="dxa" w:w="100"/>
              <w:right w:type="dxa" w:w="120"/>
            </w:tcMar>
          </w:tcPr>
          <w:p>
            <w:r>
              <w:rPr>
                <w:b/>
                <w:bCs/>
                <w:color w:val="FFFFFF"/>
                <w:sz w:val="19"/>
                <w:szCs w:val="19"/>
              </w:rPr>
              <w:t xml:space="preserve">SIZE</w:t>
            </w:r>
          </w:p>
        </w:tc>
        <w:tc>
          <w:tcPr>
            <w:tcW w:type="dxa" w:w="2750"/>
            <w:shd w:fill="2E2220" w:val="clear"/>
            <w:tcMar>
              <w:top w:type="dxa" w:w="100"/>
              <w:left w:type="dxa" w:w="120"/>
              <w:bottom w:type="dxa" w:w="100"/>
              <w:right w:type="dxa" w:w="120"/>
            </w:tcMar>
          </w:tcPr>
          <w:p>
            <w:r>
              <w:rPr>
                <w:b/>
                <w:bCs/>
                <w:color w:val="FFFFFF"/>
                <w:sz w:val="19"/>
                <w:szCs w:val="19"/>
              </w:rPr>
              <w:t xml:space="preserve">SHAPE / NOTE</w:t>
            </w:r>
          </w:p>
        </w:tc>
      </w:tr>
      <w:tr>
        <w:tc>
          <w:tcPr>
            <w:tcW w:type="dxa" w:w="4200"/>
            <w:shd w:fill="FFFFFF" w:val="clear"/>
            <w:tcMar>
              <w:top w:type="dxa" w:w="90"/>
              <w:left w:type="dxa" w:w="120"/>
              <w:bottom w:type="dxa" w:w="90"/>
              <w:right w:type="dxa" w:w="120"/>
            </w:tcMar>
          </w:tcPr>
          <w:p>
            <w:r>
              <w:rPr>
                <w:color w:val="2E2220"/>
                <w:sz w:val="20"/>
                <w:szCs w:val="20"/>
              </w:rPr>
              <w:t xml:space="preserve">Row avatar / badge (Dashboard, Consultations)</w:t>
            </w:r>
          </w:p>
        </w:tc>
        <w:tc>
          <w:tcPr>
            <w:tcW w:type="dxa" w:w="2400"/>
            <w:shd w:fill="FFFFFF" w:val="clear"/>
            <w:tcMar>
              <w:top w:type="dxa" w:w="90"/>
              <w:left w:type="dxa" w:w="120"/>
              <w:bottom w:type="dxa" w:w="90"/>
              <w:right w:type="dxa" w:w="120"/>
            </w:tcMar>
          </w:tcPr>
          <w:p>
            <w:r>
              <w:rPr>
                <w:color w:val="2E2220"/>
                <w:sz w:val="20"/>
                <w:szCs w:val="20"/>
              </w:rPr>
              <w:t xml:space="preserve">46 × 46px</w:t>
            </w:r>
          </w:p>
        </w:tc>
        <w:tc>
          <w:tcPr>
            <w:tcW w:type="dxa" w:w="2750"/>
            <w:shd w:fill="FFFFFF" w:val="clear"/>
            <w:tcMar>
              <w:top w:type="dxa" w:w="90"/>
              <w:left w:type="dxa" w:w="120"/>
              <w:bottom w:type="dxa" w:w="90"/>
              <w:right w:type="dxa" w:w="120"/>
            </w:tcMar>
          </w:tcPr>
          <w:p>
            <w:r>
              <w:rPr>
                <w:color w:val="2E2220"/>
                <w:sz w:val="20"/>
                <w:szCs w:val="20"/>
              </w:rPr>
              <w:t xml:space="preserve">14px radius</w:t>
            </w:r>
          </w:p>
        </w:tc>
      </w:tr>
      <w:tr>
        <w:tc>
          <w:tcPr>
            <w:tcW w:type="dxa" w:w="4200"/>
            <w:shd w:fill="FFFFFF" w:val="clear"/>
            <w:tcMar>
              <w:top w:type="dxa" w:w="90"/>
              <w:left w:type="dxa" w:w="120"/>
              <w:bottom w:type="dxa" w:w="90"/>
              <w:right w:type="dxa" w:w="120"/>
            </w:tcMar>
          </w:tcPr>
          <w:p>
            <w:r>
              <w:rPr>
                <w:color w:val="2E2220"/>
                <w:sz w:val="20"/>
                <w:szCs w:val="20"/>
              </w:rPr>
              <w:t xml:space="preserve">Chat message avatar</w:t>
            </w:r>
          </w:p>
        </w:tc>
        <w:tc>
          <w:tcPr>
            <w:tcW w:type="dxa" w:w="2400"/>
            <w:shd w:fill="FFFFFF" w:val="clear"/>
            <w:tcMar>
              <w:top w:type="dxa" w:w="90"/>
              <w:left w:type="dxa" w:w="120"/>
              <w:bottom w:type="dxa" w:w="90"/>
              <w:right w:type="dxa" w:w="120"/>
            </w:tcMar>
          </w:tcPr>
          <w:p>
            <w:r>
              <w:rPr>
                <w:color w:val="2E2220"/>
                <w:sz w:val="20"/>
                <w:szCs w:val="20"/>
              </w:rPr>
              <w:t xml:space="preserve">24–26px diameter</w:t>
            </w:r>
          </w:p>
        </w:tc>
        <w:tc>
          <w:tcPr>
            <w:tcW w:type="dxa" w:w="2750"/>
            <w:shd w:fill="FFFFFF" w:val="clear"/>
            <w:tcMar>
              <w:top w:type="dxa" w:w="90"/>
              <w:left w:type="dxa" w:w="120"/>
              <w:bottom w:type="dxa" w:w="90"/>
              <w:right w:type="dxa" w:w="120"/>
            </w:tcMar>
          </w:tcPr>
          <w:p>
            <w:r>
              <w:rPr>
                <w:color w:val="2E2220"/>
                <w:sz w:val="20"/>
                <w:szCs w:val="20"/>
              </w:rPr>
              <w:t xml:space="preserve">circle</w:t>
            </w:r>
          </w:p>
        </w:tc>
      </w:tr>
      <w:tr>
        <w:tc>
          <w:tcPr>
            <w:tcW w:type="dxa" w:w="4200"/>
            <w:shd w:fill="FFFFFF" w:val="clear"/>
            <w:tcMar>
              <w:top w:type="dxa" w:w="90"/>
              <w:left w:type="dxa" w:w="120"/>
              <w:bottom w:type="dxa" w:w="90"/>
              <w:right w:type="dxa" w:w="120"/>
            </w:tcMar>
          </w:tcPr>
          <w:p>
            <w:r>
              <w:rPr>
                <w:color w:val="2E2220"/>
                <w:sz w:val="20"/>
                <w:szCs w:val="20"/>
              </w:rPr>
              <w:t xml:space="preserve">Profile hero avatar</w:t>
            </w:r>
          </w:p>
        </w:tc>
        <w:tc>
          <w:tcPr>
            <w:tcW w:type="dxa" w:w="2400"/>
            <w:shd w:fill="FFFFFF" w:val="clear"/>
            <w:tcMar>
              <w:top w:type="dxa" w:w="90"/>
              <w:left w:type="dxa" w:w="120"/>
              <w:bottom w:type="dxa" w:w="90"/>
              <w:right w:type="dxa" w:w="120"/>
            </w:tcMar>
          </w:tcPr>
          <w:p>
            <w:r>
              <w:rPr>
                <w:color w:val="2E2220"/>
                <w:sz w:val="20"/>
                <w:szCs w:val="20"/>
              </w:rPr>
              <w:t xml:space="preserve">74px diameter</w:t>
            </w:r>
          </w:p>
        </w:tc>
        <w:tc>
          <w:tcPr>
            <w:tcW w:type="dxa" w:w="2750"/>
            <w:shd w:fill="FFFFFF" w:val="clear"/>
            <w:tcMar>
              <w:top w:type="dxa" w:w="90"/>
              <w:left w:type="dxa" w:w="120"/>
              <w:bottom w:type="dxa" w:w="90"/>
              <w:right w:type="dxa" w:w="120"/>
            </w:tcMar>
          </w:tcPr>
          <w:p>
            <w:r>
              <w:rPr>
                <w:color w:val="2E2220"/>
                <w:sz w:val="20"/>
                <w:szCs w:val="20"/>
              </w:rPr>
              <w:t xml:space="preserve">circle</w:t>
            </w:r>
          </w:p>
        </w:tc>
      </w:tr>
      <w:tr>
        <w:tc>
          <w:tcPr>
            <w:tcW w:type="dxa" w:w="4200"/>
            <w:shd w:fill="FFFFFF" w:val="clear"/>
            <w:tcMar>
              <w:top w:type="dxa" w:w="90"/>
              <w:left w:type="dxa" w:w="120"/>
              <w:bottom w:type="dxa" w:w="90"/>
              <w:right w:type="dxa" w:w="120"/>
            </w:tcMar>
          </w:tcPr>
          <w:p>
            <w:r>
              <w:rPr>
                <w:color w:val="2E2220"/>
                <w:sz w:val="20"/>
                <w:szCs w:val="20"/>
              </w:rPr>
              <w:t xml:space="preserve">Incoming-call avatar</w:t>
            </w:r>
          </w:p>
        </w:tc>
        <w:tc>
          <w:tcPr>
            <w:tcW w:type="dxa" w:w="2400"/>
            <w:shd w:fill="FFFFFF" w:val="clear"/>
            <w:tcMar>
              <w:top w:type="dxa" w:w="90"/>
              <w:left w:type="dxa" w:w="120"/>
              <w:bottom w:type="dxa" w:w="90"/>
              <w:right w:type="dxa" w:w="120"/>
            </w:tcMar>
          </w:tcPr>
          <w:p>
            <w:r>
              <w:rPr>
                <w:color w:val="2E2220"/>
                <w:sz w:val="20"/>
                <w:szCs w:val="20"/>
              </w:rPr>
              <w:t xml:space="preserve">118px diameter</w:t>
            </w:r>
          </w:p>
        </w:tc>
        <w:tc>
          <w:tcPr>
            <w:tcW w:type="dxa" w:w="2750"/>
            <w:shd w:fill="FFFFFF" w:val="clear"/>
            <w:tcMar>
              <w:top w:type="dxa" w:w="90"/>
              <w:left w:type="dxa" w:w="120"/>
              <w:bottom w:type="dxa" w:w="90"/>
              <w:right w:type="dxa" w:w="120"/>
            </w:tcMar>
          </w:tcPr>
          <w:p>
            <w:r>
              <w:rPr>
                <w:color w:val="2E2220"/>
                <w:sz w:val="20"/>
                <w:szCs w:val="20"/>
              </w:rPr>
              <w:t xml:space="preserve">circle</w:t>
            </w:r>
          </w:p>
        </w:tc>
      </w:tr>
      <w:tr>
        <w:tc>
          <w:tcPr>
            <w:tcW w:type="dxa" w:w="4200"/>
            <w:shd w:fill="FFFFFF" w:val="clear"/>
            <w:tcMar>
              <w:top w:type="dxa" w:w="90"/>
              <w:left w:type="dxa" w:w="120"/>
              <w:bottom w:type="dxa" w:w="90"/>
              <w:right w:type="dxa" w:w="120"/>
            </w:tcMar>
          </w:tcPr>
          <w:p>
            <w:r>
              <w:rPr>
                <w:color w:val="2E2220"/>
                <w:sz w:val="20"/>
                <w:szCs w:val="20"/>
              </w:rPr>
              <w:t xml:space="preserve">Standard icon button (call-log expand, chat header icons)</w:t>
            </w:r>
          </w:p>
        </w:tc>
        <w:tc>
          <w:tcPr>
            <w:tcW w:type="dxa" w:w="2400"/>
            <w:shd w:fill="FFFFFF" w:val="clear"/>
            <w:tcMar>
              <w:top w:type="dxa" w:w="90"/>
              <w:left w:type="dxa" w:w="120"/>
              <w:bottom w:type="dxa" w:w="90"/>
              <w:right w:type="dxa" w:w="120"/>
            </w:tcMar>
          </w:tcPr>
          <w:p>
            <w:r>
              <w:rPr>
                <w:color w:val="2E2220"/>
                <w:sz w:val="20"/>
                <w:szCs w:val="20"/>
              </w:rPr>
              <w:t xml:space="preserve">32–38px diameter</w:t>
            </w:r>
          </w:p>
        </w:tc>
        <w:tc>
          <w:tcPr>
            <w:tcW w:type="dxa" w:w="2750"/>
            <w:shd w:fill="FFFFFF" w:val="clear"/>
            <w:tcMar>
              <w:top w:type="dxa" w:w="90"/>
              <w:left w:type="dxa" w:w="120"/>
              <w:bottom w:type="dxa" w:w="90"/>
              <w:right w:type="dxa" w:w="120"/>
            </w:tcMar>
          </w:tcPr>
          <w:p>
            <w:r>
              <w:rPr>
                <w:color w:val="2E2220"/>
                <w:sz w:val="20"/>
                <w:szCs w:val="20"/>
              </w:rPr>
              <w:t xml:space="preserve">circle</w:t>
            </w:r>
          </w:p>
        </w:tc>
      </w:tr>
      <w:tr>
        <w:tc>
          <w:tcPr>
            <w:tcW w:type="dxa" w:w="4200"/>
            <w:shd w:fill="FFFFFF" w:val="clear"/>
            <w:tcMar>
              <w:top w:type="dxa" w:w="90"/>
              <w:left w:type="dxa" w:w="120"/>
              <w:bottom w:type="dxa" w:w="90"/>
              <w:right w:type="dxa" w:w="120"/>
            </w:tcMar>
          </w:tcPr>
          <w:p>
            <w:r>
              <w:rPr>
                <w:color w:val="2E2220"/>
                <w:sz w:val="20"/>
                <w:szCs w:val="20"/>
              </w:rPr>
              <w:t xml:space="preserve">Primary call control (mute, camera, speaker, flip)</w:t>
            </w:r>
          </w:p>
        </w:tc>
        <w:tc>
          <w:tcPr>
            <w:tcW w:type="dxa" w:w="2400"/>
            <w:shd w:fill="FFFFFF" w:val="clear"/>
            <w:tcMar>
              <w:top w:type="dxa" w:w="90"/>
              <w:left w:type="dxa" w:w="120"/>
              <w:bottom w:type="dxa" w:w="90"/>
              <w:right w:type="dxa" w:w="120"/>
            </w:tcMar>
          </w:tcPr>
          <w:p>
            <w:r>
              <w:rPr>
                <w:color w:val="2E2220"/>
                <w:sz w:val="20"/>
                <w:szCs w:val="20"/>
              </w:rPr>
              <w:t xml:space="preserve">50px diameter</w:t>
            </w:r>
          </w:p>
        </w:tc>
        <w:tc>
          <w:tcPr>
            <w:tcW w:type="dxa" w:w="2750"/>
            <w:shd w:fill="FFFFFF" w:val="clear"/>
            <w:tcMar>
              <w:top w:type="dxa" w:w="90"/>
              <w:left w:type="dxa" w:w="120"/>
              <w:bottom w:type="dxa" w:w="90"/>
              <w:right w:type="dxa" w:w="120"/>
            </w:tcMar>
          </w:tcPr>
          <w:p>
            <w:r>
              <w:rPr>
                <w:color w:val="2E2220"/>
                <w:sz w:val="20"/>
                <w:szCs w:val="20"/>
              </w:rPr>
              <w:t xml:space="preserve">circle</w:t>
            </w:r>
          </w:p>
        </w:tc>
      </w:tr>
      <w:tr>
        <w:tc>
          <w:tcPr>
            <w:tcW w:type="dxa" w:w="4200"/>
            <w:shd w:fill="FFFFFF" w:val="clear"/>
            <w:tcMar>
              <w:top w:type="dxa" w:w="90"/>
              <w:left w:type="dxa" w:w="120"/>
              <w:bottom w:type="dxa" w:w="90"/>
              <w:right w:type="dxa" w:w="120"/>
            </w:tcMar>
          </w:tcPr>
          <w:p>
            <w:r>
              <w:rPr>
                <w:color w:val="2E2220"/>
                <w:sz w:val="20"/>
                <w:szCs w:val="20"/>
              </w:rPr>
              <w:t xml:space="preserve">End Call button</w:t>
            </w:r>
          </w:p>
        </w:tc>
        <w:tc>
          <w:tcPr>
            <w:tcW w:type="dxa" w:w="2400"/>
            <w:shd w:fill="FFFFFF" w:val="clear"/>
            <w:tcMar>
              <w:top w:type="dxa" w:w="90"/>
              <w:left w:type="dxa" w:w="120"/>
              <w:bottom w:type="dxa" w:w="90"/>
              <w:right w:type="dxa" w:w="120"/>
            </w:tcMar>
          </w:tcPr>
          <w:p>
            <w:r>
              <w:rPr>
                <w:color w:val="2E2220"/>
                <w:sz w:val="20"/>
                <w:szCs w:val="20"/>
              </w:rPr>
              <w:t xml:space="preserve">68px diameter</w:t>
            </w:r>
          </w:p>
        </w:tc>
        <w:tc>
          <w:tcPr>
            <w:tcW w:type="dxa" w:w="2750"/>
            <w:shd w:fill="FFFFFF" w:val="clear"/>
            <w:tcMar>
              <w:top w:type="dxa" w:w="90"/>
              <w:left w:type="dxa" w:w="120"/>
              <w:bottom w:type="dxa" w:w="90"/>
              <w:right w:type="dxa" w:w="120"/>
            </w:tcMar>
          </w:tcPr>
          <w:p>
            <w:r>
              <w:rPr>
                <w:color w:val="2E2220"/>
                <w:sz w:val="20"/>
                <w:szCs w:val="20"/>
              </w:rPr>
              <w:t xml:space="preserve">circle — deliberately larger, see Section 6.5</w:t>
            </w:r>
          </w:p>
        </w:tc>
      </w:tr>
      <w:tr>
        <w:tc>
          <w:tcPr>
            <w:tcW w:type="dxa" w:w="4200"/>
            <w:shd w:fill="FFFFFF" w:val="clear"/>
            <w:tcMar>
              <w:top w:type="dxa" w:w="90"/>
              <w:left w:type="dxa" w:w="120"/>
              <w:bottom w:type="dxa" w:w="90"/>
              <w:right w:type="dxa" w:w="120"/>
            </w:tcMar>
          </w:tcPr>
          <w:p>
            <w:r>
              <w:rPr>
                <w:color w:val="2E2220"/>
                <w:sz w:val="20"/>
                <w:szCs w:val="20"/>
              </w:rPr>
              <w:t xml:space="preserve">Standard action icon (inside a button)</w:t>
            </w:r>
          </w:p>
        </w:tc>
        <w:tc>
          <w:tcPr>
            <w:tcW w:type="dxa" w:w="2400"/>
            <w:shd w:fill="FFFFFF" w:val="clear"/>
            <w:tcMar>
              <w:top w:type="dxa" w:w="90"/>
              <w:left w:type="dxa" w:w="120"/>
              <w:bottom w:type="dxa" w:w="90"/>
              <w:right w:type="dxa" w:w="120"/>
            </w:tcMar>
          </w:tcPr>
          <w:p>
            <w:r>
              <w:rPr>
                <w:color w:val="2E2220"/>
                <w:sz w:val="20"/>
                <w:szCs w:val="20"/>
              </w:rPr>
              <w:t xml:space="preserve">16–18px</w:t>
            </w:r>
          </w:p>
        </w:tc>
        <w:tc>
          <w:tcPr>
            <w:tcW w:type="dxa" w:w="2750"/>
            <w:shd w:fill="FFFFFF" w:val="clear"/>
            <w:tcMar>
              <w:top w:type="dxa" w:w="90"/>
              <w:left w:type="dxa" w:w="120"/>
              <w:bottom w:type="dxa" w:w="90"/>
              <w:right w:type="dxa" w:w="120"/>
            </w:tcMar>
          </w:tcPr>
          <w:p>
            <w:r>
              <w:rPr>
                <w:color w:val="2E2220"/>
                <w:sz w:val="20"/>
                <w:szCs w:val="20"/>
              </w:rPr>
              <w:t xml:space="preserve">line stroke ≈1.7–1.8</w:t>
            </w:r>
          </w:p>
        </w:tc>
      </w:tr>
      <w:tr>
        <w:tc>
          <w:tcPr>
            <w:tcW w:type="dxa" w:w="4200"/>
            <w:shd w:fill="FFFFFF" w:val="clear"/>
            <w:tcMar>
              <w:top w:type="dxa" w:w="90"/>
              <w:left w:type="dxa" w:w="120"/>
              <w:bottom w:type="dxa" w:w="90"/>
              <w:right w:type="dxa" w:w="120"/>
            </w:tcMar>
          </w:tcPr>
          <w:p>
            <w:r>
              <w:rPr>
                <w:color w:val="2E2220"/>
                <w:sz w:val="20"/>
                <w:szCs w:val="20"/>
              </w:rPr>
              <w:t xml:space="preserve">Small inline icon (meta rows, field labels)</w:t>
            </w:r>
          </w:p>
        </w:tc>
        <w:tc>
          <w:tcPr>
            <w:tcW w:type="dxa" w:w="2400"/>
            <w:shd w:fill="FFFFFF" w:val="clear"/>
            <w:tcMar>
              <w:top w:type="dxa" w:w="90"/>
              <w:left w:type="dxa" w:w="120"/>
              <w:bottom w:type="dxa" w:w="90"/>
              <w:right w:type="dxa" w:w="120"/>
            </w:tcMar>
          </w:tcPr>
          <w:p>
            <w:r>
              <w:rPr>
                <w:color w:val="2E2220"/>
                <w:sz w:val="20"/>
                <w:szCs w:val="20"/>
              </w:rPr>
              <w:t xml:space="preserve">11–14px</w:t>
            </w:r>
          </w:p>
        </w:tc>
        <w:tc>
          <w:tcPr>
            <w:tcW w:type="dxa" w:w="2750"/>
            <w:shd w:fill="FFFFFF" w:val="clear"/>
            <w:tcMar>
              <w:top w:type="dxa" w:w="90"/>
              <w:left w:type="dxa" w:w="120"/>
              <w:bottom w:type="dxa" w:w="90"/>
              <w:right w:type="dxa" w:w="120"/>
            </w:tcMar>
          </w:tcPr>
          <w:p>
            <w:r>
              <w:rPr>
                <w:color w:val="2E2220"/>
                <w:sz w:val="20"/>
                <w:szCs w:val="20"/>
              </w:rPr>
              <w:t xml:space="preserve">line stroke ≈1.6</w:t>
            </w:r>
          </w:p>
        </w:tc>
      </w:tr>
      <w:tr>
        <w:tc>
          <w:tcPr>
            <w:tcW w:type="dxa" w:w="4200"/>
            <w:shd w:fill="FFFFFF" w:val="clear"/>
            <w:tcMar>
              <w:top w:type="dxa" w:w="90"/>
              <w:left w:type="dxa" w:w="120"/>
              <w:bottom w:type="dxa" w:w="90"/>
              <w:right w:type="dxa" w:w="120"/>
            </w:tcMar>
          </w:tcPr>
          <w:p>
            <w:r>
              <w:rPr>
                <w:color w:val="2E2220"/>
                <w:sz w:val="20"/>
                <w:szCs w:val="20"/>
              </w:rPr>
              <w:t xml:space="preserve">Empty/error state icon circle</w:t>
            </w:r>
          </w:p>
        </w:tc>
        <w:tc>
          <w:tcPr>
            <w:tcW w:type="dxa" w:w="2400"/>
            <w:shd w:fill="FFFFFF" w:val="clear"/>
            <w:tcMar>
              <w:top w:type="dxa" w:w="90"/>
              <w:left w:type="dxa" w:w="120"/>
              <w:bottom w:type="dxa" w:w="90"/>
              <w:right w:type="dxa" w:w="120"/>
            </w:tcMar>
          </w:tcPr>
          <w:p>
            <w:r>
              <w:rPr>
                <w:color w:val="2E2220"/>
                <w:sz w:val="20"/>
                <w:szCs w:val="20"/>
              </w:rPr>
              <w:t xml:space="preserve">72px diameter, 32px icon inside</w:t>
            </w:r>
          </w:p>
        </w:tc>
        <w:tc>
          <w:tcPr>
            <w:tcW w:type="dxa" w:w="2750"/>
            <w:shd w:fill="FFFFFF" w:val="clear"/>
            <w:tcMar>
              <w:top w:type="dxa" w:w="90"/>
              <w:left w:type="dxa" w:w="120"/>
              <w:bottom w:type="dxa" w:w="90"/>
              <w:right w:type="dxa" w:w="120"/>
            </w:tcMar>
          </w:tcPr>
          <w:p>
            <w:r>
              <w:rPr>
                <w:color w:val="2E2220"/>
                <w:sz w:val="20"/>
                <w:szCs w:val="20"/>
              </w:rPr>
              <w:t xml:space="preserve">circle background + icon</w:t>
            </w:r>
          </w:p>
        </w:tc>
      </w:tr>
      <w:tr>
        <w:tc>
          <w:tcPr>
            <w:tcW w:type="dxa" w:w="4200"/>
            <w:shd w:fill="FFFFFF" w:val="clear"/>
            <w:tcMar>
              <w:top w:type="dxa" w:w="90"/>
              <w:left w:type="dxa" w:w="120"/>
              <w:bottom w:type="dxa" w:w="90"/>
              <w:right w:type="dxa" w:w="120"/>
            </w:tcMar>
          </w:tcPr>
          <w:p>
            <w:r>
              <w:rPr>
                <w:color w:val="2E2220"/>
                <w:sz w:val="20"/>
                <w:szCs w:val="20"/>
              </w:rPr>
              <w:t xml:space="preserve">Minimum touch target (any tappable element)</w:t>
            </w:r>
          </w:p>
        </w:tc>
        <w:tc>
          <w:tcPr>
            <w:tcW w:type="dxa" w:w="2400"/>
            <w:shd w:fill="FFFFFF" w:val="clear"/>
            <w:tcMar>
              <w:top w:type="dxa" w:w="90"/>
              <w:left w:type="dxa" w:w="120"/>
              <w:bottom w:type="dxa" w:w="90"/>
              <w:right w:type="dxa" w:w="120"/>
            </w:tcMar>
          </w:tcPr>
          <w:p>
            <w:r>
              <w:rPr>
                <w:color w:val="2E2220"/>
                <w:sz w:val="20"/>
                <w:szCs w:val="20"/>
              </w:rPr>
              <w:t xml:space="preserve">44 × 44px</w:t>
            </w:r>
          </w:p>
        </w:tc>
        <w:tc>
          <w:tcPr>
            <w:tcW w:type="dxa" w:w="2750"/>
            <w:shd w:fill="FFFFFF" w:val="clear"/>
            <w:tcMar>
              <w:top w:type="dxa" w:w="90"/>
              <w:left w:type="dxa" w:w="120"/>
              <w:bottom w:type="dxa" w:w="90"/>
              <w:right w:type="dxa" w:w="120"/>
            </w:tcMar>
          </w:tcPr>
          <w:p>
            <w:r>
              <w:rPr>
                <w:color w:val="2E2220"/>
                <w:sz w:val="20"/>
                <w:szCs w:val="20"/>
              </w:rPr>
              <w:t xml:space="preserve">invisible padding added if the visible element is smaller — see the Explore Consultants chip</w:t>
            </w:r>
          </w:p>
        </w:tc>
      </w:tr>
    </w:tbl>
    <w:p>
      <w:pPr>
        <w:pStyle w:val="Heading2"/>
        <w:spacing w:after="120" w:before="260"/>
      </w:pPr>
      <w:r>
        <w:t xml:space="preserve">5.4 Corner radius scale</w:t>
      </w:r>
    </w:p>
    <w:p>
      <w:pPr>
        <w:pStyle w:val="ListParagraph"/>
        <w:numPr>
          <w:ilvl w:val="0"/>
          <w:numId w:val="1"/>
        </w:numPr>
        <w:spacing w:after="90"/>
      </w:pPr>
      <w:r>
        <w:rPr>
          <w:color w:val="2E2220"/>
          <w:sz w:val="22"/>
          <w:szCs w:val="22"/>
        </w:rPr>
        <w:t xml:space="preserve">8–10px — small chips, filter pills' inner elements, small nested badges.</w:t>
      </w:r>
    </w:p>
    <w:p>
      <w:pPr>
        <w:pStyle w:val="ListParagraph"/>
        <w:numPr>
          <w:ilvl w:val="0"/>
          <w:numId w:val="1"/>
        </w:numPr>
        <w:spacing w:after="90"/>
      </w:pPr>
      <w:r>
        <w:rPr>
          <w:color w:val="2E2220"/>
          <w:sz w:val="22"/>
          <w:szCs w:val="22"/>
        </w:rPr>
        <w:t xml:space="preserve">14–16px — avatars/badges that are square-ish rather than circular, small icon-button squares.</w:t>
      </w:r>
    </w:p>
    <w:p>
      <w:pPr>
        <w:pStyle w:val="ListParagraph"/>
        <w:numPr>
          <w:ilvl w:val="0"/>
          <w:numId w:val="1"/>
        </w:numPr>
        <w:spacing w:after="90"/>
      </w:pPr>
      <w:r>
        <w:rPr>
          <w:color w:val="2E2220"/>
          <w:sz w:val="22"/>
          <w:szCs w:val="22"/>
        </w:rPr>
        <w:t xml:space="preserve">16–20px — standard cards, the default for anything described as “a card” elsewhere in this document.</w:t>
      </w:r>
    </w:p>
    <w:p>
      <w:pPr>
        <w:pStyle w:val="ListParagraph"/>
        <w:numPr>
          <w:ilvl w:val="0"/>
          <w:numId w:val="1"/>
        </w:numPr>
        <w:spacing w:after="90"/>
      </w:pPr>
      <w:r>
        <w:rPr>
          <w:color w:val="2E2220"/>
          <w:sz w:val="22"/>
          <w:szCs w:val="22"/>
        </w:rPr>
        <w:t xml:space="preserve">20–24px — hero headers' bottom corners, bottom sheets' top corners, larger containers.</w:t>
      </w:r>
    </w:p>
    <w:p>
      <w:pPr>
        <w:pStyle w:val="ListParagraph"/>
        <w:numPr>
          <w:ilvl w:val="0"/>
          <w:numId w:val="1"/>
        </w:numPr>
        <w:spacing w:after="90"/>
      </w:pPr>
      <w:r>
        <w:rPr>
          <w:color w:val="2E2220"/>
          <w:sz w:val="22"/>
          <w:szCs w:val="22"/>
        </w:rPr>
        <w:t xml:space="preserve">999px (fully round) — every button, every chip, every status pill, every circular icon button. This is already stated in Section 6.1; repeated here because it is as much a layout rule as a style rule.</w:t>
      </w:r>
    </w:p>
    <w:p>
      <w:r>
        <w:br w:type="page"/>
      </w:r>
    </w:p>
    <w:p>
      <w:pPr>
        <w:pStyle w:val="Heading1"/>
        <w:spacing w:after="160" w:before="320"/>
      </w:pPr>
      <w:r>
        <w:t xml:space="preserve">6. Component Styling</w:t>
      </w:r>
    </w:p>
    <w:p>
      <w:pPr>
        <w:pStyle w:val="Heading2"/>
        <w:spacing w:after="120" w:before="260"/>
      </w:pPr>
      <w:r>
        <w:t xml:space="preserve">6.1 Shape</w:t>
      </w:r>
    </w:p>
    <w:p>
      <w:pPr>
        <w:pStyle w:val="ListParagraph"/>
        <w:numPr>
          <w:ilvl w:val="0"/>
          <w:numId w:val="1"/>
        </w:numPr>
        <w:spacing w:after="90"/>
      </w:pPr>
      <w:r>
        <w:rPr>
          <w:color w:val="2E2220"/>
          <w:sz w:val="22"/>
          <w:szCs w:val="22"/>
        </w:rPr>
        <w:t xml:space="preserve">Cards: 18–20px corner radius.</w:t>
      </w:r>
    </w:p>
    <w:p>
      <w:pPr>
        <w:pStyle w:val="ListParagraph"/>
        <w:numPr>
          <w:ilvl w:val="0"/>
          <w:numId w:val="1"/>
        </w:numPr>
        <w:spacing w:after="90"/>
      </w:pPr>
      <w:r>
        <w:rPr>
          <w:color w:val="2E2220"/>
          <w:sz w:val="22"/>
          <w:szCs w:val="22"/>
        </w:rPr>
        <w:t xml:space="preserve">Buttons, chips, status pills: fully rounded (999px / pill-shaped).</w:t>
      </w:r>
    </w:p>
    <w:p>
      <w:pPr>
        <w:pStyle w:val="ListParagraph"/>
        <w:numPr>
          <w:ilvl w:val="0"/>
          <w:numId w:val="1"/>
        </w:numPr>
        <w:spacing w:after="90"/>
      </w:pPr>
      <w:r>
        <w:rPr>
          <w:color w:val="2E2220"/>
          <w:sz w:val="22"/>
          <w:szCs w:val="22"/>
        </w:rPr>
        <w:t xml:space="preserve">Sharp corners read as “tool”; round corners read as “app someone would choose to open” — this is a deliberate, not incidental, choice.</w:t>
      </w:r>
    </w:p>
    <w:p>
      <w:pPr>
        <w:pStyle w:val="Heading2"/>
        <w:spacing w:after="120" w:before="260"/>
      </w:pPr>
      <w:r>
        <w:t xml:space="preserve">6.2 Elevation</w:t>
      </w:r>
    </w:p>
    <w:p>
      <w:pPr>
        <w:pStyle w:val="ListParagraph"/>
        <w:numPr>
          <w:ilvl w:val="0"/>
          <w:numId w:val="1"/>
        </w:numPr>
        <w:spacing w:after="90"/>
      </w:pPr>
      <w:r>
        <w:rPr>
          <w:color w:val="2E2220"/>
          <w:sz w:val="22"/>
          <w:szCs w:val="22"/>
        </w:rPr>
        <w:t xml:space="preserve">Cards sit on Canvas via a soft warm-tinted shadow, not a hairline border — depth over division.</w:t>
      </w:r>
    </w:p>
    <w:p>
      <w:pPr>
        <w:pStyle w:val="ListParagraph"/>
        <w:numPr>
          <w:ilvl w:val="0"/>
          <w:numId w:val="1"/>
        </w:numPr>
        <w:spacing w:after="90"/>
      </w:pPr>
      <w:r>
        <w:rPr>
          <w:color w:val="2E2220"/>
          <w:sz w:val="22"/>
          <w:szCs w:val="22"/>
        </w:rPr>
        <w:t xml:space="preserve">Sheets (bottom sheets for composing, confirming, picking) rise with a soft shadow and rounded top corners; the screen underneath stays visible and dimmed, never fully replaced.</w:t>
      </w:r>
    </w:p>
    <w:p>
      <w:pPr>
        <w:pStyle w:val="Heading2"/>
        <w:spacing w:after="120" w:before="260"/>
      </w:pPr>
      <w:r>
        <w:t xml:space="preserve">6.3 Chat (Case File)</w:t>
      </w:r>
    </w:p>
    <w:p>
      <w:pPr>
        <w:pStyle w:val="ListParagraph"/>
        <w:numPr>
          <w:ilvl w:val="0"/>
          <w:numId w:val="1"/>
        </w:numPr>
        <w:spacing w:after="90"/>
      </w:pPr>
      <w:r>
        <w:rPr>
          <w:color w:val="2E2220"/>
          <w:sz w:val="22"/>
          <w:szCs w:val="22"/>
        </w:rPr>
        <w:t xml:space="preserve">Real message bubbles, not a plain log: incoming bubbles white/Card-colored with the sender’s initials in a small avatar circle; outgoing bubbles filled with the Coral→Plum gradient.</w:t>
      </w:r>
    </w:p>
    <w:p>
      <w:pPr>
        <w:pStyle w:val="ListParagraph"/>
        <w:numPr>
          <w:ilvl w:val="0"/>
          <w:numId w:val="1"/>
        </w:numPr>
        <w:spacing w:after="90"/>
      </w:pPr>
      <w:r>
        <w:rPr>
          <w:color w:val="2E2220"/>
          <w:sz w:val="22"/>
          <w:szCs w:val="22"/>
        </w:rPr>
        <w:t xml:space="preserve">Clinical Advisory renders as its own distinct card type inside the feed — Plum-tinted background, pencil icon, bold “CLINICAL ADVISORY” eyebrow — never styled as an ordinary message bubble, since it is a permanent record, not a chat line.</w:t>
      </w:r>
    </w:p>
    <w:p>
      <w:pPr>
        <w:pStyle w:val="ListParagraph"/>
        <w:numPr>
          <w:ilvl w:val="0"/>
          <w:numId w:val="1"/>
        </w:numPr>
        <w:spacing w:after="90"/>
      </w:pPr>
      <w:r>
        <w:rPr>
          <w:color w:val="2E2220"/>
          <w:sz w:val="22"/>
          <w:szCs w:val="22"/>
        </w:rPr>
        <w:t xml:space="preserve">A docked vitals strip sits below the header, using individually tinted mini-cards per parameter rather than one plain row of numbers.</w:t>
      </w:r>
    </w:p>
    <w:p>
      <w:pPr>
        <w:pStyle w:val="Heading2"/>
        <w:spacing w:after="120" w:before="260"/>
      </w:pPr>
      <w:r>
        <w:t xml:space="preserve">6.4 Buttons and inputs</w:t>
      </w:r>
    </w:p>
    <w:p>
      <w:pPr>
        <w:pStyle w:val="ListParagraph"/>
        <w:numPr>
          <w:ilvl w:val="0"/>
          <w:numId w:val="1"/>
        </w:numPr>
        <w:spacing w:after="90"/>
      </w:pPr>
      <w:r>
        <w:rPr>
          <w:color w:val="2E2220"/>
          <w:sz w:val="22"/>
          <w:szCs w:val="22"/>
        </w:rPr>
        <w:t xml:space="preserve">Primary actions: filled Coral→Plum gradient, white text, pill-shaped.</w:t>
      </w:r>
    </w:p>
    <w:p>
      <w:pPr>
        <w:pStyle w:val="ListParagraph"/>
        <w:numPr>
          <w:ilvl w:val="0"/>
          <w:numId w:val="1"/>
        </w:numPr>
        <w:spacing w:after="90"/>
      </w:pPr>
      <w:r>
        <w:rPr>
          <w:color w:val="2E2220"/>
          <w:sz w:val="22"/>
          <w:szCs w:val="22"/>
        </w:rPr>
        <w:t xml:space="preserve">Secondary actions: Coral-tint background with Plum or Coral-dark text, same pill shape, lower visual weight.</w:t>
      </w:r>
    </w:p>
    <w:p>
      <w:pPr>
        <w:pStyle w:val="ListParagraph"/>
        <w:numPr>
          <w:ilvl w:val="0"/>
          <w:numId w:val="1"/>
        </w:numPr>
        <w:spacing w:after="90"/>
      </w:pPr>
      <w:r>
        <w:rPr>
          <w:color w:val="2E2220"/>
          <w:sz w:val="22"/>
          <w:szCs w:val="22"/>
        </w:rPr>
        <w:t xml:space="preserve">Text inputs and the chat composer: Card-colored fill, fully rounded, sitting on Canvas with a soft shadow rather than a hard border.</w:t>
      </w:r>
    </w:p>
    <w:p>
      <w:pPr>
        <w:pStyle w:val="Heading2"/>
        <w:spacing w:after="120" w:before="260"/>
      </w:pPr>
      <w:r>
        <w:t xml:space="preserve">6.5 Video call — full specification</w:t>
      </w:r>
    </w:p>
    <w:p>
      <w:pPr>
        <w:spacing w:after="140"/>
      </w:pPr>
      <w:r>
        <w:rPr>
          <w:color w:val="2E2220"/>
          <w:sz w:val="22"/>
          <w:szCs w:val="22"/>
        </w:rPr>
        <w:t xml:space="preserve">This screen was rebuilt after review found the first version visually flat and under-designed. The rules below are what changed, and why.</w:t>
      </w:r>
    </w:p>
    <w:p>
      <w:pPr>
        <w:pStyle w:val="ListParagraph"/>
        <w:numPr>
          <w:ilvl w:val="0"/>
          <w:numId w:val="1"/>
        </w:numPr>
        <w:spacing w:after="90"/>
      </w:pPr>
      <w:r>
        <w:rPr>
          <w:color w:val="2E2220"/>
          <w:sz w:val="22"/>
          <w:szCs w:val="22"/>
        </w:rPr>
        <w:t xml:space="preserve">Layering, back to front: (1) the remote video fills the entire screen behind everything; (2) fixed dark gradient scrims sit at the very top and bottom — not tied to any UI element, always present — so text and icons stay legible no matter what the video content underneath looks like; (3) the top identity bar and bottom controls sit on top of their respective scrims; (4) the self-view sits above all of it in its own corner.</w:t>
      </w:r>
    </w:p>
    <w:p>
      <w:pPr>
        <w:pStyle w:val="ListParagraph"/>
        <w:numPr>
          <w:ilvl w:val="0"/>
          <w:numId w:val="1"/>
        </w:numPr>
        <w:spacing w:after="90"/>
      </w:pPr>
      <w:r>
        <w:rPr>
          <w:color w:val="2E2220"/>
          <w:sz w:val="22"/>
          <w:szCs w:val="22"/>
        </w:rPr>
        <w:t xml:space="preserve">Visual hierarchy in the controls is deliberate, not five equal buttons: End Call is 68px, visibly larger than the 50px secondary controls (mute, camera, speaker, flip), filled with a brighter red and its own soft glow shadow. A user should be able to find End Call without reading any label, the same way every native phone app makes it the one button you can't mistake.</w:t>
      </w:r>
    </w:p>
    <w:p>
      <w:pPr>
        <w:pStyle w:val="ListParagraph"/>
        <w:numPr>
          <w:ilvl w:val="0"/>
          <w:numId w:val="1"/>
        </w:numPr>
        <w:spacing w:after="90"/>
      </w:pPr>
      <w:r>
        <w:rPr>
          <w:color w:val="2E2220"/>
          <w:sz w:val="22"/>
          <w:szCs w:val="22"/>
        </w:rPr>
        <w:t xml:space="preserve">The app's own additions — Chat, Case File, Advise — sit in a separate row above the main call controls, visually smaller and quieter (42px, lower-opacity background) than the call controls themselves. They are secondary panel access, not part of the core call action set, and must never be styled to compete with End Call for attention.</w:t>
      </w:r>
    </w:p>
    <w:p>
      <w:pPr>
        <w:pStyle w:val="ListParagraph"/>
        <w:numPr>
          <w:ilvl w:val="0"/>
          <w:numId w:val="1"/>
        </w:numPr>
        <w:spacing w:after="90"/>
      </w:pPr>
      <w:r>
        <w:rPr>
          <w:color w:val="2E2220"/>
          <w:sz w:val="22"/>
          <w:szCs w:val="22"/>
        </w:rPr>
        <w:t xml:space="preserve">Self-view: rounded (18px radius), a soft shadow of its own so it reads as floating above the video rather than pasted on, and draggable to any corner of the screen — matching the behavior every user already expects from FaceTime and WhatsApp video calls. It also carries its own small mute indicator badge, appearing only while the user is muted, so a doctor can confirm their own mute state without hunting for it in the control row.</w:t>
      </w:r>
    </w:p>
    <w:p>
      <w:pPr>
        <w:pStyle w:val="ListParagraph"/>
        <w:numPr>
          <w:ilvl w:val="0"/>
          <w:numId w:val="1"/>
        </w:numPr>
        <w:spacing w:after="90"/>
      </w:pPr>
      <w:r>
        <w:rPr>
          <w:color w:val="2E2220"/>
          <w:sz w:val="22"/>
          <w:szCs w:val="22"/>
        </w:rPr>
        <w:t xml:space="preserve">Controls auto-hide after a few seconds of no interaction, leaving a clean, uninterrupted view of the video — tapping anywhere on the screen brings them back immediately. This is standard behavior across every mainstream calling app and should not be treated as optional polish; a call screen that never lets the video breathe reads as a UI demo, not a finished product.</w:t>
      </w:r>
    </w:p>
    <w:p>
      <w:pPr>
        <w:pStyle w:val="ListParagraph"/>
        <w:numPr>
          <w:ilvl w:val="0"/>
          <w:numId w:val="1"/>
        </w:numPr>
        <w:spacing w:after="90"/>
      </w:pPr>
      <w:r>
        <w:rPr>
          <w:color w:val="2E2220"/>
          <w:sz w:val="22"/>
          <w:szCs w:val="22"/>
        </w:rPr>
        <w:t xml:space="preserve">The connection-state line (Section 7.6 of the reconciled spec: Connected / Connecting / Reconnecting) lives in the same identity pill as the patient's name and a live timer, not as a separate element — one place to look for “is this call actually working.”</w:t>
      </w:r>
    </w:p>
    <w:p>
      <w:pPr>
        <w:pStyle w:val="Heading2"/>
        <w:spacing w:after="120" w:before="260"/>
      </w:pPr>
      <w:r>
        <w:t xml:space="preserve">6.6 Loading, empty, and error states</w:t>
      </w:r>
    </w:p>
    <w:p>
      <w:pPr>
        <w:spacing w:after="140"/>
      </w:pPr>
      <w:r>
        <w:rPr>
          <w:color w:val="2E2220"/>
          <w:sz w:val="22"/>
          <w:szCs w:val="22"/>
        </w:rPr>
        <w:t xml:space="preserve">Named as a rule in an earlier draft (“skeleton loading, never a spinner”) but never actually designed. Both are now built and shown in the reference file.</w:t>
      </w:r>
    </w:p>
    <w:p>
      <w:pPr>
        <w:pStyle w:val="ListParagraph"/>
        <w:numPr>
          <w:ilvl w:val="0"/>
          <w:numId w:val="1"/>
        </w:numPr>
        <w:spacing w:after="90"/>
      </w:pPr>
      <w:r>
        <w:rPr>
          <w:color w:val="2E2220"/>
          <w:sz w:val="22"/>
          <w:szCs w:val="22"/>
        </w:rPr>
        <w:t xml:space="preserve">Loading: every screen that waits on a network response shows a skeleton — grey pulsing blocks in the exact shape and position of the real content (a shimmering rectangle where a name will be, a circle where an avatar will be), on the real header/canvas colors. The content never jumps or reflows when real data arrives, because the skeleton already occupies the correct space.</w:t>
      </w:r>
    </w:p>
    <w:p>
      <w:pPr>
        <w:pStyle w:val="ListParagraph"/>
        <w:numPr>
          <w:ilvl w:val="0"/>
          <w:numId w:val="1"/>
        </w:numPr>
        <w:spacing w:after="90"/>
      </w:pPr>
      <w:r>
        <w:rPr>
          <w:color w:val="2E2220"/>
          <w:sz w:val="22"/>
          <w:szCs w:val="22"/>
        </w:rPr>
        <w:t xml:space="preserve">Empty state (nothing to show, not an error — e.g. no consultations today): a soft Coral-tinted icon circle, a plain-language headline, one sentence of explanation, and where relevant a single action button (e.g. “Check Availability”). Calm, not alarming — an empty dashboard is a normal Tuesday, not a problem.</w:t>
      </w:r>
    </w:p>
    <w:p>
      <w:pPr>
        <w:pStyle w:val="ListParagraph"/>
        <w:numPr>
          <w:ilvl w:val="0"/>
          <w:numId w:val="1"/>
        </w:numPr>
        <w:spacing w:after="90"/>
      </w:pPr>
      <w:r>
        <w:rPr>
          <w:color w:val="2E2220"/>
          <w:sz w:val="22"/>
          <w:szCs w:val="22"/>
        </w:rPr>
        <w:t xml:space="preserve">Error state (something actually failed — e.g. network request failed): the icon circle switches to a red tint with a warning triangle, signaling “something is wrong” distinctly from “nothing is here,” per the enabled/disabled color logic in Section 4.1 — color changes meaning, not just decoration. Copy states plainly what happened and that nothing was lost, with a Retry button as the primary action.</w:t>
      </w:r>
    </w:p>
    <w:p>
      <w:pPr>
        <w:pStyle w:val="ListParagraph"/>
        <w:numPr>
          <w:ilvl w:val="0"/>
          <w:numId w:val="1"/>
        </w:numPr>
        <w:spacing w:after="90"/>
      </w:pPr>
      <w:r>
        <w:rPr>
          <w:color w:val="2E2220"/>
          <w:sz w:val="22"/>
          <w:szCs w:val="22"/>
        </w:rPr>
        <w:t xml:space="preserve">Both states follow the same layout template: icon circle → headline → one line of body copy → optional button, centered on the screen. One template, reused everywhere a screen has nothing to show, rather than a different ad-hoc treatment per screen.</w:t>
      </w:r>
    </w:p>
    <w:p>
      <w:r>
        <w:br w:type="page"/>
      </w:r>
    </w:p>
    <w:p>
      <w:pPr>
        <w:pStyle w:val="Heading1"/>
        <w:spacing w:after="160" w:before="320"/>
      </w:pPr>
      <w:r>
        <w:t xml:space="preserve">7. Motion &amp; Micro-interactions</w:t>
      </w:r>
    </w:p>
    <w:p>
      <w:pPr>
        <w:spacing w:after="140"/>
      </w:pPr>
      <w:r>
        <w:rPr>
          <w:color w:val="2E2220"/>
          <w:sz w:val="22"/>
          <w:szCs w:val="22"/>
        </w:rPr>
        <w:t xml:space="preserve">Identified during design discussion as the single highest-leverage, lowest-risk lever available: motion does not compete with clinical clarity the way color or density might, and it is consistently the trait people associate with a “premium-feeling” app.</w:t>
      </w:r>
    </w:p>
    <w:p>
      <w:pPr>
        <w:pStyle w:val="ListParagraph"/>
        <w:numPr>
          <w:ilvl w:val="0"/>
          <w:numId w:val="1"/>
        </w:numPr>
        <w:spacing w:after="90"/>
      </w:pPr>
      <w:r>
        <w:rPr>
          <w:color w:val="2E2220"/>
          <w:sz w:val="22"/>
          <w:szCs w:val="22"/>
        </w:rPr>
        <w:t xml:space="preserve">Every button/chip/card compresses slightly on press — immediate tactile feedback on every tap in the app.</w:t>
      </w:r>
    </w:p>
    <w:p>
      <w:pPr>
        <w:pStyle w:val="ListParagraph"/>
        <w:numPr>
          <w:ilvl w:val="0"/>
          <w:numId w:val="1"/>
        </w:numPr>
        <w:spacing w:after="90"/>
      </w:pPr>
      <w:r>
        <w:rPr>
          <w:color w:val="2E2220"/>
          <w:sz w:val="22"/>
          <w:szCs w:val="22"/>
        </w:rPr>
        <w:t xml:space="preserve">Sheets slide up with proper easing, not a hard cut; they dismiss by sliding back down or swiping.</w:t>
      </w:r>
    </w:p>
    <w:p>
      <w:pPr>
        <w:pStyle w:val="ListParagraph"/>
        <w:numPr>
          <w:ilvl w:val="0"/>
          <w:numId w:val="1"/>
        </w:numPr>
        <w:spacing w:after="90"/>
      </w:pPr>
      <w:r>
        <w:rPr>
          <w:color w:val="2E2220"/>
          <w:sz w:val="22"/>
          <w:szCs w:val="22"/>
        </w:rPr>
        <w:t xml:space="preserve">A sent chat message and a new Clinical Advisory card animate into the feed rather than simply appearing.</w:t>
      </w:r>
    </w:p>
    <w:p>
      <w:pPr>
        <w:pStyle w:val="ListParagraph"/>
        <w:numPr>
          <w:ilvl w:val="0"/>
          <w:numId w:val="1"/>
        </w:numPr>
        <w:spacing w:after="90"/>
      </w:pPr>
      <w:r>
        <w:rPr>
          <w:color w:val="2E2220"/>
          <w:sz w:val="22"/>
          <w:szCs w:val="22"/>
        </w:rPr>
        <w:t xml:space="preserve">Haptic feedback on: Book/Confirm, End Call, sending a Clinical Advisory, and accepting/declining an incoming call.</w:t>
      </w:r>
    </w:p>
    <w:p>
      <w:pPr>
        <w:pStyle w:val="ListParagraph"/>
        <w:numPr>
          <w:ilvl w:val="0"/>
          <w:numId w:val="1"/>
        </w:numPr>
        <w:spacing w:after="90"/>
      </w:pPr>
      <w:r>
        <w:rPr>
          <w:color w:val="2E2220"/>
          <w:sz w:val="22"/>
          <w:szCs w:val="22"/>
        </w:rPr>
        <w:t xml:space="preserve">Loading states are skeleton screens (grey content-shaped blocks that pulse) everywhere, never a bare spinner — a spinner alone now reads as unfinished, not as “working.”</w:t>
      </w:r>
    </w:p>
    <w:p>
      <w:pPr>
        <w:pStyle w:val="ListParagraph"/>
        <w:numPr>
          <w:ilvl w:val="0"/>
          <w:numId w:val="1"/>
        </w:numPr>
        <w:spacing w:after="90"/>
      </w:pPr>
      <w:r>
        <w:rPr>
          <w:color w:val="2E2220"/>
          <w:sz w:val="22"/>
          <w:szCs w:val="22"/>
        </w:rPr>
        <w:t xml:space="preserve">The Callback Device “due for reconfirmation” row blinks gently rather than posting a separate banner — motion carrying a status, not new UI chrome.</w:t>
      </w:r>
    </w:p>
    <w:p>
      <w:r>
        <w:br w:type="page"/>
      </w:r>
    </w:p>
    <w:p>
      <w:pPr>
        <w:pStyle w:val="Heading1"/>
        <w:spacing w:after="160" w:before="320"/>
      </w:pPr>
      <w:r>
        <w:t xml:space="preserve">8. Design for Habit Formation</w:t>
      </w:r>
    </w:p>
    <w:p>
      <w:pPr>
        <w:spacing w:after="140"/>
      </w:pPr>
      <w:r>
        <w:rPr>
          <w:color w:val="2E2220"/>
          <w:sz w:val="22"/>
          <w:szCs w:val="22"/>
        </w:rPr>
        <w:t xml:space="preserve">Habit creation was named as the single biggest product concern: individual doctors must choose to open and keep using this app, and there is currently no app in this category they feel good about using daily. Three mechanisms carry most of the weight.</w:t>
      </w:r>
    </w:p>
    <w:p>
      <w:pPr>
        <w:pStyle w:val="Heading2"/>
        <w:spacing w:after="120" w:before="260"/>
      </w:pPr>
      <w:r>
        <w:t xml:space="preserve">7.1 The personal greeting</w:t>
      </w:r>
    </w:p>
    <w:p>
      <w:pPr>
        <w:pStyle w:val="ListParagraph"/>
        <w:numPr>
          <w:ilvl w:val="0"/>
          <w:numId w:val="1"/>
        </w:numPr>
        <w:spacing w:after="90"/>
      </w:pPr>
      <w:r>
        <w:rPr>
          <w:color w:val="2E2220"/>
          <w:sz w:val="22"/>
          <w:szCs w:val="22"/>
        </w:rPr>
        <w:t xml:space="preserve">“Good morning, Dr. Sharma” in large Sora type, every time the Dashboard opens. Cheap to build; the single strongest available “this app knows me” signal.</w:t>
      </w:r>
    </w:p>
    <w:p>
      <w:pPr>
        <w:pStyle w:val="Heading2"/>
        <w:spacing w:after="120" w:before="260"/>
      </w:pPr>
      <w:r>
        <w:t xml:space="preserve">7.2 Constant, confident brand color</w:t>
      </w:r>
    </w:p>
    <w:p>
      <w:pPr>
        <w:pStyle w:val="ListParagraph"/>
        <w:numPr>
          <w:ilvl w:val="0"/>
          <w:numId w:val="1"/>
        </w:numPr>
        <w:spacing w:after="90"/>
      </w:pPr>
      <w:r>
        <w:rPr>
          <w:color w:val="2E2220"/>
          <w:sz w:val="22"/>
          <w:szCs w:val="22"/>
        </w:rPr>
        <w:t xml:space="preserve">Once Coral+Plum reliably means “Perfusion” on a doctor’s phone — the same way WhatsApp’s green is instantly recognizable — seeing it becomes a small recognition trigger. This only works with real consistency: no borrowing other apps’ colors into this system, and no diluting the palette screen by screen.</w:t>
      </w:r>
    </w:p>
    <w:p>
      <w:pPr>
        <w:pStyle w:val="Heading2"/>
        <w:spacing w:after="120" w:before="260"/>
      </w:pPr>
      <w:r>
        <w:t xml:space="preserve">7.3 Motion and tactile feedback</w:t>
      </w:r>
    </w:p>
    <w:p>
      <w:pPr>
        <w:pStyle w:val="ListParagraph"/>
        <w:numPr>
          <w:ilvl w:val="0"/>
          <w:numId w:val="1"/>
        </w:numPr>
        <w:spacing w:after="90"/>
      </w:pPr>
      <w:r>
        <w:rPr>
          <w:color w:val="2E2220"/>
          <w:sz w:val="22"/>
          <w:szCs w:val="22"/>
        </w:rPr>
        <w:t xml:space="preserve">Fifty small daily interactions (tapping into a consultation, sending an advisory, ending a call) each feel good rather than neutral — the aggregate effect of Section 6 applied consistently, not any single animation on its own.</w:t>
      </w:r>
    </w:p>
    <w:p>
      <w:pPr>
        <w:pStyle w:val="Heading2"/>
        <w:spacing w:after="120" w:before="260"/>
      </w:pPr>
      <w:r>
        <w:t xml:space="preserve">7.4 What this deliberately does not include</w:t>
      </w:r>
    </w:p>
    <w:p>
      <w:pPr>
        <w:pStyle w:val="ListParagraph"/>
        <w:numPr>
          <w:ilvl w:val="0"/>
          <w:numId w:val="1"/>
        </w:numPr>
        <w:spacing w:after="90"/>
      </w:pPr>
      <w:r>
        <w:rPr>
          <w:color w:val="2E2220"/>
          <w:sz w:val="22"/>
          <w:szCs w:val="22"/>
        </w:rPr>
        <w:t xml:space="preserve">No gamification, streaks, or mascot character. The product is not a game and a companion-character mechanic (the Duolingo-owl pattern) does not fit a tool used during real clinical decisions — it would read as tone-deaf exactly when the doctor needs the app to feel competent.</w:t>
      </w:r>
    </w:p>
    <w:p>
      <w:pPr>
        <w:pStyle w:val="ListParagraph"/>
        <w:numPr>
          <w:ilvl w:val="0"/>
          <w:numId w:val="1"/>
        </w:numPr>
        <w:spacing w:after="90"/>
      </w:pPr>
      <w:r>
        <w:rPr>
          <w:color w:val="2E2220"/>
          <w:sz w:val="22"/>
          <w:szCs w:val="22"/>
        </w:rPr>
        <w:t xml:space="preserve">No illustration inside working clinical screens (Case File, vitals, dashboard rows). Illustration is reserved for onboarding, empty states, and permission explainers — geometric and warm in style, not cute or cartoonish, closer to how Notion or Linear illustrate an empty state than to a consumer wellness app.</w:t>
      </w:r>
    </w:p>
    <w:p>
      <w:r>
        <w:br w:type="page"/>
      </w:r>
    </w:p>
    <w:p>
      <w:pPr>
        <w:pStyle w:val="Heading1"/>
        <w:spacing w:after="160" w:before="320"/>
      </w:pPr>
      <w:r>
        <w:t xml:space="preserve">9. Logo &amp; Brand Mark</w:t>
      </w:r>
    </w:p>
    <w:p>
      <w:pPr>
        <w:spacing w:after="140"/>
      </w:pPr>
      <w:r>
        <w:rPr>
          <w:color w:val="2E2220"/>
          <w:sz w:val="22"/>
          <w:szCs w:val="22"/>
        </w:rPr>
        <w:t xml:space="preserve">The source logo file (“perfusion” wordmark plus a branching-vessel dot motif) was built for a single dark background and breaks everywhere else: “per” is rendered in solid white, which is fully opaque but invisible on any light surface. On inspection, this white ‘per’ is genuine artwork — real opaque pixels, not a rendering error — simply unusable outside a dark context. Marketing material elsewhere uses yet another variant (“per” in black), so at least three inconsistent color treatments of the same mark have been in circulation. This section replaces all of them with one deliberate system, derived directly from the source file rather than redrawn from scratch.</w:t>
      </w:r>
    </w:p>
    <w:p>
      <w:pPr>
        <w:pStyle w:val="Heading2"/>
        <w:spacing w:after="120" w:before="260"/>
      </w:pPr>
      <w:r>
        <w:t xml:space="preserve">9.1 Two lockups, not one static file</w:t>
      </w:r>
    </w:p>
    <w:p>
      <w:pPr>
        <w:pStyle w:val="ListParagraph"/>
        <w:numPr>
          <w:ilvl w:val="0"/>
          <w:numId w:val="1"/>
        </w:numPr>
        <w:spacing w:after="90"/>
      </w:pPr>
      <w:r>
        <w:rPr>
          <w:color w:val="2E2220"/>
          <w:sz w:val="22"/>
          <w:szCs w:val="22"/>
        </w:rPr>
        <w:t xml:space="preserve">Full-color lockup — for light/cream surfaces: “per” in Plum, “fusion” and the mark in Coral. This is the two brand colors of Section 2 made literal in the logo itself, and it replaces the old crimson tone with the current Coral so the wordmark and the rest of the app are finally the same red.</w:t>
      </w:r>
    </w:p>
    <w:p>
      <w:pPr>
        <w:pStyle w:val="ListParagraph"/>
        <w:numPr>
          <w:ilvl w:val="0"/>
          <w:numId w:val="1"/>
        </w:numPr>
        <w:spacing w:after="90"/>
      </w:pPr>
      <w:r>
        <w:rPr>
          <w:color w:val="2E2220"/>
          <w:sz w:val="22"/>
          <w:szCs w:val="22"/>
        </w:rPr>
        <w:t xml:space="preserve">All-white lockup — for the Coral→Plum gradient, any dark surface, or a colored photo background: the entire mark, both words and the dots, in solid white.</w:t>
      </w:r>
    </w:p>
    <w:p>
      <w:pPr>
        <w:pStyle w:val="ListParagraph"/>
        <w:numPr>
          <w:ilvl w:val="0"/>
          <w:numId w:val="1"/>
        </w:numPr>
        <w:spacing w:after="90"/>
      </w:pPr>
      <w:r>
        <w:rPr>
          <w:color w:val="2E2220"/>
          <w:sz w:val="22"/>
          <w:szCs w:val="22"/>
        </w:rPr>
        <w:t xml:space="preserve">Never place the full-color lockup on a colored or dark background, and never place the all-white lockup on a light background — each exists because the other becomes illegible there. There is no universal single-file version; picking the correct lockup for the surface is part of using the logo correctly, not an inconvenience.</w:t>
      </w:r>
    </w:p>
    <w:p>
      <w:pPr>
        <w:spacing w:after="140"/>
      </w:pPr>
      <w:r>
        <w:rPr>
          <w:b/>
          <w:bCs/>
          <w:color w:val="7A2E4D"/>
          <w:sz w:val="22"/>
          <w:szCs w:val="22"/>
        </w:rPr>
        <w:t xml:space="preserve">REFERENCE FILES: </w:t>
      </w:r>
      <w:r>
        <w:rPr>
          <w:color w:val="2E2220"/>
          <w:sz w:val="22"/>
          <w:szCs w:val="22"/>
        </w:rPr>
        <w:t xml:space="preserve">perfusion-logo-full-color.png (light surfaces), perfusion-logo-all-white.png (dark/colored surfaces)</w:t>
      </w:r>
    </w:p>
    <w:p>
      <w:pPr>
        <w:pStyle w:val="Heading2"/>
        <w:spacing w:after="120" w:before="260"/>
      </w:pPr>
      <w:r>
        <w:t xml:space="preserve">9.2 App icon: the mark alone, not the wordmark</w:t>
      </w:r>
    </w:p>
    <w:p>
      <w:pPr>
        <w:pStyle w:val="ListParagraph"/>
        <w:numPr>
          <w:ilvl w:val="0"/>
          <w:numId w:val="1"/>
        </w:numPr>
        <w:spacing w:after="90"/>
      </w:pPr>
      <w:r>
        <w:rPr>
          <w:color w:val="2E2220"/>
          <w:sz w:val="22"/>
          <w:szCs w:val="22"/>
        </w:rPr>
        <w:t xml:space="preserve">A wordmark does not read at app-icon sizes — confirmed down to 48px, the smallest size an icon is likely to render at on a real device. The icon uses only the branching-vessel motif from the end of the wordmark, isolated and cleaned up as a standalone symbol, at solid white, on the Coral→Plum gradient in a standard rounded-square container.</w:t>
      </w:r>
    </w:p>
    <w:p>
      <w:pPr>
        <w:pStyle w:val="ListParagraph"/>
        <w:numPr>
          <w:ilvl w:val="0"/>
          <w:numId w:val="1"/>
        </w:numPr>
        <w:spacing w:after="90"/>
      </w:pPr>
      <w:r>
        <w:rPr>
          <w:color w:val="2E2220"/>
          <w:sz w:val="22"/>
          <w:szCs w:val="22"/>
        </w:rPr>
        <w:t xml:space="preserve">This mark was extracted from the existing raster artwork for the purpose of this system and shows the concept correctly, but it was pixel-cropped, not re-drawn from a vector source. Before shipping, the actual production icon file should be re-exported cleanly from whatever vector tool (Illustrator/Figma/etc.) the original logo was designed in, isolating this same motif at full vector precision — a raster crop is a sound stand-in for review, not the final production asset.</w:t>
      </w:r>
    </w:p>
    <w:p>
      <w:pPr>
        <w:spacing w:after="140"/>
      </w:pPr>
      <w:r>
        <w:rPr>
          <w:b/>
          <w:bCs/>
          <w:color w:val="7A2E4D"/>
          <w:sz w:val="22"/>
          <w:szCs w:val="22"/>
        </w:rPr>
        <w:t xml:space="preserve">REFERENCE FILES: </w:t>
      </w:r>
      <w:r>
        <w:rPr>
          <w:color w:val="2E2220"/>
          <w:sz w:val="22"/>
          <w:szCs w:val="22"/>
        </w:rPr>
        <w:t xml:space="preserve">perfusion-mark-only.png (transparent, the isolated symbol), perfusion-app-icon-1024.png (finished icon at master resolution)</w:t>
      </w:r>
    </w:p>
    <w:p>
      <w:pPr>
        <w:pStyle w:val="Heading2"/>
        <w:spacing w:after="120" w:before="260"/>
      </w:pPr>
      <w:r>
        <w:t xml:space="preserve">9.3 Splash / launch screen</w:t>
      </w:r>
    </w:p>
    <w:p>
      <w:pPr>
        <w:pStyle w:val="ListParagraph"/>
        <w:numPr>
          <w:ilvl w:val="0"/>
          <w:numId w:val="1"/>
        </w:numPr>
        <w:spacing w:after="90"/>
      </w:pPr>
      <w:r>
        <w:rPr>
          <w:color w:val="2E2220"/>
          <w:sz w:val="22"/>
          <w:szCs w:val="22"/>
        </w:rPr>
        <w:t xml:space="preserve">Full-bleed Coral→Plum gradient, per Section 2.3’s usage rule — header surfaces already use this exact gradient, so the launch screen is simply the largest instance of it, not a new treatment. The all-white lockup sits centered.</w:t>
      </w:r>
    </w:p>
    <w:p>
      <w:pPr>
        <w:pStyle w:val="ListParagraph"/>
        <w:numPr>
          <w:ilvl w:val="0"/>
          <w:numId w:val="1"/>
        </w:numPr>
        <w:spacing w:after="90"/>
      </w:pPr>
      <w:r>
        <w:rPr>
          <w:color w:val="2E2220"/>
          <w:sz w:val="22"/>
          <w:szCs w:val="22"/>
        </w:rPr>
        <w:t xml:space="preserve">This is the one deliberate exception to “color should mean something, not just fill the screen” — a launch screen is brief and non-functional by nature, so full-bleed brand color here does not compete with any working content the way it would inside Case File or the Dashboard. It is also the single biggest opportunity in the whole app for a confident, colorful, memorable first frame — directly serving the habit-formation goal in Section 8.</w:t>
      </w:r>
    </w:p>
    <w:p>
      <w:pPr>
        <w:spacing w:after="140"/>
      </w:pPr>
      <w:r>
        <w:rPr>
          <w:b/>
          <w:bCs/>
          <w:color w:val="7A2E4D"/>
          <w:sz w:val="22"/>
          <w:szCs w:val="22"/>
        </w:rPr>
        <w:t xml:space="preserve">REFERENCE FILE: </w:t>
      </w:r>
      <w:r>
        <w:rPr>
          <w:color w:val="2E2220"/>
          <w:sz w:val="22"/>
          <w:szCs w:val="22"/>
        </w:rPr>
        <w:t xml:space="preserve">perfusion-splash-and-icon-preview.html — shows the launch screen and the app icon on a simulated home screen side by side, since an icon should always be judged next to other icons at real size, never viewed alone at full resolution.</w:t>
      </w:r>
    </w:p>
    <w:p>
      <w:r>
        <w:br w:type="page"/>
      </w:r>
    </w:p>
    <w:p>
      <w:pPr>
        <w:pStyle w:val="Heading1"/>
        <w:spacing w:after="160" w:before="320"/>
      </w:pPr>
      <w:r>
        <w:t xml:space="preserve">10. Reference File — Screens</w:t>
      </w:r>
    </w:p>
    <w:p>
      <w:pPr>
        <w:spacing w:after="140"/>
      </w:pPr>
      <w:r>
        <w:rPr>
          <w:color w:val="2E2220"/>
          <w:sz w:val="22"/>
          <w:szCs w:val="22"/>
        </w:rPr>
        <w:t xml:space="preserve">A single interactive HTML file demonstrates every rule in this document applied together, across six screens with a live screen switcher: Provider Dashboard (with working tap-to-expand row actions), Case File Chat, Explore Consultants (patient booking), My Profile, Incoming Call, and Video Call.</w:t>
      </w:r>
    </w:p>
    <w:p>
      <w:pPr>
        <w:spacing w:after="140"/>
      </w:pPr>
      <w:r>
        <w:rPr>
          <w:b/>
          <w:bCs/>
          <w:color w:val="7A2E4D"/>
          <w:sz w:val="22"/>
          <w:szCs w:val="22"/>
        </w:rPr>
        <w:t xml:space="preserve">REFERENCE FILE: </w:t>
      </w:r>
      <w:r>
        <w:rPr>
          <w:color w:val="2E2220"/>
          <w:sz w:val="22"/>
          <w:szCs w:val="22"/>
        </w:rPr>
        <w:t xml:space="preserve">perfusion-uiux-final-b.html</w:t>
      </w:r>
    </w:p>
    <w:p>
      <w:pPr>
        <w:spacing w:after="140"/>
      </w:pPr>
      <w:r>
        <w:rPr>
          <w:color w:val="2E2220"/>
          <w:sz w:val="22"/>
          <w:szCs w:val="22"/>
        </w:rPr>
        <w:t xml:space="preserve">This file is the executable version of this document. Where a future screen's implementation is ambiguous, this file's actual behavior is the tie-breaker, not a re-reading of the prose above.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F0654A"/>
      <w:sz w:val="32"/>
      <w:szCs w:val="32"/>
    </w:rPr>
  </w:style>
  <w:style w:type="paragraph" w:styleId="Heading2">
    <w:name w:val="Heading 2"/>
    <w:basedOn w:val="Normal"/>
    <w:next w:val="Normal"/>
    <w:qFormat/>
    <w:pPr>
      <w:spacing w:after="110" w:before="220"/>
    </w:pPr>
    <w:rPr>
      <w:rFonts w:ascii="Calibri" w:cs="Calibri" w:eastAsia="Calibri" w:hAnsi="Calibri"/>
      <w:b/>
      <w:bCs/>
      <w:color w:val="7A2E4D"/>
      <w:sz w:val="26"/>
      <w:szCs w:val="26"/>
    </w:rPr>
  </w:style>
  <w:style w:type="paragraph" w:styleId="Heading3">
    <w:name w:val="Heading 3"/>
    <w:basedOn w:val="Normal"/>
    <w:next w:val="Normal"/>
    <w:qFormat/>
    <w:pPr>
      <w:spacing w:after="90" w:before="160"/>
    </w:pPr>
    <w:rPr>
      <w:rFonts w:ascii="Calibri" w:cs="Calibri" w:eastAsia="Calibri" w:hAnsi="Calibri"/>
      <w:b/>
      <w:bCs/>
      <w:color w:val="2E22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2026-09-29T15:13:01.245Z</dcterms:created>
  <dcterms:modified xsi:type="dcterms:W3CDTF">2026-09-29T15:13:01.251Z</dcterms:modified>
</cp:coreProperties>
</file>

<file path=docProps/custom.xml><?xml version="1.0" encoding="utf-8"?>
<Properties xmlns="http://schemas.openxmlformats.org/officeDocument/2006/custom-properties" xmlns:vt="http://schemas.openxmlformats.org/officeDocument/2006/docPropsVTypes"/>
</file>