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none" w:color="FFFFFF" w:sz="0"/>
              <w:right w:val="none" w:color="FFFFFF" w:sz="0"/>
            </w:tcBorders>
            <w:shd w:fill="DA1710" w:color="auto" w:val="clear"/>
            <w:tcMar>
              <w:top w:type="dxa" w:w="320"/>
              <w:left w:type="dxa" w:w="400"/>
              <w:bottom w:type="dxa" w:w="320"/>
              <w:right w:type="dxa" w:w="400"/>
            </w:tcMar>
          </w:tcPr>
          <w:p>
            <w:pPr>
              <w:spacing w:after="60"/>
            </w:pPr>
            <w:r>
              <w:rPr>
                <w:b/>
                <w:bCs/>
                <w:color w:val="FBD5D2"/>
                <w:spacing w:val="60"/>
                <w:sz w:val="18"/>
                <w:szCs w:val="18"/>
              </w:rPr>
              <w:t xml:space="preserve">PAYMENTS RISK · CONTROL SUFFICIENCY PoC</w:t>
            </w:r>
          </w:p>
          <w:p>
            <w:pPr>
              <w:spacing w:after="80"/>
            </w:pPr>
            <w:r>
              <w:rPr>
                <w:b/>
                <w:bCs/>
                <w:color w:val="FFFFFF"/>
                <w:sz w:val="40"/>
                <w:szCs w:val="40"/>
              </w:rPr>
              <w:t xml:space="preserve">Technical Runbook</w:t>
            </w:r>
          </w:p>
          <w:p>
            <w:pPr>
              <w:spacing w:after="0"/>
            </w:pPr>
            <w:r>
              <w:rPr>
                <w:color w:val="F8C1BC"/>
                <w:sz w:val="18"/>
                <w:szCs w:val="18"/>
              </w:rPr>
              <w:t xml:space="preserve">Twelve steps from source data to control sufficiency findings · v1.5</w:t>
            </w:r>
          </w:p>
        </w:tc>
      </w:tr>
    </w:tbl>
    <w:p>
      <w:pPr>
        <w:spacing w:after="140" w:before="320"/>
      </w:pPr>
      <w:r>
        <w:rPr>
          <w:b/>
          <w:bCs/>
          <w:color w:val="8C0E08"/>
          <w:sz w:val="26"/>
          <w:szCs w:val="26"/>
        </w:rPr>
        <w:t xml:space="preserve">Objective</w:t>
      </w:r>
    </w:p>
    <w:p>
      <w:pPr>
        <w:spacing w:after="100" w:before="0"/>
        <w:jc w:val="left"/>
      </w:pPr>
      <w:r>
        <w:rPr>
          <w:sz w:val="20"/>
          <w:szCs w:val="20"/>
        </w:rPr>
        <w:t xml:space="preserve">Provide insights over the group level payment risk profile, and reduce complexity in the operation of 1st line controls based on an end to end process view. The work is anchored to the 28 Master Controls (CT1 to CT28) and the five Payment Nature categories prioritised in the project deck.</w:t>
      </w:r>
    </w:p>
    <w:p>
      <w:pPr>
        <w:spacing w:after="100" w:before="0"/>
        <w:jc w:val="left"/>
      </w:pPr>
      <w:r>
        <w:rPr>
          <w:sz w:val="20"/>
          <w:szCs w:val="20"/>
        </w:rPr>
        <w:t xml:space="preserve">Sufficiency is judged against the CT1 to CT28 outcomes across the five Payment Nature categories and the seven payments lifecycle stages.</w:t>
      </w:r>
    </w:p>
    <w:p>
      <w:pPr>
        <w:spacing w:after="100" w:before="0"/>
        <w:jc w:val="left"/>
      </w:pPr>
      <w:r>
        <w:rPr>
          <w:i/>
          <w:iCs/>
          <w:color w:val="5C5C5C"/>
          <w:sz w:val="20"/>
          <w:szCs w:val="20"/>
        </w:rPr>
        <w:t xml:space="preserve">This runbook describes twelve steps in execution order. Each step states inputs, action, outputs, platform, done-when criterion, and validation gate where applicable.</w:t>
      </w:r>
    </w:p>
    <w:p>
      <w:pPr>
        <w:spacing w:after="140" w:before="280"/>
      </w:pPr>
      <w:r>
        <w:rPr>
          <w:b/>
          <w:bCs/>
          <w:color w:val="8C0E08"/>
          <w:sz w:val="26"/>
          <w:szCs w:val="26"/>
        </w:rPr>
        <w:t xml:space="preserve">Core definitions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rPr>
          <w:tblHeader/>
        </w:trPr>
        <w:tc>
          <w:tcPr>
            <w:tcW w:type="dxa" w:w="2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Term</w:t>
            </w:r>
          </w:p>
        </w:tc>
        <w:tc>
          <w:tcPr>
            <w:tcW w:type="dxa" w:w="70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Definition (used consistently throughout)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Effective control environment</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Controls that mitigate risk in practice, registered or not. The PoC assesses sufficiency against this, not against JUNO alone.</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Structural coverage</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A control exists and is mapped to a CT outcome for a given Payment Nature at a given lifecycle stage. Says nothing about whether the control works.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Effective coverage</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Structural coverage where the control's overall effectiveness rating is Effective. The control is, by its own assessment, working.</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Failing coverage</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Structural coverage where the control is rated Effective but linked incidents or issues contradict the rating. A method-failure indicator.</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Duplicate cluster</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Two or more controls that share (CT outcome ∩ Payment Nature ∩ lifecycle stage ∩ process scope) AND have mechanism similarity above threshold. Defined in step 11c.</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Best-of-breed control</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Within a duplicate cluster, the control with the highest selection score across five weighted factors. Reproducible formula in step 11c.</w:t>
            </w:r>
          </w:p>
        </w:tc>
      </w:tr>
    </w:tbl>
    <w:p>
      <w:pPr>
        <w:spacing w:after="140" w:before="280"/>
      </w:pPr>
      <w:r>
        <w:rPr>
          <w:b/>
          <w:bCs/>
          <w:color w:val="8C0E08"/>
          <w:sz w:val="26"/>
          <w:szCs w:val="26"/>
        </w:rPr>
        <w:t xml:space="preserve">At a glance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3700"/>
        <w:gridCol w:w="2400"/>
        <w:gridCol w:w="2300"/>
      </w:tblGrid>
      <w:tr>
        <w:trPr>
          <w:tblHeader/>
        </w:trPr>
        <w:tc>
          <w:tcPr>
            <w:tcW w:type="dxa" w:w="6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w:t>
            </w:r>
          </w:p>
        </w:tc>
        <w:tc>
          <w:tcPr>
            <w:tcW w:type="dxa" w:w="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MVP</w:t>
            </w:r>
          </w:p>
        </w:tc>
        <w:tc>
          <w:tcPr>
            <w:tcW w:type="dxa" w:w="3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Step</w:t>
            </w:r>
          </w:p>
        </w:tc>
        <w:tc>
          <w:tcPr>
            <w:tcW w:type="dxa" w:w="24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Primary output</w:t>
            </w:r>
          </w:p>
        </w:tc>
        <w:tc>
          <w:tcPr>
            <w:tcW w:type="dxa" w:w="23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Platform</w:t>
            </w:r>
          </w:p>
        </w:tc>
      </w:tr>
      <w:tr>
        <w:tc>
          <w:tcPr>
            <w:tcW w:type="dxa" w:w="6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8C0E08"/>
                <w:sz w:val="22"/>
                <w:szCs w:val="22"/>
              </w:rPr>
              <w:t xml:space="preserve">1</w:t>
            </w:r>
          </w:p>
        </w:tc>
        <w:tc>
          <w:tcPr>
            <w:tcW w:type="dxa" w:w="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b/>
                <w:bCs/>
                <w:sz w:val="20"/>
                <w:szCs w:val="20"/>
              </w:rPr>
              <w:t xml:space="preserve">Profile and load the source data</w:t>
            </w:r>
          </w:p>
        </w:tc>
        <w:tc>
          <w:tcPr>
            <w:tcW w:type="dxa" w:w="24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sz w:val="18"/>
                <w:szCs w:val="18"/>
              </w:rPr>
              <w:t xml:space="preserve">Schema dictionary, gap list</w:t>
            </w:r>
          </w:p>
        </w:tc>
        <w:tc>
          <w:tcPr>
            <w:tcW w:type="dxa" w:w="23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2</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Find the payment processes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Payment process register</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3</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Classify Payment Nature for processes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Process × Nature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4</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Find the JUNO payment controls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JUNO control population</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5</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Discover bespoke controls outside JUNO</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Bespoke control register</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6</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Convergence loop between steps 2 and 4</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Stabilised populations</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orchestration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7</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Assign Payment Nature to controls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Control × Nature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8</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Map each control to Master Controls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Control × Master Control mapping</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9</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Place controls in payment lifecycle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Control × lifecycle stage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10</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Build the bridge table</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Process×Control×CT×Nature×Stage</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w:t>
            </w:r>
          </w:p>
        </w:tc>
      </w:tr>
      <w:tr>
        <w:tc>
          <w:tcPr>
            <w:tcW w:type="dxa" w:w="6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8C0E08"/>
                <w:sz w:val="22"/>
                <w:szCs w:val="22"/>
              </w:rPr>
              <w:t xml:space="preserve">11</w:t>
            </w:r>
          </w:p>
        </w:tc>
        <w:tc>
          <w:tcPr>
            <w:tcW w:type="dxa" w:w="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b/>
                <w:bCs/>
                <w:sz w:val="20"/>
                <w:szCs w:val="20"/>
              </w:rPr>
              <w:t xml:space="preserve">Produce the analytical outputs</w:t>
            </w:r>
          </w:p>
        </w:tc>
        <w:tc>
          <w:tcPr>
            <w:tcW w:type="dxa" w:w="24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sz w:val="18"/>
                <w:szCs w:val="18"/>
              </w:rPr>
              <w:t xml:space="preserve">Coverage, gaps, duplicates, backlog</w:t>
            </w:r>
          </w:p>
        </w:tc>
        <w:tc>
          <w:tcPr>
            <w:tcW w:type="dxa" w:w="23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color w:val="5C5C5C"/>
                <w:sz w:val="18"/>
                <w:szCs w:val="18"/>
              </w:rPr>
              <w:t xml:space="preserve">SAS</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12</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Validate via independent LRM</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Pass / iterate decision</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 independent LRM</w:t>
            </w:r>
          </w:p>
        </w:tc>
      </w:tr>
    </w:tbl>
    <w:p>
      <w:pPr>
        <w:spacing w:after="100" w:before="120"/>
      </w:pPr>
      <w:r>
        <w:rPr>
          <w:b/>
          <w:bCs/>
          <w:color w:val="DA1710"/>
          <w:sz w:val="20"/>
          <w:szCs w:val="20"/>
        </w:rPr>
        <w:t xml:space="preserve">MVP path. </w:t>
      </w:r>
      <w:r>
        <w:rPr>
          <w:sz w:val="20"/>
          <w:szCs w:val="20"/>
        </w:rPr>
        <w:t xml:space="preserve">Steps 1, 2, 4, 6, 8, 10, 11, 12 deliver the headline finding (coverage heatmap + gap register on registered controls). Steps 3, 5, 7, 9 enrich the result with Payment Nature stratification, unregistered control discovery, and lifecycle placement, but are not required to produce the first defensible answer. Sponsor demo can run on MVP only.</w:t>
      </w:r>
    </w:p>
    <w:p>
      <w:pPr>
        <w:spacing w:after="140" w:before="280"/>
      </w:pPr>
      <w:r>
        <w:rPr>
          <w:b/>
          <w:bCs/>
          <w:color w:val="8C0E08"/>
          <w:sz w:val="26"/>
          <w:szCs w:val="26"/>
        </w:rPr>
        <w:t xml:space="preserve">The twelve steps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w:t>
            </w:r>
            <w:r>
              <w:rPr>
                <w:sz w:val="22"/>
                <w:szCs w:val="22"/>
              </w:rPr>
              <w:t xml:space="preserve">    </w:t>
            </w:r>
            <w:r>
              <w:rPr>
                <w:b/>
                <w:bCs/>
                <w:color w:val="8C0E08"/>
                <w:sz w:val="28"/>
                <w:szCs w:val="28"/>
              </w:rPr>
              <w:t xml:space="preserve">Profile and load the source data</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Establish what we actually have before making any decisions about how to use it. Confirm the two-engine model can carry each downstream step.</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control + ratings extract (Teradata)</w:t>
            </w:r>
          </w:p>
          <w:p>
            <w:pPr>
              <w:spacing w:after="20"/>
            </w:pPr>
            <w:r>
              <w:rPr>
                <w:sz w:val="20"/>
                <w:szCs w:val="20"/>
              </w:rPr>
              <w:t xml:space="preserve">•  Linkage tables Control↔Process / Obligation / Incident / Issue (Teradata)</w:t>
            </w:r>
          </w:p>
          <w:p>
            <w:pPr>
              <w:spacing w:after="20"/>
            </w:pPr>
            <w:r>
              <w:rPr>
                <w:sz w:val="20"/>
                <w:szCs w:val="20"/>
              </w:rPr>
              <w:t xml:space="preserve">•  Obligations, Incidents, Issues (Teradata)</w:t>
            </w:r>
          </w:p>
          <w:p>
            <w:pPr>
              <w:spacing w:after="20"/>
            </w:pPr>
            <w:r>
              <w:rPr>
                <w:sz w:val="20"/>
                <w:szCs w:val="20"/>
              </w:rPr>
              <w:t xml:space="preserve">•  Holocentric process extract (CSV)</w:t>
            </w:r>
          </w:p>
          <w:p>
            <w:pPr>
              <w:spacing w:after="20"/>
            </w:pPr>
            <w:r>
              <w:rPr>
                <w:sz w:val="20"/>
                <w:szCs w:val="20"/>
              </w:rPr>
              <w:t xml:space="preserve">•  Alfabet application register (CSV)</w:t>
            </w:r>
          </w:p>
          <w:p>
            <w:pPr>
              <w:spacing w:after="20"/>
            </w:pPr>
            <w:r>
              <w:rPr>
                <w:sz w:val="20"/>
                <w:szCs w:val="20"/>
              </w:rPr>
              <w:t xml:space="preserve">•  ALEX extract if available (CSV)</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Teradata-side: profile JUNO and the linkage tables via pass-through queries. Row counts, column distributions, null rates, orphan-key analysis. Materialise minimal SAS staging copies of the columns we will actually use.</w:t>
            </w:r>
          </w:p>
          <w:p>
            <w:pPr>
              <w:spacing w:after="100" w:before="40"/>
              <w:jc w:val="left"/>
            </w:pPr>
            <w:r>
              <w:rPr>
                <w:sz w:val="20"/>
                <w:szCs w:val="20"/>
              </w:rPr>
              <w:t xml:space="preserve">SAS-side: ingest CSV extracts. Standardise schemas. Build the schema dictionary covering both engines.</w:t>
            </w:r>
          </w:p>
          <w:p>
            <w:pPr>
              <w:spacing w:after="100" w:before="40"/>
              <w:jc w:val="left"/>
            </w:pPr>
            <w:r>
              <w:rPr>
                <w:sz w:val="20"/>
                <w:szCs w:val="20"/>
              </w:rPr>
              <w:t xml:space="preserve">Verify join keys reconcile across engines: every CTRL_ID in the SAS-loaded extracts can be resolved against the Teradata-resident JUNO; every BUS_UNIT_BCRM_ID in the linkage table resolves to a Holocentric activity ID.</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Schema dictionary (one row per field per source per engine)</w:t>
            </w:r>
          </w:p>
          <w:p>
            <w:pPr>
              <w:spacing w:after="20"/>
            </w:pPr>
            <w:r>
              <w:rPr>
                <w:sz w:val="20"/>
                <w:szCs w:val="20"/>
              </w:rPr>
              <w:t xml:space="preserve">•  Data quality findings (orphan keys, null rates, surprises)</w:t>
            </w:r>
          </w:p>
          <w:p>
            <w:pPr>
              <w:spacing w:after="20"/>
            </w:pPr>
            <w:r>
              <w:rPr>
                <w:sz w:val="20"/>
                <w:szCs w:val="20"/>
              </w:rPr>
              <w:t xml:space="preserve">•  Go / no-go decision per downstream step based on data availability</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warehouse profiling; SAS for CSV ingestion and dictionary assembly.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source listed in inputs has a documented schema, every join key has been reconciled, and any data gaps are recorded with their downstream impact assessed.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2</w:t>
            </w:r>
            <w:r>
              <w:rPr>
                <w:sz w:val="22"/>
                <w:szCs w:val="22"/>
              </w:rPr>
              <w:t xml:space="preserve">    </w:t>
            </w:r>
            <w:r>
              <w:rPr>
                <w:b/>
                <w:bCs/>
                <w:color w:val="8C0E08"/>
                <w:sz w:val="28"/>
                <w:szCs w:val="28"/>
              </w:rPr>
              <w:t xml:space="preserve">Find the payment processes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Build a defensible payment process register. Single-tag classification is unsound: payment processes hide in non-payments value chains for legacy and modelling reasons.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Holocentric process universe (SAS staging from step 1)</w:t>
            </w:r>
          </w:p>
          <w:p>
            <w:pPr>
              <w:spacing w:after="20"/>
            </w:pPr>
            <w:r>
              <w:rPr>
                <w:sz w:val="20"/>
                <w:szCs w:val="20"/>
              </w:rPr>
              <w:t xml:space="preserve">•  Alfabet application register (SAS)</w:t>
            </w:r>
          </w:p>
          <w:p>
            <w:pPr>
              <w:spacing w:after="20"/>
            </w:pPr>
            <w:r>
              <w:rPr>
                <w:sz w:val="20"/>
                <w:szCs w:val="20"/>
              </w:rPr>
              <w:t xml:space="preserve">•  Linkage table (used in Pass 2+ via PP4, from Teradata)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Run six independent inclusion paths in PARALLEL over the full Holocentric universe. A process is included if any one path fires (logical OR). Each path is evaluated independently; no path filters the input of another. The output records all paths that fired plus a primary path (by confidence hierarchy).</w:t>
            </w:r>
          </w:p>
          <w:p>
            <w:pPr>
              <w:spacing w:after="40" w:before="80"/>
            </w:pPr>
            <w:r>
              <w:rPr>
                <w:b/>
                <w:bCs/>
                <w:sz w:val="20"/>
                <w:szCs w:val="20"/>
              </w:rPr>
              <w:t xml:space="preserve">Inclusion paths (parallel evaluation):</w:t>
            </w:r>
          </w:p>
          <w:p>
            <w:pPr>
              <w:pStyle w:val="ListParagraph"/>
              <w:numPr>
                <w:ilvl w:val="0"/>
                <w:numId w:val="2"/>
              </w:numPr>
              <w:spacing w:after="30"/>
            </w:pPr>
            <w:r>
              <w:rPr>
                <w:b/>
                <w:bCs/>
                <w:sz w:val="20"/>
                <w:szCs w:val="20"/>
              </w:rPr>
              <w:t xml:space="preserve">PP1 Hierarchy. </w:t>
            </w:r>
            <w:r>
              <w:rPr>
                <w:sz w:val="20"/>
                <w:szCs w:val="20"/>
              </w:rPr>
              <w:t xml:space="preserve">Process sits under a known payments L2/L3 family. SQL on hierarchy fields.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PP2 Value stream. </w:t>
            </w:r>
            <w:r>
              <w:rPr>
                <w:sz w:val="20"/>
                <w:szCs w:val="20"/>
              </w:rPr>
              <w:t xml:space="preserve">Process belongs to a payments-relevant value stream (Request to Payment, Fraud Detect to Correct). SQL on value_stream_name.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PP3 Application. </w:t>
            </w:r>
            <w:r>
              <w:rPr>
                <w:sz w:val="20"/>
                <w:szCs w:val="20"/>
              </w:rPr>
              <w:t xml:space="preserve">Process references a payment-relevant application via Holocentric.applications → Alfabet. </w:t>
            </w:r>
            <w:r>
              <w:rPr>
                <w:b/>
                <w:bCs/>
                <w:color w:val="3A3A3A"/>
                <w:sz w:val="20"/>
                <w:szCs w:val="20"/>
              </w:rPr>
              <w:t xml:space="preserve">Medium</w:t>
            </w:r>
            <w:r>
              <w:rPr>
                <w:sz w:val="20"/>
                <w:szCs w:val="20"/>
              </w:rPr>
              <w:t xml:space="preserve">.</w:t>
            </w:r>
          </w:p>
          <w:p>
            <w:pPr>
              <w:pStyle w:val="ListParagraph"/>
              <w:numPr>
                <w:ilvl w:val="0"/>
                <w:numId w:val="2"/>
              </w:numPr>
              <w:spacing w:after="30"/>
            </w:pPr>
            <w:r>
              <w:rPr>
                <w:b/>
                <w:bCs/>
                <w:sz w:val="20"/>
                <w:szCs w:val="20"/>
              </w:rPr>
              <w:t xml:space="preserve">PP4 Control linkage (reverse). </w:t>
            </w:r>
            <w:r>
              <w:rPr>
                <w:sz w:val="20"/>
                <w:szCs w:val="20"/>
              </w:rPr>
              <w:t xml:space="preserve">Process is linked to a control already included in step 4 as a payment control. Populated in Pass 2+ of step 6.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PP5 Keyword. </w:t>
            </w:r>
            <w:r>
              <w:rPr>
                <w:sz w:val="20"/>
                <w:szCs w:val="20"/>
              </w:rPr>
              <w:t xml:space="preserve">Process name or step description contains controlled payment terms. SAS regex over text fields. </w:t>
            </w:r>
            <w:r>
              <w:rPr>
                <w:b/>
                <w:bCs/>
                <w:color w:val="C00000"/>
                <w:sz w:val="20"/>
                <w:szCs w:val="20"/>
              </w:rPr>
              <w:t xml:space="preserve">Low → SME queue</w:t>
            </w:r>
            <w:r>
              <w:rPr>
                <w:sz w:val="20"/>
                <w:szCs w:val="20"/>
              </w:rPr>
              <w:t xml:space="preserve">.</w:t>
            </w:r>
          </w:p>
          <w:p>
            <w:pPr>
              <w:pStyle w:val="ListParagraph"/>
              <w:numPr>
                <w:ilvl w:val="0"/>
                <w:numId w:val="2"/>
              </w:numPr>
              <w:spacing w:after="30"/>
            </w:pPr>
            <w:r>
              <w:rPr>
                <w:b/>
                <w:bCs/>
                <w:sz w:val="20"/>
                <w:szCs w:val="20"/>
              </w:rPr>
              <w:t xml:space="preserve">PP6 Embedding similarity. </w:t>
            </w:r>
            <w:r>
              <w:rPr>
                <w:sz w:val="20"/>
                <w:szCs w:val="20"/>
              </w:rPr>
              <w:t xml:space="preserve">Process embedding within calibrated cosine distance of the high-confidence core (PP1–PP3). </w:t>
            </w:r>
            <w:r>
              <w:rPr>
                <w:b/>
                <w:bCs/>
                <w:color w:val="C00000"/>
                <w:sz w:val="20"/>
                <w:szCs w:val="20"/>
              </w:rPr>
              <w:t xml:space="preserve">Low / Medium → SME queue</w:t>
            </w:r>
            <w:r>
              <w:rPr>
                <w:sz w:val="20"/>
                <w:szCs w:val="20"/>
              </w:rPr>
              <w:t xml:space="preserve">.</w:t>
            </w:r>
          </w:p>
          <w:p>
            <w:pPr>
              <w:spacing w:after="40" w:before="100"/>
            </w:pPr>
            <w:r>
              <w:rPr>
                <w:b/>
                <w:bCs/>
                <w:sz w:val="20"/>
                <w:szCs w:val="20"/>
              </w:rPr>
              <w:t xml:space="preserve">Inclusion confidence rollup (deterministic, per process):</w:t>
            </w:r>
          </w:p>
          <w:p>
            <w:pPr>
              <w:pStyle w:val="ListParagraph"/>
              <w:numPr>
                <w:ilvl w:val="0"/>
                <w:numId w:val="2"/>
              </w:numPr>
              <w:spacing w:after="30"/>
            </w:pPr>
            <w:r>
              <w:rPr>
                <w:b/>
                <w:bCs/>
                <w:color w:val="8C0E08"/>
                <w:sz w:val="20"/>
                <w:szCs w:val="20"/>
              </w:rPr>
              <w:t xml:space="preserve">High: </w:t>
            </w:r>
            <w:r>
              <w:rPr>
                <w:sz w:val="20"/>
                <w:szCs w:val="20"/>
              </w:rPr>
              <w:t xml:space="preserve">≥2 paths fire including ≥1 of PP1, PP2, PP4.</w:t>
            </w:r>
          </w:p>
          <w:p>
            <w:pPr>
              <w:pStyle w:val="ListParagraph"/>
              <w:numPr>
                <w:ilvl w:val="0"/>
                <w:numId w:val="2"/>
              </w:numPr>
              <w:spacing w:after="30"/>
            </w:pPr>
            <w:r>
              <w:rPr>
                <w:b/>
                <w:bCs/>
                <w:color w:val="3A3A3A"/>
                <w:sz w:val="20"/>
                <w:szCs w:val="20"/>
              </w:rPr>
              <w:t xml:space="preserve">Medium: </w:t>
            </w:r>
            <w:r>
              <w:rPr>
                <w:sz w:val="20"/>
                <w:szCs w:val="20"/>
              </w:rPr>
              <w:t xml:space="preserve">exactly one of PP1, PP2, PP4 fires, or PP3 fires alone.</w:t>
            </w:r>
          </w:p>
          <w:p>
            <w:pPr>
              <w:pStyle w:val="ListParagraph"/>
              <w:numPr>
                <w:ilvl w:val="0"/>
                <w:numId w:val="2"/>
              </w:numPr>
              <w:spacing w:after="30"/>
            </w:pPr>
            <w:r>
              <w:rPr>
                <w:b/>
                <w:bCs/>
                <w:color w:val="C00000"/>
                <w:sz w:val="20"/>
                <w:szCs w:val="20"/>
              </w:rPr>
              <w:t xml:space="preserve">Low: </w:t>
            </w:r>
            <w:r>
              <w:rPr>
                <w:sz w:val="20"/>
                <w:szCs w:val="20"/>
              </w:rPr>
              <w:t xml:space="preserve">only PP5 or PP6 fires. Quarantined to SME queue; does not auto-include.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(one row per process with all paths fired, primary path, confidence)</w:t>
            </w:r>
          </w:p>
          <w:p>
            <w:pPr>
              <w:spacing w:after="20"/>
            </w:pPr>
            <w:r>
              <w:rPr>
                <w:sz w:val="20"/>
                <w:szCs w:val="20"/>
              </w:rPr>
              <w:t xml:space="preserve">•  SME queue (Low-confidence inclusions, ordered by enrichment-signal score (see step 4))</w:t>
            </w:r>
          </w:p>
          <w:p>
            <w:pPr>
              <w:spacing w:after="20"/>
            </w:pPr>
            <w:r>
              <w:rPr>
                <w:sz w:val="20"/>
                <w:szCs w:val="20"/>
              </w:rPr>
              <w:t xml:space="preserve">•  Audit log: for every Holocentric process, the paths evaluated and the decision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PP1–PP3, PP5 (CSV-resident). Teradata SQL pass-through for PP4 (uses linkage table). SAS LLM workflow for PP6.</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six paths have run, the SME queue is ordered, and the audit log accounts for every Holocentric L3 activity in the universe.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for PP6 must pass step 12 thresholds before PP6 scales to the full universe.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3</w:t>
            </w:r>
            <w:r>
              <w:rPr>
                <w:sz w:val="22"/>
                <w:szCs w:val="22"/>
              </w:rPr>
              <w:t xml:space="preserve">    </w:t>
            </w:r>
            <w:r>
              <w:rPr>
                <w:b/>
                <w:bCs/>
                <w:color w:val="8C0E08"/>
                <w:sz w:val="28"/>
                <w:szCs w:val="28"/>
              </w:rPr>
              <w:t xml:space="preserve">Classify Payment Nature for each payment process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Tag every payment process with one or more Payment Natures. Coverage assessment depends on this stratification; inherent risk varies materially by nature.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(from step 2)</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For each process in the payment process register, the LLM classifies which Payment Natures apply. A process can have multiple natures (it serves multiple flows). The LLM returns all applicable natures with per-nature confidence and grounded rationale.</w:t>
            </w:r>
          </w:p>
          <w:p>
            <w:pPr>
              <w:spacing w:after="40" w:before="60"/>
            </w:pPr>
            <w:r>
              <w:rPr>
                <w:b/>
                <w:bCs/>
                <w:sz w:val="20"/>
                <w:szCs w:val="20"/>
              </w:rPr>
              <w:t xml:space="preserve">Prompt shape:</w:t>
            </w:r>
          </w:p>
          <w:p>
            <w:pPr>
              <w:pStyle w:val="ListParagraph"/>
              <w:numPr>
                <w:ilvl w:val="0"/>
                <w:numId w:val="2"/>
              </w:numPr>
              <w:spacing w:after="30"/>
            </w:pPr>
            <w:r>
              <w:rPr>
                <w:b/>
                <w:bCs/>
                <w:sz w:val="20"/>
                <w:szCs w:val="20"/>
              </w:rPr>
              <w:t xml:space="preserve">System context: </w:t>
            </w:r>
            <w:r>
              <w:rPr>
                <w:sz w:val="20"/>
                <w:szCs w:val="20"/>
              </w:rPr>
              <w:t xml:space="preserve">the five Payment Nature definitions and the inherent risk attached to each (C→C and I→C are High; C→I and I→I are Medium; Supplier/Employee is Low).</w:t>
            </w:r>
          </w:p>
          <w:p>
            <w:pPr>
              <w:pStyle w:val="ListParagraph"/>
              <w:numPr>
                <w:ilvl w:val="0"/>
                <w:numId w:val="2"/>
              </w:numPr>
              <w:spacing w:after="30"/>
            </w:pPr>
            <w:r>
              <w:rPr>
                <w:b/>
                <w:bCs/>
                <w:sz w:val="20"/>
                <w:szCs w:val="20"/>
              </w:rPr>
              <w:t xml:space="preserve">Per-process input: </w:t>
            </w:r>
            <w:r>
              <w:rPr>
                <w:sz w:val="20"/>
                <w:szCs w:val="20"/>
              </w:rPr>
              <w:t xml:space="preserve">process name, step descriptions, value stream, applications used.</w:t>
            </w:r>
          </w:p>
          <w:p>
            <w:pPr>
              <w:pStyle w:val="ListParagraph"/>
              <w:numPr>
                <w:ilvl w:val="0"/>
                <w:numId w:val="2"/>
              </w:numPr>
              <w:spacing w:after="30"/>
            </w:pPr>
            <w:r>
              <w:rPr>
                <w:b/>
                <w:bCs/>
                <w:sz w:val="20"/>
                <w:szCs w:val="20"/>
              </w:rPr>
              <w:t xml:space="preserve">Per-process output: </w:t>
            </w:r>
            <w:r>
              <w:rPr>
                <w:sz w:val="20"/>
                <w:szCs w:val="20"/>
              </w:rPr>
              <w:t xml:space="preserve">list of applicable Payment Natures, per-nature confidence (H/M/L), 1–2 sentence rationale citing source text, requires-SME flag if any confidence is Low.</w:t>
            </w:r>
          </w:p>
          <w:p>
            <w:pPr>
              <w:spacing w:after="100" w:before="80"/>
              <w:jc w:val="left"/>
            </w:pPr>
            <w:r>
              <w:rPr>
                <w:sz w:val="20"/>
                <w:szCs w:val="20"/>
              </w:rPr>
              <w:t xml:space="preserve">Single-process calls. Structured JSON output, schema-enforced. Provenance captured per result.</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Process × Payment Nature mapping (one row per process per applicable nature)</w:t>
            </w:r>
          </w:p>
          <w:p>
            <w:pPr>
              <w:spacing w:after="20"/>
            </w:pPr>
            <w:r>
              <w:rPr>
                <w:sz w:val="20"/>
                <w:szCs w:val="20"/>
              </w:rPr>
              <w:t xml:space="preserve">•  SME queue for Low-confidence assignments and multi-nature edge cases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LLM workflow.</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process in the register has at least one Payment Nature assigned, and Low-confidence cases are routed to SME with rationale.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~30 processes (clear-in single-nature, multi-nature, ambiguous). Target: per-nature precision ≥0.85, recall ≥0.80.</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4</w:t>
            </w:r>
            <w:r>
              <w:rPr>
                <w:sz w:val="22"/>
                <w:szCs w:val="22"/>
              </w:rPr>
              <w:t xml:space="preserve">    </w:t>
            </w:r>
            <w:r>
              <w:rPr>
                <w:b/>
                <w:bCs/>
                <w:color w:val="8C0E08"/>
                <w:sz w:val="28"/>
                <w:szCs w:val="28"/>
              </w:rPr>
              <w:t xml:space="preserve">Find the JUNO payment controls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Build a defensible JUNO control population. The 7.4.x tag alone is unsound: payment controls also exist under other libraries, owned by non-Payments BUs, or registered before the current taxonomy.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control universe (Teradata)</w:t>
            </w:r>
          </w:p>
          <w:p>
            <w:pPr>
              <w:spacing w:after="20"/>
            </w:pPr>
            <w:r>
              <w:rPr>
                <w:sz w:val="20"/>
                <w:szCs w:val="20"/>
              </w:rPr>
              <w:t xml:space="preserve">•  Linkage tables (Teradata)</w:t>
            </w:r>
          </w:p>
          <w:p>
            <w:pPr>
              <w:spacing w:after="20"/>
            </w:pPr>
            <w:r>
              <w:rPr>
                <w:sz w:val="20"/>
                <w:szCs w:val="20"/>
              </w:rPr>
              <w:t xml:space="preserve">•  Payment process register (SAS, from step 2), used by P2 in Pass 2+</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Run six independent inclusion paths in PARALLEL over the full JUNO control universe. A control is included if any one path fires. Symmetric to step 2. Same parallel-OR logic and same confidence rollup.</w:t>
            </w:r>
          </w:p>
          <w:p>
            <w:pPr>
              <w:spacing w:after="40" w:before="80"/>
            </w:pPr>
            <w:r>
              <w:rPr>
                <w:b/>
                <w:bCs/>
                <w:sz w:val="20"/>
                <w:szCs w:val="20"/>
              </w:rPr>
              <w:t xml:space="preserve">Inclusion paths (parallel evaluation):</w:t>
            </w:r>
          </w:p>
          <w:p>
            <w:pPr>
              <w:pStyle w:val="ListParagraph"/>
              <w:numPr>
                <w:ilvl w:val="0"/>
                <w:numId w:val="2"/>
              </w:numPr>
              <w:spacing w:after="30"/>
            </w:pPr>
            <w:r>
              <w:rPr>
                <w:b/>
                <w:bCs/>
                <w:sz w:val="20"/>
                <w:szCs w:val="20"/>
              </w:rPr>
              <w:t xml:space="preserve">P1 Taxonomy tag. </w:t>
            </w:r>
            <w:r>
              <w:rPr>
                <w:sz w:val="20"/>
                <w:szCs w:val="20"/>
              </w:rPr>
              <w:t xml:space="preserve">Control's risk_library_id is in the 7.4.x Payments family.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P2 Process linkage. </w:t>
            </w:r>
            <w:r>
              <w:rPr>
                <w:sz w:val="20"/>
                <w:szCs w:val="20"/>
              </w:rPr>
              <w:t xml:space="preserve">Control linked to a process classified as payment in step 2. Populated in Pass 2+ of step 6.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P3 Obligation linkage. </w:t>
            </w:r>
            <w:r>
              <w:rPr>
                <w:sz w:val="20"/>
                <w:szCs w:val="20"/>
              </w:rPr>
              <w:t xml:space="preserve">Control linked to an obligation derived from payments regulation (NPP, BECS, RBA, ePayments Code, AUSTRAC).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P4 Incident / issue linkage. </w:t>
            </w:r>
            <w:r>
              <w:rPr>
                <w:sz w:val="20"/>
                <w:szCs w:val="20"/>
              </w:rPr>
              <w:t xml:space="preserve">Control linked to a payments-classified incident or issue. </w:t>
            </w:r>
            <w:r>
              <w:rPr>
                <w:b/>
                <w:bCs/>
                <w:color w:val="3A3A3A"/>
                <w:sz w:val="20"/>
                <w:szCs w:val="20"/>
              </w:rPr>
              <w:t xml:space="preserve">Medium</w:t>
            </w:r>
            <w:r>
              <w:rPr>
                <w:sz w:val="20"/>
                <w:szCs w:val="20"/>
              </w:rPr>
              <w:t xml:space="preserve">.</w:t>
            </w:r>
          </w:p>
          <w:p>
            <w:pPr>
              <w:pStyle w:val="ListParagraph"/>
              <w:numPr>
                <w:ilvl w:val="0"/>
                <w:numId w:val="2"/>
              </w:numPr>
              <w:spacing w:after="30"/>
            </w:pPr>
            <w:r>
              <w:rPr>
                <w:b/>
                <w:bCs/>
                <w:sz w:val="20"/>
                <w:szCs w:val="20"/>
              </w:rPr>
              <w:t xml:space="preserve">P5 Keyword. </w:t>
            </w:r>
            <w:r>
              <w:rPr>
                <w:sz w:val="20"/>
                <w:szCs w:val="20"/>
              </w:rPr>
              <w:t xml:space="preserve">Control name/description contains controlled payment terms. </w:t>
            </w:r>
            <w:r>
              <w:rPr>
                <w:b/>
                <w:bCs/>
                <w:color w:val="C00000"/>
                <w:sz w:val="20"/>
                <w:szCs w:val="20"/>
              </w:rPr>
              <w:t xml:space="preserve">Low → SME queue</w:t>
            </w:r>
            <w:r>
              <w:rPr>
                <w:sz w:val="20"/>
                <w:szCs w:val="20"/>
              </w:rPr>
              <w:t xml:space="preserve">.</w:t>
            </w:r>
          </w:p>
          <w:p>
            <w:pPr>
              <w:pStyle w:val="ListParagraph"/>
              <w:numPr>
                <w:ilvl w:val="0"/>
                <w:numId w:val="2"/>
              </w:numPr>
              <w:spacing w:after="30"/>
            </w:pPr>
            <w:r>
              <w:rPr>
                <w:b/>
                <w:bCs/>
                <w:sz w:val="20"/>
                <w:szCs w:val="20"/>
              </w:rPr>
              <w:t xml:space="preserve">P6 Embedding similarity. </w:t>
            </w:r>
            <w:r>
              <w:rPr>
                <w:sz w:val="20"/>
                <w:szCs w:val="20"/>
              </w:rPr>
              <w:t xml:space="preserve">Control embedding within calibrated cosine distance of the high-confidence core (controls firing P1–P3). </w:t>
            </w:r>
            <w:r>
              <w:rPr>
                <w:b/>
                <w:bCs/>
                <w:color w:val="C00000"/>
                <w:sz w:val="20"/>
                <w:szCs w:val="20"/>
              </w:rPr>
              <w:t xml:space="preserve">Low / Medium → SME queue</w:t>
            </w:r>
            <w:r>
              <w:rPr>
                <w:sz w:val="20"/>
                <w:szCs w:val="20"/>
              </w:rPr>
              <w:t xml:space="preserve">.</w:t>
            </w:r>
          </w:p>
          <w:p>
            <w:pPr>
              <w:spacing w:after="40" w:before="100"/>
            </w:pPr>
            <w:r>
              <w:rPr>
                <w:b/>
                <w:bCs/>
                <w:sz w:val="20"/>
                <w:szCs w:val="20"/>
              </w:rPr>
              <w:t xml:space="preserve">Inclusion confidence rollup:</w:t>
            </w:r>
          </w:p>
          <w:p>
            <w:pPr>
              <w:pStyle w:val="ListParagraph"/>
              <w:numPr>
                <w:ilvl w:val="0"/>
                <w:numId w:val="2"/>
              </w:numPr>
              <w:spacing w:after="30"/>
            </w:pPr>
            <w:r>
              <w:rPr>
                <w:b/>
                <w:bCs/>
                <w:color w:val="8C0E08"/>
                <w:sz w:val="20"/>
                <w:szCs w:val="20"/>
              </w:rPr>
              <w:t xml:space="preserve">High: </w:t>
            </w:r>
            <w:r>
              <w:rPr>
                <w:sz w:val="20"/>
                <w:szCs w:val="20"/>
              </w:rPr>
              <w:t xml:space="preserve">≥2 paths fire including ≥1 of P1, P2, P3.</w:t>
            </w:r>
          </w:p>
          <w:p>
            <w:pPr>
              <w:pStyle w:val="ListParagraph"/>
              <w:numPr>
                <w:ilvl w:val="0"/>
                <w:numId w:val="2"/>
              </w:numPr>
              <w:spacing w:after="30"/>
            </w:pPr>
            <w:r>
              <w:rPr>
                <w:b/>
                <w:bCs/>
                <w:color w:val="3A3A3A"/>
                <w:sz w:val="20"/>
                <w:szCs w:val="20"/>
              </w:rPr>
              <w:t xml:space="preserve">Medium: </w:t>
            </w:r>
            <w:r>
              <w:rPr>
                <w:sz w:val="20"/>
                <w:szCs w:val="20"/>
              </w:rPr>
              <w:t xml:space="preserve">exactly one of P1, P2, P3 fires, or P4 fires alone.</w:t>
            </w:r>
          </w:p>
          <w:p>
            <w:pPr>
              <w:pStyle w:val="ListParagraph"/>
              <w:numPr>
                <w:ilvl w:val="0"/>
                <w:numId w:val="2"/>
              </w:numPr>
              <w:spacing w:after="30"/>
            </w:pPr>
            <w:r>
              <w:rPr>
                <w:b/>
                <w:bCs/>
                <w:color w:val="C00000"/>
                <w:sz w:val="20"/>
                <w:szCs w:val="20"/>
              </w:rPr>
              <w:t xml:space="preserve">Low: </w:t>
            </w:r>
            <w:r>
              <w:rPr>
                <w:sz w:val="20"/>
                <w:szCs w:val="20"/>
              </w:rPr>
              <w:t xml:space="preserve">only P5 or P6 fires. Quarantined to SME queue; does not auto-include.</w:t>
            </w:r>
          </w:p>
          <w:p>
            <w:pPr>
              <w:spacing w:after="40" w:before="140"/>
            </w:pPr>
            <w:r>
              <w:rPr>
                <w:b/>
                <w:bCs/>
                <w:color w:val="8C0E08"/>
                <w:sz w:val="20"/>
                <w:szCs w:val="20"/>
              </w:rPr>
              <w:t xml:space="preserve">Enrichment signals (prioritise the SME queue ONLY; do not trigger inclusion):</w:t>
            </w:r>
          </w:p>
          <w:p>
            <w:pPr>
              <w:pStyle w:val="ListParagraph"/>
              <w:numPr>
                <w:ilvl w:val="0"/>
                <w:numId w:val="2"/>
              </w:numPr>
              <w:spacing w:after="30"/>
            </w:pPr>
            <w:r>
              <w:rPr>
                <w:b/>
                <w:bCs/>
                <w:sz w:val="20"/>
                <w:szCs w:val="20"/>
              </w:rPr>
              <w:t xml:space="preserve">Owner clustering. </w:t>
            </w:r>
            <w:r>
              <w:rPr>
                <w:sz w:val="20"/>
                <w:szCs w:val="20"/>
              </w:rPr>
              <w:t xml:space="preserve">If a business unit has ≥80% of its controls included via P1–P3, that BU's remaining controls receive a higher SME-review priority.</w:t>
            </w:r>
          </w:p>
          <w:p>
            <w:pPr>
              <w:pStyle w:val="ListParagraph"/>
              <w:numPr>
                <w:ilvl w:val="0"/>
                <w:numId w:val="2"/>
              </w:numPr>
              <w:spacing w:after="30"/>
            </w:pPr>
            <w:r>
              <w:rPr>
                <w:b/>
                <w:bCs/>
                <w:sz w:val="20"/>
                <w:szCs w:val="20"/>
              </w:rPr>
              <w:t xml:space="preserve">Process-adjacency. </w:t>
            </w:r>
            <w:r>
              <w:rPr>
                <w:sz w:val="20"/>
                <w:szCs w:val="20"/>
              </w:rPr>
              <w:t xml:space="preserve">Controls owned by the same BU or operating on the same system as already-linked controls, but not themselves linked, receive higher SME-review priority.</w:t>
            </w:r>
          </w:p>
          <w:p>
            <w:pPr>
              <w:spacing w:after="100" w:before="0"/>
            </w:pPr>
            <w:r>
              <w:rPr>
                <w:i/>
                <w:iCs/>
                <w:color w:val="5C5C5C"/>
                <w:sz w:val="20"/>
                <w:szCs w:val="20"/>
              </w:rPr>
              <w:t xml:space="preserve">Role of enrichment signals is solely to order the SME queue. </w:t>
            </w:r>
            <w:r>
              <w:rPr>
                <w:sz w:val="20"/>
                <w:szCs w:val="20"/>
              </w:rPr>
              <w:t xml:space="preserve">They do not cause inclusion. A control firing zero inclusion paths but matching both enrichment signals is still excluded from the population. It is simply prioritised first when SMEs work the queue.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payment control population (Teradata staging table)</w:t>
            </w:r>
          </w:p>
          <w:p>
            <w:pPr>
              <w:spacing w:after="20"/>
            </w:pPr>
            <w:r>
              <w:rPr>
                <w:sz w:val="20"/>
                <w:szCs w:val="20"/>
              </w:rPr>
              <w:t xml:space="preserve">•  SME queue (Low-confidence inclusions, ordered by enrichment-signal score)</w:t>
            </w:r>
          </w:p>
          <w:p>
            <w:pPr>
              <w:spacing w:after="20"/>
            </w:pPr>
            <w:r>
              <w:rPr>
                <w:sz w:val="20"/>
                <w:szCs w:val="20"/>
              </w:rPr>
              <w:t xml:space="preserve">•  Audit log: every JUNO control with paths evaluated and decision</w:t>
            </w:r>
          </w:p>
          <w:p>
            <w:pPr>
              <w:spacing w:after="20"/>
            </w:pPr>
            <w:r>
              <w:rPr>
                <w:sz w:val="20"/>
                <w:szCs w:val="20"/>
              </w:rPr>
              <w:t xml:space="preserve">•  Taxonomy hygiene finding: proportion of payment controls included via paths other than P1, a reportable result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P1–P5 (linkage joins are heavy and warehouse-resident). SAS for P6 (LLM embedding workflow) and enrichment-signal scoring.</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six paths have run, the SME queue is ordered by enrichment score, and the audit log accounts for every CTRL_ID in JUNO.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for P6 must pass step 12 thresholds before P6 scales.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5</w:t>
            </w:r>
            <w:r>
              <w:rPr>
                <w:sz w:val="22"/>
                <w:szCs w:val="22"/>
              </w:rPr>
              <w:t xml:space="preserve">    </w:t>
            </w:r>
            <w:r>
              <w:rPr>
                <w:b/>
                <w:bCs/>
                <w:color w:val="8C0E08"/>
                <w:sz w:val="28"/>
                <w:szCs w:val="28"/>
              </w:rPr>
              <w:t xml:space="preserve">Discover bespoke (unregistered) controls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Find controls that exist in practice but are not registered in JUNO. The PoC assesses the effective environment; controls that mitigate risk but are not formally registered must be surfaced (and become the JUNO registration backlog).</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(from step 2)</w:t>
            </w:r>
          </w:p>
          <w:p>
            <w:pPr>
              <w:spacing w:after="20"/>
            </w:pPr>
            <w:r>
              <w:rPr>
                <w:sz w:val="20"/>
                <w:szCs w:val="20"/>
              </w:rPr>
              <w:t xml:space="preserve">•  JUNO control population (from step 4) for fuzzy matching</w:t>
            </w:r>
          </w:p>
          <w:p>
            <w:pPr>
              <w:spacing w:after="20"/>
            </w:pPr>
            <w:r>
              <w:rPr>
                <w:sz w:val="20"/>
                <w:szCs w:val="20"/>
              </w:rPr>
              <w:t xml:space="preserve">•  ALEX/Alfabet (conditional)</w:t>
            </w:r>
          </w:p>
          <w:p>
            <w:pPr>
              <w:spacing w:after="20"/>
            </w:pPr>
            <w:r>
              <w:rPr>
                <w:sz w:val="20"/>
                <w:szCs w:val="20"/>
              </w:rPr>
              <w:t xml:space="preserve">•  Incidents and issues with remediation/action text (Teradata)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Three streams of bespoke control discovery, each LLM-driven. Output is a single unified bespoke control register.</w:t>
            </w:r>
          </w:p>
          <w:p>
            <w:pPr>
              <w:spacing w:after="40" w:before="100"/>
            </w:pPr>
            <w:r>
              <w:rPr>
                <w:b/>
                <w:bCs/>
                <w:color w:val="8C0E08"/>
                <w:sz w:val="20"/>
                <w:szCs w:val="20"/>
              </w:rPr>
              <w:t xml:space="preserve">Stream A. Holocentric process-step controls.</w:t>
            </w:r>
          </w:p>
          <w:p>
            <w:pPr>
              <w:pStyle w:val="ListParagraph"/>
              <w:numPr>
                <w:ilvl w:val="0"/>
                <w:numId w:val="2"/>
              </w:numPr>
              <w:spacing w:after="30"/>
            </w:pPr>
            <w:r>
              <w:rPr>
                <w:sz w:val="20"/>
                <w:szCs w:val="20"/>
              </w:rPr>
              <w:t xml:space="preserve">Scope: every process in the payment process register (step 2 output).</w:t>
            </w:r>
          </w:p>
          <w:p>
            <w:pPr>
              <w:pStyle w:val="ListParagraph"/>
              <w:numPr>
                <w:ilvl w:val="0"/>
                <w:numId w:val="2"/>
              </w:numPr>
              <w:spacing w:after="30"/>
            </w:pPr>
            <w:r>
              <w:rPr>
                <w:sz w:val="20"/>
                <w:szCs w:val="20"/>
              </w:rPr>
              <w:t xml:space="preserve">LLM classifies each step: "does this step perform a control function?" Categories defined in prompt: check, approval, validation, reconciliation, segregation, threshold enforcement, dual control, monitoring.</w:t>
            </w:r>
          </w:p>
          <w:p>
            <w:pPr>
              <w:pStyle w:val="ListParagraph"/>
              <w:numPr>
                <w:ilvl w:val="0"/>
                <w:numId w:val="2"/>
              </w:numPr>
              <w:spacing w:after="30"/>
            </w:pPr>
            <w:r>
              <w:rPr>
                <w:sz w:val="20"/>
                <w:szCs w:val="20"/>
              </w:rPr>
              <w:t xml:space="preserve">Positive classifications fuzzy-matched against JUNO controls linked to the process. Matched → already registered. Unmatched → candidate bespoke control.</w:t>
            </w:r>
          </w:p>
          <w:p>
            <w:pPr>
              <w:spacing w:after="40" w:before="100"/>
            </w:pPr>
            <w:r>
              <w:rPr>
                <w:b/>
                <w:bCs/>
                <w:color w:val="8C0E08"/>
                <w:sz w:val="20"/>
                <w:szCs w:val="20"/>
              </w:rPr>
              <w:t xml:space="preserve">Stream B. ALEX / Alfabet system-enforced controls.</w:t>
            </w:r>
          </w:p>
          <w:p>
            <w:pPr>
              <w:pStyle w:val="ListParagraph"/>
              <w:numPr>
                <w:ilvl w:val="0"/>
                <w:numId w:val="2"/>
              </w:numPr>
              <w:spacing w:after="30"/>
            </w:pPr>
            <w:r>
              <w:rPr>
                <w:sz w:val="20"/>
                <w:szCs w:val="20"/>
              </w:rPr>
              <w:t xml:space="preserve">Scope: payment-relevant applications identified via Holocentric → Application.</w:t>
            </w:r>
          </w:p>
          <w:p>
            <w:pPr>
              <w:pStyle w:val="ListParagraph"/>
              <w:numPr>
                <w:ilvl w:val="0"/>
                <w:numId w:val="2"/>
              </w:numPr>
              <w:spacing w:after="30"/>
            </w:pPr>
            <w:r>
              <w:rPr>
                <w:sz w:val="20"/>
                <w:szCs w:val="20"/>
              </w:rPr>
              <w:t xml:space="preserve">LLM classification of configuration items, role definitions, enforcement rules.</w:t>
            </w:r>
          </w:p>
          <w:p>
            <w:pPr>
              <w:pStyle w:val="ListParagraph"/>
              <w:numPr>
                <w:ilvl w:val="0"/>
                <w:numId w:val="2"/>
              </w:numPr>
              <w:spacing w:after="30"/>
            </w:pPr>
            <w:r>
              <w:rPr>
                <w:sz w:val="20"/>
                <w:szCs w:val="20"/>
              </w:rPr>
              <w:t xml:space="preserve">Cross-check against JUNO automated controls for the same application.</w:t>
            </w:r>
          </w:p>
          <w:p>
            <w:pPr>
              <w:spacing w:after="100" w:before="0"/>
            </w:pPr>
            <w:r>
              <w:rPr>
                <w:b/>
                <w:bCs/>
                <w:color w:val="B07A00"/>
                <w:sz w:val="20"/>
                <w:szCs w:val="20"/>
              </w:rPr>
              <w:t xml:space="preserve">Conditional on ALEX data. </w:t>
            </w:r>
            <w:r>
              <w:rPr>
                <w:sz w:val="20"/>
                <w:szCs w:val="20"/>
              </w:rPr>
              <w:t xml:space="preserve">If configuration metadata is not present in ALEX/Alfabet, stream B is deferred to a subsequent phase.</w:t>
            </w:r>
          </w:p>
          <w:p>
            <w:pPr>
              <w:spacing w:after="40" w:before="100"/>
            </w:pPr>
            <w:r>
              <w:rPr>
                <w:b/>
                <w:bCs/>
                <w:color w:val="8C0E08"/>
                <w:sz w:val="20"/>
                <w:szCs w:val="20"/>
              </w:rPr>
              <w:t xml:space="preserve">Stream C. Implicit controls in incident remediation and issue closure text.</w:t>
            </w:r>
          </w:p>
          <w:p>
            <w:pPr>
              <w:pStyle w:val="ListParagraph"/>
              <w:numPr>
                <w:ilvl w:val="0"/>
                <w:numId w:val="2"/>
              </w:numPr>
              <w:spacing w:after="30"/>
            </w:pPr>
            <w:r>
              <w:rPr>
                <w:sz w:val="20"/>
                <w:szCs w:val="20"/>
              </w:rPr>
              <w:t xml:space="preserve">Scope: remediation / action text on payments-classified incidents and issues.</w:t>
            </w:r>
          </w:p>
          <w:p>
            <w:pPr>
              <w:pStyle w:val="ListParagraph"/>
              <w:numPr>
                <w:ilvl w:val="0"/>
                <w:numId w:val="2"/>
              </w:numPr>
              <w:spacing w:after="30"/>
            </w:pPr>
            <w:r>
              <w:rPr>
                <w:sz w:val="20"/>
                <w:szCs w:val="20"/>
              </w:rPr>
              <w:t xml:space="preserve">LLM extracts control-like statements: checks, approvals, validations, monitoring activities, systemic enforcement put in place after a known failure.</w:t>
            </w:r>
          </w:p>
          <w:p>
            <w:pPr>
              <w:pStyle w:val="ListParagraph"/>
              <w:numPr>
                <w:ilvl w:val="0"/>
                <w:numId w:val="2"/>
              </w:numPr>
              <w:spacing w:after="30"/>
            </w:pPr>
            <w:r>
              <w:rPr>
                <w:sz w:val="20"/>
                <w:szCs w:val="20"/>
              </w:rPr>
              <w:t xml:space="preserve">Fuzzy-match each extracted statement against JUNO. Unmatched → candidate bespoke control.</w:t>
            </w:r>
          </w:p>
          <w:p>
            <w:pPr>
              <w:spacing w:after="40" w:before="100"/>
            </w:pPr>
            <w:r>
              <w:rPr>
                <w:b/>
                <w:bCs/>
                <w:color w:val="8C0E08"/>
                <w:sz w:val="20"/>
                <w:szCs w:val="20"/>
              </w:rPr>
              <w:t xml:space="preserve">Deduplication.</w:t>
            </w:r>
          </w:p>
          <w:p>
            <w:pPr>
              <w:pStyle w:val="ListParagraph"/>
              <w:numPr>
                <w:ilvl w:val="0"/>
                <w:numId w:val="2"/>
              </w:numPr>
              <w:spacing w:after="30"/>
            </w:pPr>
            <w:r>
              <w:rPr>
                <w:sz w:val="20"/>
                <w:szCs w:val="20"/>
              </w:rPr>
              <w:t xml:space="preserve">After all three streams complete, fuzzy-match across the bespoke register itself. Collapse duplicates preserving all source references.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Bespoke control register</w:t>
            </w:r>
          </w:p>
          <w:p>
            <w:pPr>
              <w:spacing w:after="20"/>
            </w:pPr>
            <w:r>
              <w:rPr>
                <w:sz w:val="20"/>
                <w:szCs w:val="20"/>
              </w:rPr>
              <w:t xml:space="preserve">•  JUNO registration backlog (SME-confirmed bespoke controls that should be registered)</w:t>
            </w:r>
          </w:p>
          <w:p>
            <w:pPr>
              <w:spacing w:after="20"/>
            </w:pPr>
            <w:r>
              <w:rPr>
                <w:sz w:val="20"/>
                <w:szCs w:val="20"/>
              </w:rPr>
              <w:t xml:space="preserve">•  Reclassification candidates</w:t>
            </w:r>
          </w:p>
          <w:p>
            <w:pPr>
              <w:spacing w:after="20"/>
            </w:pPr>
            <w:r>
              <w:rPr>
                <w:sz w:val="20"/>
                <w:szCs w:val="20"/>
              </w:rPr>
              <w:t xml:space="preserve">•  Registration completeness finding: proportion of effective control behaviour currently registered in JUNO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sourcing incident / issue remediation text. SAS LLM workflow for extraction and classification. SAS for fuzzy-matching against JUNO.</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three streams executed, deduplicated, and SME has confirmed the registration backlog.</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~20 process steps + ~10 configs + ~10 remediation texts. Target precision ≥0.75.</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6</w:t>
            </w:r>
            <w:r>
              <w:rPr>
                <w:sz w:val="22"/>
                <w:szCs w:val="22"/>
              </w:rPr>
              <w:t xml:space="preserve">    </w:t>
            </w:r>
            <w:r>
              <w:rPr>
                <w:b/>
                <w:bCs/>
                <w:color w:val="8C0E08"/>
                <w:sz w:val="28"/>
                <w:szCs w:val="28"/>
              </w:rPr>
              <w:t xml:space="preserve">Convergence loop between steps 2 and 4</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Resolve the mutual dependency between the process and control populations. Iterate until they stop growing. Safeguard against low-confidence noise propagation.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Pass 1 outputs of steps 2 and 4</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8C0E08" w:sz="16"/>
                    <w:left w:val="single" w:color="8C0E08" w:sz="16"/>
                    <w:bottom w:val="single" w:color="8C0E08" w:sz="4"/>
                    <w:right w:val="single" w:color="8C0E08" w:sz="4"/>
                  </w:tcBorders>
                  <w:shd w:fill="EEF2F7" w:color="auto" w:val="clear"/>
                  <w:tcMar>
                    <w:top w:type="dxa" w:w="180"/>
                    <w:left w:type="dxa" w:w="220"/>
                    <w:bottom w:type="dxa" w:w="180"/>
                    <w:right w:type="dxa" w:w="220"/>
                  </w:tcMar>
                </w:tcPr>
                <w:p>
                  <w:pPr>
                    <w:spacing w:after="0"/>
                  </w:pPr>
                  <w:r>
                    <w:rPr>
                      <w:b/>
                      <w:bCs/>
                      <w:color w:val="8C0E08"/>
                      <w:sz w:val="20"/>
                      <w:szCs w:val="20"/>
                    </w:rPr>
                    <w:t xml:space="preserve">Convergence safeguard (critical). </w:t>
                  </w:r>
                  <w:r>
                    <w:rPr>
                      <w:sz w:val="20"/>
                      <w:szCs w:val="20"/>
                    </w:rPr>
                    <w:t xml:space="preserve">Only High-confidence inclusions propagate via PP4 and P2. Medium-confidence may propagate but with a confidence ceiling (the inherited inclusion cannot be rated higher than its source). Low-confidence (PP5/P5 keyword-only, PP6/P6 embedding-only) </w:t>
                  </w:r>
                  <w:r>
                    <w:rPr>
                      <w:b/>
                      <w:bCs/>
                      <w:sz w:val="20"/>
                      <w:szCs w:val="20"/>
                    </w:rPr>
                    <w:t xml:space="preserve">does not propagate at all</w:t>
                  </w:r>
                  <w:r>
                    <w:rPr>
                      <w:sz w:val="20"/>
                      <w:szCs w:val="20"/>
                    </w:rPr>
                    <w:t xml:space="preserve"> until cleared from the Requires Human Review queue. This prevents the loop from amplifying low-confidence noise across iterations.</w:t>
                  </w:r>
                </w:p>
              </w:tc>
            </w:tr>
          </w:tbl>
          <w:p>
            <w:pPr>
              <w:spacing w:after="100" w:before="0"/>
              <w:jc w:val="left"/>
            </w:pPr>
            <w:r>
              <w:rPr>
                <w:sz w:val="20"/>
                <w:szCs w:val="20"/>
              </w:rPr>
              <w:t xml:space="preserve">Steps 2 and 4 reference each other (PP4 reads step 4; P2 reads step 2). Iterate until both populations stabilise. Convergence is guaranteed because each pass only adds, never removes.</w:t>
            </w:r>
          </w:p>
          <w:p>
            <w:pPr>
              <w:spacing w:after="40" w:before="80"/>
            </w:pPr>
            <w:r>
              <w:rPr>
                <w:b/>
                <w:bCs/>
                <w:sz w:val="20"/>
                <w:szCs w:val="20"/>
              </w:rPr>
              <w:t xml:space="preserve">Loop logic:</w:t>
            </w:r>
          </w:p>
          <w:p>
            <w:pPr>
              <w:spacing w:after="60"/>
              <w:ind w:left="280"/>
            </w:pPr>
            <w:r>
              <w:rPr>
                <w:rFonts w:ascii="Consolas" w:cs="Consolas" w:eastAsia="Consolas" w:hAnsi="Consolas"/>
                <w:color w:val="333333"/>
                <w:sz w:val="18"/>
                <w:szCs w:val="18"/>
              </w:rPr>
              <w:t xml:space="preserve">Pass 1:   Step 2 runs PP1–PP3, PP5, PP6   (no PP4 yet)</w:t>
            </w:r>
          </w:p>
          <w:p>
            <w:pPr>
              <w:spacing w:after="60"/>
              <w:ind w:left="280"/>
            </w:pPr>
            <w:r>
              <w:rPr>
                <w:rFonts w:ascii="Consolas" w:cs="Consolas" w:eastAsia="Consolas" w:hAnsi="Consolas"/>
                <w:color w:val="333333"/>
                <w:sz w:val="18"/>
                <w:szCs w:val="18"/>
              </w:rPr>
              <w:t xml:space="preserve">          Step 4 runs P1, P3–P6           (no P2 yet)</w:t>
            </w:r>
          </w:p>
          <w:p>
            <w:pPr>
              <w:spacing w:after="60"/>
              <w:ind w:left="280"/>
            </w:pPr>
            <w:r>
              <w:rPr>
                <w:rFonts w:ascii="Consolas" w:cs="Consolas" w:eastAsia="Consolas" w:hAnsi="Consolas"/>
                <w:color w:val="333333"/>
                <w:sz w:val="18"/>
                <w:szCs w:val="18"/>
              </w:rPr>
              <w:t xml:space="preserve">Pass 2:   Step 2 re-runs adding PP4 (High-conf inclusions from step 4 Pass 1)</w:t>
            </w:r>
          </w:p>
          <w:p>
            <w:pPr>
              <w:spacing w:after="60"/>
              <w:ind w:left="280"/>
            </w:pPr>
            <w:r>
              <w:rPr>
                <w:rFonts w:ascii="Consolas" w:cs="Consolas" w:eastAsia="Consolas" w:hAnsi="Consolas"/>
                <w:color w:val="333333"/>
                <w:sz w:val="18"/>
                <w:szCs w:val="18"/>
              </w:rPr>
              <w:t xml:space="preserve">          Step 4 re-runs adding P2  (High-conf inclusions from step 2 Pass 2)</w:t>
            </w:r>
          </w:p>
          <w:p>
            <w:pPr>
              <w:spacing w:after="60"/>
              <w:ind w:left="280"/>
            </w:pPr>
            <w:r>
              <w:rPr>
                <w:rFonts w:ascii="Consolas" w:cs="Consolas" w:eastAsia="Consolas" w:hAnsi="Consolas"/>
                <w:color w:val="333333"/>
                <w:sz w:val="18"/>
                <w:szCs w:val="18"/>
              </w:rPr>
              <w:t xml:space="preserve">Pass N:   continue until neither step adds new H/M confidence items</w:t>
            </w:r>
          </w:p>
          <w:p>
            <w:pPr>
              <w:spacing w:after="100" w:before="80"/>
              <w:jc w:val="left"/>
            </w:pPr>
            <w:r>
              <w:rPr>
                <w:sz w:val="20"/>
                <w:szCs w:val="20"/>
              </w:rPr>
              <w:t xml:space="preserve">Typical convergence: 2–3 passes. Hard cap at 5; residual flagged for manual review if not stabilised by then.</w:t>
            </w:r>
          </w:p>
          <w:p>
            <w:pPr>
              <w:spacing w:after="100" w:before="40"/>
              <w:jc w:val="left"/>
            </w:pPr>
            <w:r>
              <w:rPr>
                <w:i/>
                <w:iCs/>
                <w:color w:val="5C5C5C"/>
                <w:sz w:val="20"/>
                <w:szCs w:val="20"/>
              </w:rPr>
              <w:t xml:space="preserve">Pass-by-pass deltas logged. They show how much each step contributes to the other's population, itself a quality signal.</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Stabilised payment process register</w:t>
            </w:r>
          </w:p>
          <w:p>
            <w:pPr>
              <w:spacing w:after="20"/>
            </w:pPr>
            <w:r>
              <w:rPr>
                <w:sz w:val="20"/>
                <w:szCs w:val="20"/>
              </w:rPr>
              <w:t xml:space="preserve">•  Stabilised JUNO payment control population</w:t>
            </w:r>
          </w:p>
          <w:p>
            <w:pPr>
              <w:spacing w:after="20"/>
            </w:pPr>
            <w:r>
              <w:rPr>
                <w:sz w:val="20"/>
                <w:szCs w:val="20"/>
              </w:rPr>
              <w:t xml:space="preserve">•  Pass-by-pass delta log (items added per pass per step, with confidence breakdown)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orchestration driving steps 2 and 4 alternately. Pass-through queries re-issued to Teradata each pass.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Two consecutive passes add zero new H/M confidence items in both steps. Or hard cap of 5 passes reached, in which case residual deltas are logged for manual review.</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7</w:t>
            </w:r>
            <w:r>
              <w:rPr>
                <w:sz w:val="22"/>
                <w:szCs w:val="22"/>
              </w:rPr>
              <w:t xml:space="preserve">    </w:t>
            </w:r>
            <w:r>
              <w:rPr>
                <w:b/>
                <w:bCs/>
                <w:color w:val="8C0E08"/>
                <w:sz w:val="28"/>
                <w:szCs w:val="28"/>
              </w:rPr>
              <w:t xml:space="preserve">Assign Payment Nature to each control</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Every control needs a Payment Nature for coverage assessment. Inheritance is primary, LLM fills gaps, LLM sanity check catches upstream errors.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Stabilised control population (JUNO from step 4 + bespoke from step 5, after step 6)</w:t>
            </w:r>
          </w:p>
          <w:p>
            <w:pPr>
              <w:spacing w:after="20"/>
            </w:pPr>
            <w:r>
              <w:rPr>
                <w:sz w:val="20"/>
                <w:szCs w:val="20"/>
              </w:rPr>
              <w:t xml:space="preserve">•  Process × Payment Nature mapping (from step 3)</w:t>
            </w:r>
          </w:p>
          <w:p>
            <w:pPr>
              <w:spacing w:after="20"/>
            </w:pPr>
            <w:r>
              <w:rPr>
                <w:sz w:val="20"/>
                <w:szCs w:val="20"/>
              </w:rPr>
              <w:t xml:space="preserve">•  Linkage table (Control↔Process)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Three paths in sequence: deterministic inheritance first; LLM fallback where inheritance cannot fire; LLM sanity check on a sample of inherited assignments.</w:t>
            </w:r>
          </w:p>
          <w:p>
            <w:pPr>
              <w:spacing w:after="40" w:before="80"/>
            </w:pPr>
            <w:r>
              <w:rPr>
                <w:b/>
                <w:bCs/>
                <w:color w:val="8C0E08"/>
                <w:sz w:val="20"/>
                <w:szCs w:val="20"/>
              </w:rPr>
              <w:t xml:space="preserve">7a. Primary path. Inheritance (deterministic).</w:t>
            </w:r>
          </w:p>
          <w:p>
            <w:pPr>
              <w:pStyle w:val="ListParagraph"/>
              <w:numPr>
                <w:ilvl w:val="0"/>
                <w:numId w:val="2"/>
              </w:numPr>
              <w:spacing w:after="30"/>
            </w:pPr>
            <w:r>
              <w:rPr>
                <w:sz w:val="20"/>
                <w:szCs w:val="20"/>
              </w:rPr>
              <w:t xml:space="preserve">For every control with ≥1 process linkage, inherit the UNION of Payment Natures of the linked processes.</w:t>
            </w:r>
          </w:p>
          <w:p>
            <w:pPr>
              <w:pStyle w:val="ListParagraph"/>
              <w:numPr>
                <w:ilvl w:val="0"/>
                <w:numId w:val="2"/>
              </w:numPr>
              <w:spacing w:after="30"/>
            </w:pPr>
            <w:r>
              <w:rPr>
                <w:sz w:val="20"/>
                <w:szCs w:val="20"/>
              </w:rPr>
              <w:t xml:space="preserve">Example: control linked to process A (C→C) and process B (Supplier/Employee) receives both natures.</w:t>
            </w:r>
          </w:p>
          <w:p>
            <w:pPr>
              <w:pStyle w:val="ListParagraph"/>
              <w:numPr>
                <w:ilvl w:val="0"/>
                <w:numId w:val="2"/>
              </w:numPr>
              <w:spacing w:after="30"/>
            </w:pPr>
            <w:r>
              <w:rPr>
                <w:sz w:val="20"/>
                <w:szCs w:val="20"/>
              </w:rPr>
              <w:t xml:space="preserve">Confidence: High.</w:t>
            </w:r>
          </w:p>
          <w:p>
            <w:pPr>
              <w:spacing w:after="40" w:before="80"/>
            </w:pPr>
            <w:r>
              <w:rPr>
                <w:b/>
                <w:bCs/>
                <w:color w:val="8C0E08"/>
                <w:sz w:val="20"/>
                <w:szCs w:val="20"/>
              </w:rPr>
              <w:t xml:space="preserve">7b. Fallback. LLM classification for unlinked controls.</w:t>
            </w:r>
          </w:p>
          <w:p>
            <w:pPr>
              <w:pStyle w:val="ListParagraph"/>
              <w:numPr>
                <w:ilvl w:val="0"/>
                <w:numId w:val="2"/>
              </w:numPr>
              <w:spacing w:after="30"/>
            </w:pPr>
            <w:r>
              <w:rPr>
                <w:sz w:val="20"/>
                <w:szCs w:val="20"/>
              </w:rPr>
              <w:t xml:space="preserve">Scope: controls with no process linkage (includes most stream-C bespoke controls from step 5).</w:t>
            </w:r>
          </w:p>
          <w:p>
            <w:pPr>
              <w:pStyle w:val="ListParagraph"/>
              <w:numPr>
                <w:ilvl w:val="0"/>
                <w:numId w:val="2"/>
              </w:numPr>
              <w:spacing w:after="30"/>
            </w:pPr>
            <w:r>
              <w:rPr>
                <w:sz w:val="20"/>
                <w:szCs w:val="20"/>
              </w:rPr>
              <w:t xml:space="preserve">LLM input: control description + any linked obligation/incident text + owner BU. LLM output: applicable Payment Natures + confidence + rationale.</w:t>
            </w:r>
          </w:p>
          <w:p>
            <w:pPr>
              <w:pStyle w:val="ListParagraph"/>
              <w:numPr>
                <w:ilvl w:val="0"/>
                <w:numId w:val="2"/>
              </w:numPr>
              <w:spacing w:after="30"/>
            </w:pPr>
            <w:r>
              <w:rPr>
                <w:sz w:val="20"/>
                <w:szCs w:val="20"/>
              </w:rPr>
              <w:t xml:space="preserve">Confidence: Medium at best.</w:t>
            </w:r>
          </w:p>
          <w:p>
            <w:pPr>
              <w:spacing w:after="40" w:before="80"/>
            </w:pPr>
            <w:r>
              <w:rPr>
                <w:b/>
                <w:bCs/>
                <w:color w:val="8C0E08"/>
                <w:sz w:val="20"/>
                <w:szCs w:val="20"/>
              </w:rPr>
              <w:t xml:space="preserve">7c. Sanity check. LLM audit on inherited sample.</w:t>
            </w:r>
          </w:p>
          <w:p>
            <w:pPr>
              <w:pStyle w:val="ListParagraph"/>
              <w:numPr>
                <w:ilvl w:val="0"/>
                <w:numId w:val="2"/>
              </w:numPr>
              <w:spacing w:after="30"/>
            </w:pPr>
            <w:r>
              <w:rPr>
                <w:sz w:val="20"/>
                <w:szCs w:val="20"/>
              </w:rPr>
              <w:t xml:space="preserve">Stratified ~10% sample of High-confidence inherited classifications. LLM is asked to classify the control directly; result compared to inherited assignment.</w:t>
            </w:r>
          </w:p>
          <w:p>
            <w:pPr>
              <w:pStyle w:val="ListParagraph"/>
              <w:numPr>
                <w:ilvl w:val="0"/>
                <w:numId w:val="2"/>
              </w:numPr>
              <w:spacing w:after="30"/>
            </w:pPr>
            <w:r>
              <w:rPr>
                <w:sz w:val="20"/>
                <w:szCs w:val="20"/>
              </w:rPr>
              <w:t xml:space="preserve">Disagreement flags one of three real findings: wrong process linkage in the source data; wrong nature assignment on the linked process in step 3; or a control that operates differently than its linked process suggests.</w:t>
            </w:r>
          </w:p>
          <w:p>
            <w:pPr>
              <w:pStyle w:val="ListParagraph"/>
              <w:numPr>
                <w:ilvl w:val="0"/>
                <w:numId w:val="2"/>
              </w:numPr>
              <w:spacing w:after="30"/>
            </w:pPr>
            <w:r>
              <w:rPr>
                <w:sz w:val="20"/>
                <w:szCs w:val="20"/>
              </w:rPr>
              <w:t xml:space="preserve">Disagreement rate &gt;15% triggers expanded SME review and a re-audit of step 3 outputs.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Payment Nature mapping (one row per control per applicable nature)</w:t>
            </w:r>
          </w:p>
          <w:p>
            <w:pPr>
              <w:spacing w:after="20"/>
            </w:pPr>
            <w:r>
              <w:rPr>
                <w:sz w:val="20"/>
                <w:szCs w:val="20"/>
              </w:rPr>
              <w:t xml:space="preserve">•  Sanity-check disagreement log</w:t>
            </w:r>
          </w:p>
          <w:p>
            <w:pPr>
              <w:spacing w:after="20"/>
            </w:pPr>
            <w:r>
              <w:rPr>
                <w:sz w:val="20"/>
                <w:szCs w:val="20"/>
              </w:rPr>
              <w:t xml:space="preserve">•  SME queue for Medium-confidence LLM fallback classifications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inheritance (joins from process register + linkage table). SAS LLM workflow for fallback and sanity check.</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in the unified population has ≥1 Payment Nature, disagreement rate measured, and step 3 re-validated if needed.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Disagreement rate ≤15% on the inherited sanity-check sample. Above threshold halts the step until step 3 is re-validated.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8</w:t>
            </w:r>
            <w:r>
              <w:rPr>
                <w:sz w:val="22"/>
                <w:szCs w:val="22"/>
              </w:rPr>
              <w:t xml:space="preserve">    </w:t>
            </w:r>
            <w:r>
              <w:rPr>
                <w:b/>
                <w:bCs/>
                <w:color w:val="8C0E08"/>
                <w:sz w:val="28"/>
                <w:szCs w:val="28"/>
              </w:rPr>
              <w:t xml:space="preserve">Map each control to the 28 Master Controls (CT1 to CT28)</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The CT taxonomy is the yardstick for sufficiency. Map every control, JUNO or bespoke, to the CT outcomes it actually delivers.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Unified control population with Payment Nature (from step 7)</w:t>
            </w:r>
          </w:p>
          <w:p>
            <w:pPr>
              <w:spacing w:after="20"/>
            </w:pPr>
            <w:r>
              <w:rPr>
                <w:sz w:val="20"/>
                <w:szCs w:val="20"/>
              </w:rPr>
              <w:t xml:space="preserve">•  CT1–CT28 definitions</w:t>
            </w:r>
          </w:p>
          <w:p>
            <w:pPr>
              <w:spacing w:after="20"/>
            </w:pPr>
            <w:r>
              <w:rPr>
                <w:sz w:val="20"/>
                <w:szCs w:val="20"/>
              </w:rPr>
              <w:t xml:space="preserve">•  Linkage data for conditioning context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Every control in the unified population runs through the LLM. CT mapping is one-to-many: a single control can satisfy multiple CT outcomes.</w:t>
            </w:r>
          </w:p>
          <w:p>
            <w:pPr>
              <w:spacing w:after="40" w:before="80"/>
            </w:pPr>
            <w:r>
              <w:rPr>
                <w:b/>
                <w:bCs/>
                <w:sz w:val="20"/>
                <w:szCs w:val="20"/>
              </w:rPr>
              <w:t xml:space="preserve">Prompt design (deliberate choices):</w:t>
            </w:r>
          </w:p>
          <w:p>
            <w:pPr>
              <w:pStyle w:val="ListParagraph"/>
              <w:numPr>
                <w:ilvl w:val="0"/>
                <w:numId w:val="2"/>
              </w:numPr>
              <w:spacing w:after="30"/>
            </w:pPr>
            <w:r>
              <w:rPr>
                <w:b/>
                <w:bCs/>
                <w:sz w:val="20"/>
                <w:szCs w:val="20"/>
              </w:rPr>
              <w:t xml:space="preserve">Single-control calls, not batched. </w:t>
            </w:r>
            <w:r>
              <w:rPr>
                <w:sz w:val="20"/>
                <w:szCs w:val="20"/>
              </w:rPr>
              <w:t xml:space="preserve">Higher token cost; cleaner auditability and retry handling.</w:t>
            </w:r>
          </w:p>
          <w:p>
            <w:pPr>
              <w:pStyle w:val="ListParagraph"/>
              <w:numPr>
                <w:ilvl w:val="0"/>
                <w:numId w:val="2"/>
              </w:numPr>
              <w:spacing w:after="30"/>
            </w:pPr>
            <w:r>
              <w:rPr>
                <w:b/>
                <w:bCs/>
                <w:sz w:val="20"/>
                <w:szCs w:val="20"/>
              </w:rPr>
              <w:t xml:space="preserve">Model-agnostic. </w:t>
            </w:r>
            <w:r>
              <w:rPr>
                <w:sz w:val="20"/>
                <w:szCs w:val="20"/>
              </w:rPr>
              <w:t xml:space="preserve">Primary model runs all controls; secondary model re-runs Low-confidence subset. Inter-model agreement = confidence signal.</w:t>
            </w:r>
          </w:p>
          <w:p>
            <w:pPr>
              <w:pStyle w:val="ListParagraph"/>
              <w:numPr>
                <w:ilvl w:val="0"/>
                <w:numId w:val="2"/>
              </w:numPr>
              <w:spacing w:after="30"/>
            </w:pPr>
            <w:r>
              <w:rPr>
                <w:b/>
                <w:bCs/>
                <w:sz w:val="20"/>
                <w:szCs w:val="20"/>
              </w:rPr>
              <w:t xml:space="preserve">Structured JSON output. </w:t>
            </w:r>
            <w:r>
              <w:rPr>
                <w:sz w:val="20"/>
                <w:szCs w:val="20"/>
              </w:rPr>
              <w:t xml:space="preserve">Schema-enforced enum of CT1–CT28. Invalid CTs rejected at parse time.</w:t>
            </w:r>
          </w:p>
          <w:p>
            <w:pPr>
              <w:pStyle w:val="ListParagraph"/>
              <w:numPr>
                <w:ilvl w:val="0"/>
                <w:numId w:val="2"/>
              </w:numPr>
              <w:spacing w:after="30"/>
            </w:pPr>
            <w:r>
              <w:rPr>
                <w:b/>
                <w:bCs/>
                <w:sz w:val="20"/>
                <w:szCs w:val="20"/>
              </w:rPr>
              <w:t xml:space="preserve">Conditioning, not classification. </w:t>
            </w:r>
            <w:r>
              <w:rPr>
                <w:sz w:val="20"/>
                <w:szCs w:val="20"/>
              </w:rPr>
              <w:t xml:space="preserve">Structured fields (automation, control type, owner, source type, Payment Nature) are passed as context.</w:t>
            </w:r>
          </w:p>
          <w:p>
            <w:pPr>
              <w:pStyle w:val="ListParagraph"/>
              <w:numPr>
                <w:ilvl w:val="0"/>
                <w:numId w:val="2"/>
              </w:numPr>
              <w:spacing w:after="30"/>
            </w:pPr>
            <w:r>
              <w:rPr>
                <w:b/>
                <w:bCs/>
                <w:sz w:val="20"/>
                <w:szCs w:val="20"/>
              </w:rPr>
              <w:t xml:space="preserve">Rationale grounded in source text. </w:t>
            </w:r>
            <w:r>
              <w:rPr>
                <w:sz w:val="20"/>
                <w:szCs w:val="20"/>
              </w:rPr>
              <w:t xml:space="preserve">Every CT assignment cites the source phrase justifying it. Ungrounded mappings rejected.</w:t>
            </w:r>
          </w:p>
          <w:p>
            <w:pPr>
              <w:spacing w:after="40" w:before="80"/>
            </w:pPr>
            <w:r>
              <w:rPr>
                <w:b/>
                <w:bCs/>
                <w:sz w:val="20"/>
                <w:szCs w:val="20"/>
              </w:rPr>
              <w:t xml:space="preserve">Per-control input:</w:t>
            </w:r>
          </w:p>
          <w:p>
            <w:pPr>
              <w:pStyle w:val="ListParagraph"/>
              <w:numPr>
                <w:ilvl w:val="0"/>
                <w:numId w:val="2"/>
              </w:numPr>
              <w:spacing w:after="30"/>
            </w:pPr>
            <w:r>
              <w:rPr>
                <w:sz w:val="20"/>
                <w:szCs w:val="20"/>
              </w:rPr>
              <w:t xml:space="preserve">Source type (JUNO / Holocentric step / ALEX config / remediation) and primary text</w:t>
            </w:r>
          </w:p>
          <w:p>
            <w:pPr>
              <w:pStyle w:val="ListParagraph"/>
              <w:numPr>
                <w:ilvl w:val="0"/>
                <w:numId w:val="2"/>
              </w:numPr>
              <w:spacing w:after="30"/>
            </w:pPr>
            <w:r>
              <w:rPr>
                <w:sz w:val="20"/>
                <w:szCs w:val="20"/>
              </w:rPr>
              <w:t xml:space="preserve">Conditioning: control type, automation level, key control flag, owner BU</w:t>
            </w:r>
          </w:p>
          <w:p>
            <w:pPr>
              <w:pStyle w:val="ListParagraph"/>
              <w:numPr>
                <w:ilvl w:val="0"/>
                <w:numId w:val="2"/>
              </w:numPr>
              <w:spacing w:after="30"/>
            </w:pPr>
            <w:r>
              <w:rPr>
                <w:sz w:val="20"/>
                <w:szCs w:val="20"/>
              </w:rPr>
              <w:t xml:space="preserve">Linked process names, Payment Nature(s) from step 7</w:t>
            </w:r>
          </w:p>
          <w:p>
            <w:pPr>
              <w:spacing w:after="40" w:before="80"/>
            </w:pPr>
            <w:r>
              <w:rPr>
                <w:b/>
                <w:bCs/>
                <w:sz w:val="20"/>
                <w:szCs w:val="20"/>
              </w:rPr>
              <w:t xml:space="preserve">Per-control output:</w:t>
            </w:r>
          </w:p>
          <w:p>
            <w:pPr>
              <w:pStyle w:val="ListParagraph"/>
              <w:numPr>
                <w:ilvl w:val="0"/>
                <w:numId w:val="2"/>
              </w:numPr>
              <w:spacing w:after="30"/>
            </w:pPr>
            <w:r>
              <w:rPr>
                <w:sz w:val="20"/>
                <w:szCs w:val="20"/>
              </w:rPr>
              <w:t xml:space="preserve">List of applicable CTs (1–N), each with confidence (H/M/L) and rationale</w:t>
            </w:r>
          </w:p>
          <w:p>
            <w:pPr>
              <w:pStyle w:val="ListParagraph"/>
              <w:numPr>
                <w:ilvl w:val="0"/>
                <w:numId w:val="2"/>
              </w:numPr>
              <w:spacing w:after="30"/>
            </w:pPr>
            <w:r>
              <w:rPr>
                <w:sz w:val="20"/>
                <w:szCs w:val="20"/>
              </w:rPr>
              <w:t xml:space="preserve">Match type per CT: Direct / Partial / Adjacent / No-Match</w:t>
            </w:r>
          </w:p>
          <w:p>
            <w:pPr>
              <w:pStyle w:val="ListParagraph"/>
              <w:numPr>
                <w:ilvl w:val="0"/>
                <w:numId w:val="2"/>
              </w:numPr>
              <w:spacing w:after="30"/>
            </w:pPr>
            <w:r>
              <w:rPr>
                <w:sz w:val="20"/>
                <w:szCs w:val="20"/>
              </w:rPr>
              <w:t xml:space="preserve">Control category: Process / System and Third Party / Pervasive (change, resilience, third party governance)</w:t>
            </w:r>
          </w:p>
          <w:p>
            <w:pPr>
              <w:pStyle w:val="ListParagraph"/>
              <w:numPr>
                <w:ilvl w:val="0"/>
                <w:numId w:val="2"/>
              </w:numPr>
              <w:spacing w:after="30"/>
            </w:pPr>
            <w:r>
              <w:rPr>
                <w:sz w:val="20"/>
                <w:szCs w:val="20"/>
              </w:rPr>
              <w:t xml:space="preserve">Control nature: Preventative / Detective / Corrective (with confidence)</w:t>
            </w:r>
          </w:p>
          <w:p>
            <w:pPr>
              <w:pStyle w:val="ListParagraph"/>
              <w:numPr>
                <w:ilvl w:val="0"/>
                <w:numId w:val="2"/>
              </w:numPr>
              <w:spacing w:after="30"/>
            </w:pPr>
            <w:r>
              <w:rPr>
                <w:sz w:val="20"/>
                <w:szCs w:val="20"/>
              </w:rPr>
              <w:t xml:space="preserve">Framework alignment flag: Payments / Governance (set to Governance where the control is really a governance or framework control and does not belong in the Payments Risk framework)</w:t>
            </w:r>
          </w:p>
          <w:p>
            <w:pPr>
              <w:pStyle w:val="ListParagraph"/>
              <w:numPr>
                <w:ilvl w:val="0"/>
                <w:numId w:val="2"/>
              </w:numPr>
              <w:spacing w:after="30"/>
            </w:pPr>
            <w:r>
              <w:rPr>
                <w:sz w:val="20"/>
                <w:szCs w:val="20"/>
              </w:rPr>
              <w:t xml:space="preserve">Requires-SME flag with reason if any confidence is Low</w:t>
            </w:r>
          </w:p>
          <w:p>
            <w:pPr>
              <w:pStyle w:val="ListParagraph"/>
              <w:numPr>
                <w:ilvl w:val="0"/>
                <w:numId w:val="2"/>
              </w:numPr>
              <w:spacing w:after="30"/>
            </w:pPr>
            <w:r>
              <w:rPr>
                <w:sz w:val="20"/>
                <w:szCs w:val="20"/>
              </w:rPr>
              <w:t xml:space="preserve">Provenance: model ID, prompt version, run timestamp</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CT mapping (one row per control per CT)</w:t>
            </w:r>
          </w:p>
          <w:p>
            <w:pPr>
              <w:spacing w:after="20"/>
            </w:pPr>
            <w:r>
              <w:rPr>
                <w:sz w:val="20"/>
                <w:szCs w:val="20"/>
              </w:rPr>
              <w:t xml:space="preserve">•  Control category (Process / System and Third Party / Pervasive)</w:t>
            </w:r>
          </w:p>
          <w:p>
            <w:pPr>
              <w:spacing w:after="20"/>
            </w:pPr>
            <w:r>
              <w:rPr>
                <w:sz w:val="20"/>
                <w:szCs w:val="20"/>
              </w:rPr>
              <w:t xml:space="preserve">•  Control nature (Preventative / Detective / Corrective)</w:t>
            </w:r>
          </w:p>
          <w:p>
            <w:pPr>
              <w:spacing w:after="20"/>
            </w:pPr>
            <w:r>
              <w:rPr>
                <w:sz w:val="20"/>
                <w:szCs w:val="20"/>
              </w:rPr>
              <w:t xml:space="preserve">•  Framework alignment flag (Payments / Governance), where Governance controls are surfaced for removal from the framework</w:t>
            </w:r>
          </w:p>
          <w:p>
            <w:pPr>
              <w:spacing w:after="20"/>
            </w:pPr>
            <w:r>
              <w:rPr>
                <w:sz w:val="20"/>
                <w:szCs w:val="20"/>
              </w:rPr>
              <w:t xml:space="preserve">•  Per-mapping rationale and confidence</w:t>
            </w:r>
          </w:p>
          <w:p>
            <w:pPr>
              <w:spacing w:after="20"/>
            </w:pPr>
            <w:r>
              <w:rPr>
                <w:sz w:val="20"/>
                <w:szCs w:val="20"/>
              </w:rPr>
              <w:t xml:space="preserve">•  Inter-model disagreement log</w:t>
            </w:r>
          </w:p>
          <w:p>
            <w:pPr>
              <w:spacing w:after="20"/>
            </w:pPr>
            <w:r>
              <w:rPr>
                <w:sz w:val="20"/>
                <w:szCs w:val="20"/>
              </w:rPr>
              <w:t xml:space="preserve">•  SME queue for Low-confidence and disagreement cases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LLM workflow. Provenance written to SAS dataset; results joined back to JUNO context via pass-through where needed.</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has ≥1 CT mapping or a Requires-SME flag with reason. Inter-model agreement measured on a sample.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~50 controls stratified by CT, automation, key flag, source type. Targets: CT precision ≥0.85, recall ≥0.80.</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9</w:t>
            </w:r>
            <w:r>
              <w:rPr>
                <w:sz w:val="22"/>
                <w:szCs w:val="22"/>
              </w:rPr>
              <w:t xml:space="preserve">    </w:t>
            </w:r>
            <w:r>
              <w:rPr>
                <w:b/>
                <w:bCs/>
                <w:color w:val="8C0E08"/>
                <w:sz w:val="28"/>
                <w:szCs w:val="28"/>
              </w:rPr>
              <w:t xml:space="preserve">Place controls in the payment lifecycle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Place every control at its lifecycle stage. Detect misplacement objectively where structural evidence permits.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population with CT mapping (from step 8)</w:t>
            </w:r>
          </w:p>
          <w:p>
            <w:pPr>
              <w:spacing w:after="20"/>
            </w:pPr>
            <w:r>
              <w:rPr>
                <w:sz w:val="20"/>
                <w:szCs w:val="20"/>
              </w:rPr>
              <w:t xml:space="preserve">•  Holocentric process step labels where available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Hybrid method. Structural placement where derivable; LLM placement primary otherwise; misplacement detection only where both can be compared.</w:t>
            </w:r>
          </w:p>
          <w:p>
            <w:pPr>
              <w:spacing w:after="40" w:before="80"/>
            </w:pPr>
            <w:r>
              <w:rPr>
                <w:b/>
                <w:bCs/>
                <w:color w:val="8C0E08"/>
                <w:sz w:val="20"/>
                <w:szCs w:val="20"/>
              </w:rPr>
              <w:t xml:space="preserve">9a. Structural placement (deterministic where possible).</w:t>
            </w:r>
          </w:p>
          <w:p>
            <w:pPr>
              <w:pStyle w:val="ListParagraph"/>
              <w:numPr>
                <w:ilvl w:val="0"/>
                <w:numId w:val="2"/>
              </w:numPr>
              <w:spacing w:after="30"/>
            </w:pPr>
            <w:r>
              <w:rPr>
                <w:sz w:val="20"/>
                <w:szCs w:val="20"/>
              </w:rPr>
              <w:t xml:space="preserve">Where Holocentric process steps carry explicit stage labels (Validation, Authorisation, Settlement, Reconciliation, Notification, Returns/Recovery), map directly to lifecycle stages A–G.</w:t>
            </w:r>
          </w:p>
          <w:p>
            <w:pPr>
              <w:pStyle w:val="ListParagraph"/>
              <w:numPr>
                <w:ilvl w:val="0"/>
                <w:numId w:val="2"/>
              </w:numPr>
              <w:spacing w:after="30"/>
            </w:pPr>
            <w:r>
              <w:rPr>
                <w:sz w:val="20"/>
                <w:szCs w:val="20"/>
              </w:rPr>
              <w:t xml:space="preserve">For controls linked to a labelled step, the structural-expected stage is derived.</w:t>
            </w:r>
          </w:p>
          <w:p>
            <w:pPr>
              <w:pStyle w:val="ListParagraph"/>
              <w:numPr>
                <w:ilvl w:val="0"/>
                <w:numId w:val="2"/>
              </w:numPr>
              <w:spacing w:after="30"/>
            </w:pPr>
            <w:r>
              <w:rPr>
                <w:sz w:val="20"/>
                <w:szCs w:val="20"/>
              </w:rPr>
              <w:t xml:space="preserve">Coverage of this path depends on Holocentric labelling consistency. Expected coverage: 30–60% of controls. Measured during step 1 profiling.</w:t>
            </w:r>
          </w:p>
          <w:p>
            <w:pPr>
              <w:spacing w:after="40" w:before="80"/>
            </w:pPr>
            <w:r>
              <w:rPr>
                <w:b/>
                <w:bCs/>
                <w:color w:val="8C0E08"/>
                <w:sz w:val="20"/>
                <w:szCs w:val="20"/>
              </w:rPr>
              <w:t xml:space="preserve">9b. LLM placement (covers everything).</w:t>
            </w:r>
          </w:p>
          <w:p>
            <w:pPr>
              <w:pStyle w:val="ListParagraph"/>
              <w:numPr>
                <w:ilvl w:val="0"/>
                <w:numId w:val="2"/>
              </w:numPr>
              <w:spacing w:after="30"/>
            </w:pPr>
            <w:r>
              <w:rPr>
                <w:sz w:val="20"/>
                <w:szCs w:val="20"/>
              </w:rPr>
              <w:t xml:space="preserve">Same LLM call as step 8, extended to emit lifecycle stage alongside CT. Combined call by default; split if validation reveals interference.</w:t>
            </w:r>
          </w:p>
          <w:p>
            <w:pPr>
              <w:pStyle w:val="ListParagraph"/>
              <w:numPr>
                <w:ilvl w:val="0"/>
                <w:numId w:val="2"/>
              </w:numPr>
              <w:spacing w:after="30"/>
            </w:pPr>
            <w:r>
              <w:rPr>
                <w:sz w:val="20"/>
                <w:szCs w:val="20"/>
              </w:rPr>
              <w:t xml:space="preserve">For controls with a structural-expected stage (9a), the LLM placement is compared to the structural expectation.</w:t>
            </w:r>
          </w:p>
          <w:p>
            <w:pPr>
              <w:pStyle w:val="ListParagraph"/>
              <w:numPr>
                <w:ilvl w:val="0"/>
                <w:numId w:val="2"/>
              </w:numPr>
              <w:spacing w:after="30"/>
            </w:pPr>
            <w:r>
              <w:rPr>
                <w:sz w:val="20"/>
                <w:szCs w:val="20"/>
              </w:rPr>
              <w:t xml:space="preserve">Disagreement is a quality signal: LLM wrong, step mislabelled in Holocentric, OR control operates at a different stage than its linked step (the third is a misplacement finding for step 11).</w:t>
            </w:r>
          </w:p>
          <w:p>
            <w:pPr>
              <w:spacing w:after="40" w:before="80"/>
            </w:pPr>
            <w:r>
              <w:rPr>
                <w:b/>
                <w:bCs/>
                <w:sz w:val="20"/>
                <w:szCs w:val="20"/>
              </w:rPr>
              <w:t xml:space="preserve">When misplacement detection is possible:</w:t>
            </w:r>
          </w:p>
          <w:p>
            <w:pPr>
              <w:pStyle w:val="ListParagraph"/>
              <w:numPr>
                <w:ilvl w:val="0"/>
                <w:numId w:val="2"/>
              </w:numPr>
              <w:spacing w:after="30"/>
            </w:pPr>
            <w:r>
              <w:rPr>
                <w:sz w:val="20"/>
                <w:szCs w:val="20"/>
              </w:rPr>
              <w:t xml:space="preserve">Structural-expected exists AND LLM placement differs → misplacement candidate.</w:t>
            </w:r>
          </w:p>
          <w:p>
            <w:pPr>
              <w:pStyle w:val="ListParagraph"/>
              <w:numPr>
                <w:ilvl w:val="0"/>
                <w:numId w:val="2"/>
              </w:numPr>
              <w:spacing w:after="30"/>
            </w:pPr>
            <w:r>
              <w:rPr>
                <w:sz w:val="20"/>
                <w:szCs w:val="20"/>
              </w:rPr>
              <w:t xml:space="preserve">Structural-expected does not exist → LLM placement recorded but no misplacement assertion can be made.</w:t>
            </w:r>
          </w:p>
          <w:p>
            <w:pPr>
              <w:pStyle w:val="ListParagraph"/>
              <w:numPr>
                <w:ilvl w:val="0"/>
                <w:numId w:val="2"/>
              </w:numPr>
              <w:spacing w:after="30"/>
            </w:pPr>
            <w:r>
              <w:rPr>
                <w:sz w:val="20"/>
                <w:szCs w:val="20"/>
              </w:rPr>
              <w:t xml:space="preserve">This honest scoping prevents false-positive misplacement findings.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lifecycle stage mapping</w:t>
            </w:r>
          </w:p>
          <w:p>
            <w:pPr>
              <w:spacing w:after="20"/>
            </w:pPr>
            <w:r>
              <w:rPr>
                <w:sz w:val="20"/>
                <w:szCs w:val="20"/>
              </w:rPr>
              <w:t xml:space="preserve">•  Misplacement candidates (structural-expected exists AND differs from LLM placement)</w:t>
            </w:r>
          </w:p>
          <w:p>
            <w:pPr>
              <w:spacing w:after="20"/>
            </w:pPr>
            <w:r>
              <w:rPr>
                <w:sz w:val="20"/>
                <w:szCs w:val="20"/>
              </w:rPr>
              <w:t xml:space="preserve">•  SME queue for misplacement adjudication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structural derivation (CSV-based). SAS LLM workflow for placement (combined with step 8).</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has a stage assignment, misplacement candidates are surfaced, and structural coverage of Holocentric step labels is documented.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Lifecycle stage exact-match accuracy ≥0.80 on the ~50-control golden set used for step 8.</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10</w:t>
            </w:r>
            <w:r>
              <w:rPr>
                <w:sz w:val="22"/>
                <w:szCs w:val="22"/>
              </w:rPr>
              <w:t xml:space="preserve">    </w:t>
            </w:r>
            <w:r>
              <w:rPr>
                <w:b/>
                <w:bCs/>
                <w:color w:val="8C0E08"/>
                <w:sz w:val="28"/>
                <w:szCs w:val="28"/>
              </w:rPr>
              <w:t xml:space="preserve">Build the bridge table</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Compose all upstream outputs into a single analytical table that every output in step 11 queries. The bridge is the data model that makes coverage, gap, and duplicate queries possible.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Outputs of steps 2, 3, 4, 5, 6, 7, 8, 9 + linkage tables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The bridge is the master analytical table. Pure SAS, no LLM at this step. Joins are deterministic.</w:t>
            </w:r>
          </w:p>
          <w:p>
            <w:pPr>
              <w:spacing w:after="40" w:before="80"/>
            </w:pPr>
            <w:r>
              <w:rPr>
                <w:b/>
                <w:bCs/>
                <w:sz w:val="20"/>
                <w:szCs w:val="20"/>
              </w:rPr>
              <w:t xml:space="preserve">Join logic:</w:t>
            </w:r>
          </w:p>
          <w:p>
            <w:pPr>
              <w:spacing w:after="60"/>
              <w:ind w:left="280"/>
            </w:pPr>
            <w:r>
              <w:rPr>
                <w:rFonts w:ascii="Consolas" w:cs="Consolas" w:eastAsia="Consolas" w:hAnsi="Consolas"/>
                <w:color w:val="333333"/>
                <w:sz w:val="18"/>
                <w:szCs w:val="18"/>
              </w:rPr>
              <w:t xml:space="preserve">Linkage.CTRL_ID            →  Controls.CTRL_ID                  (TD or SAS staging)</w:t>
            </w:r>
          </w:p>
          <w:p>
            <w:pPr>
              <w:spacing w:after="60"/>
              <w:ind w:left="280"/>
            </w:pPr>
            <w:r>
              <w:rPr>
                <w:rFonts w:ascii="Consolas" w:cs="Consolas" w:eastAsia="Consolas" w:hAnsi="Consolas"/>
                <w:color w:val="333333"/>
                <w:sz w:val="18"/>
                <w:szCs w:val="18"/>
              </w:rPr>
              <w:t xml:space="preserve">Linkage.BUS_UNIT_BCRM_ID   →  Holocentric.l3_activity_id        (fallback l2_process_id)</w:t>
            </w:r>
          </w:p>
          <w:p>
            <w:pPr>
              <w:spacing w:after="60"/>
              <w:ind w:left="280"/>
            </w:pPr>
            <w:r>
              <w:rPr>
                <w:rFonts w:ascii="Consolas" w:cs="Consolas" w:eastAsia="Consolas" w:hAnsi="Consolas"/>
                <w:color w:val="333333"/>
                <w:sz w:val="18"/>
                <w:szCs w:val="18"/>
              </w:rPr>
              <w:t xml:space="preserve">BespokeControl.process_id  →  Holocentric.l3_activity_id        (step 5 internal)</w:t>
            </w:r>
          </w:p>
          <w:p>
            <w:pPr>
              <w:spacing w:after="60"/>
              <w:ind w:left="280"/>
            </w:pPr>
            <w:r>
              <w:rPr>
                <w:rFonts w:ascii="Consolas" w:cs="Consolas" w:eastAsia="Consolas" w:hAnsi="Consolas"/>
                <w:color w:val="333333"/>
                <w:sz w:val="18"/>
                <w:szCs w:val="18"/>
              </w:rPr>
              <w:t xml:space="preserve">Holocentric.applications   →  Alfabet.application_id            (enrichment)</w:t>
            </w:r>
          </w:p>
          <w:p>
            <w:pPr>
              <w:spacing w:after="40" w:before="100"/>
            </w:pPr>
            <w:r>
              <w:rPr>
                <w:b/>
                <w:bCs/>
                <w:sz w:val="20"/>
                <w:szCs w:val="20"/>
              </w:rPr>
              <w:t xml:space="preserve">Bridge row schema (one row per intersection):</w:t>
            </w:r>
          </w:p>
          <w:p>
            <w:pPr>
              <w:pStyle w:val="ListParagraph"/>
              <w:numPr>
                <w:ilvl w:val="0"/>
                <w:numId w:val="2"/>
              </w:numPr>
              <w:spacing w:after="30"/>
            </w:pPr>
            <w:r>
              <w:rPr>
                <w:sz w:val="20"/>
                <w:szCs w:val="20"/>
              </w:rPr>
              <w:t xml:space="preserve">process_id, process_name, process_value_stream, process_applications</w:t>
            </w:r>
          </w:p>
          <w:p>
            <w:pPr>
              <w:pStyle w:val="ListParagraph"/>
              <w:numPr>
                <w:ilvl w:val="0"/>
                <w:numId w:val="2"/>
              </w:numPr>
              <w:spacing w:after="30"/>
            </w:pPr>
            <w:r>
              <w:rPr>
                <w:sz w:val="20"/>
                <w:szCs w:val="20"/>
              </w:rPr>
              <w:t xml:space="preserve">control_id, control_name, control_description</w:t>
            </w:r>
          </w:p>
          <w:p>
            <w:pPr>
              <w:pStyle w:val="ListParagraph"/>
              <w:numPr>
                <w:ilvl w:val="0"/>
                <w:numId w:val="2"/>
              </w:numPr>
              <w:spacing w:after="30"/>
            </w:pPr>
            <w:r>
              <w:rPr>
                <w:sz w:val="20"/>
                <w:szCs w:val="20"/>
              </w:rPr>
              <w:t xml:space="preserve">control_source (JUNO / bespoke-Holocentric / bespoke-ALEX / bespoke-remediation)</w:t>
            </w:r>
          </w:p>
          <w:p>
            <w:pPr>
              <w:pStyle w:val="ListParagraph"/>
              <w:numPr>
                <w:ilvl w:val="0"/>
                <w:numId w:val="2"/>
              </w:numPr>
              <w:spacing w:after="30"/>
            </w:pPr>
            <w:r>
              <w:rPr>
                <w:sz w:val="20"/>
                <w:szCs w:val="20"/>
              </w:rPr>
              <w:t xml:space="preserve">registration_status (Registered / Candidate / Confirmed unregistered)</w:t>
            </w:r>
          </w:p>
          <w:p>
            <w:pPr>
              <w:pStyle w:val="ListParagraph"/>
              <w:numPr>
                <w:ilvl w:val="0"/>
                <w:numId w:val="2"/>
              </w:numPr>
              <w:spacing w:after="30"/>
            </w:pPr>
            <w:r>
              <w:rPr>
                <w:sz w:val="20"/>
                <w:szCs w:val="20"/>
              </w:rPr>
              <w:t xml:space="preserve">ct_outcome (CT1–CT28), ct_confidence, ct_rationale, ct_match_type</w:t>
            </w:r>
          </w:p>
          <w:p>
            <w:pPr>
              <w:pStyle w:val="ListParagraph"/>
              <w:numPr>
                <w:ilvl w:val="0"/>
                <w:numId w:val="2"/>
              </w:numPr>
              <w:spacing w:after="30"/>
            </w:pPr>
            <w:r>
              <w:rPr>
                <w:sz w:val="20"/>
                <w:szCs w:val="20"/>
              </w:rPr>
              <w:t xml:space="preserve">control_category (Process / System and Third Party / Pervasive)</w:t>
            </w:r>
          </w:p>
          <w:p>
            <w:pPr>
              <w:pStyle w:val="ListParagraph"/>
              <w:numPr>
                <w:ilvl w:val="0"/>
                <w:numId w:val="2"/>
              </w:numPr>
              <w:spacing w:after="30"/>
            </w:pPr>
            <w:r>
              <w:rPr>
                <w:sz w:val="20"/>
                <w:szCs w:val="20"/>
              </w:rPr>
              <w:t xml:space="preserve">control_nature (Preventative / Detective / Corrective)</w:t>
            </w:r>
          </w:p>
          <w:p>
            <w:pPr>
              <w:pStyle w:val="ListParagraph"/>
              <w:numPr>
                <w:ilvl w:val="0"/>
                <w:numId w:val="2"/>
              </w:numPr>
              <w:spacing w:after="30"/>
            </w:pPr>
            <w:r>
              <w:rPr>
                <w:sz w:val="20"/>
                <w:szCs w:val="20"/>
              </w:rPr>
              <w:t xml:space="preserve">framework_alignment (Payments / Governance)</w:t>
            </w:r>
          </w:p>
          <w:p>
            <w:pPr>
              <w:pStyle w:val="ListParagraph"/>
              <w:numPr>
                <w:ilvl w:val="0"/>
                <w:numId w:val="2"/>
              </w:numPr>
              <w:spacing w:after="30"/>
            </w:pPr>
            <w:r>
              <w:rPr>
                <w:sz w:val="20"/>
                <w:szCs w:val="20"/>
              </w:rPr>
              <w:t xml:space="preserve">payment_nature (one row per applicable nature), nature_inherent_risk</w:t>
            </w:r>
          </w:p>
          <w:p>
            <w:pPr>
              <w:pStyle w:val="ListParagraph"/>
              <w:numPr>
                <w:ilvl w:val="0"/>
                <w:numId w:val="2"/>
              </w:numPr>
              <w:spacing w:after="30"/>
            </w:pPr>
            <w:r>
              <w:rPr>
                <w:sz w:val="20"/>
                <w:szCs w:val="20"/>
              </w:rPr>
              <w:t xml:space="preserve">lifecycle_stage, lifecycle_confidence, lifecycle_structural_check (Match / Mismatch / Not-derivable)</w:t>
            </w:r>
          </w:p>
          <w:p>
            <w:pPr>
              <w:pStyle w:val="ListParagraph"/>
              <w:numPr>
                <w:ilvl w:val="0"/>
                <w:numId w:val="2"/>
              </w:numPr>
              <w:spacing w:after="30"/>
            </w:pPr>
            <w:r>
              <w:rPr>
                <w:sz w:val="20"/>
                <w:szCs w:val="20"/>
              </w:rPr>
              <w:t xml:space="preserve">design_effectiveness, operating_effectiveness, overall_effectiveness</w:t>
            </w:r>
          </w:p>
          <w:p>
            <w:pPr>
              <w:pStyle w:val="ListParagraph"/>
              <w:numPr>
                <w:ilvl w:val="0"/>
                <w:numId w:val="2"/>
              </w:numPr>
              <w:spacing w:after="30"/>
            </w:pPr>
            <w:r>
              <w:rPr>
                <w:sz w:val="20"/>
                <w:szCs w:val="20"/>
              </w:rPr>
              <w:t xml:space="preserve">incident_count_linked, issue_count_linked, latest_incident_severity</w:t>
            </w:r>
          </w:p>
          <w:p>
            <w:pPr>
              <w:pStyle w:val="ListParagraph"/>
              <w:numPr>
                <w:ilvl w:val="0"/>
                <w:numId w:val="2"/>
              </w:numPr>
              <w:spacing w:after="30"/>
            </w:pPr>
            <w:r>
              <w:rPr>
                <w:sz w:val="20"/>
                <w:szCs w:val="20"/>
              </w:rPr>
              <w:t xml:space="preserve">provenance: prompt_version, model_id, run_timestamp</w:t>
            </w:r>
          </w:p>
          <w:p>
            <w:pPr>
              <w:spacing w:after="100" w:before="100"/>
              <w:jc w:val="left"/>
            </w:pPr>
            <w:r>
              <w:rPr>
                <w:i/>
                <w:iCs/>
                <w:color w:val="5C5C5C"/>
                <w:sz w:val="20"/>
                <w:szCs w:val="20"/>
              </w:rPr>
              <w:t xml:space="preserve">Every analytical output in step 11 is a query over this table. The bridge is what makes the PoC answerable.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Master bridge table (one row per process × control × CT × nature × stage intersection)</w:t>
            </w:r>
          </w:p>
          <w:p>
            <w:pPr>
              <w:spacing w:after="20"/>
            </w:pPr>
            <w:r>
              <w:rPr>
                <w:sz w:val="20"/>
                <w:szCs w:val="20"/>
              </w:rPr>
              <w:t xml:space="preserve">•  Indexed for query performance on the five filter dimensions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Final analytical table built in SAS; pulled from TD staging where source data is warehouse-resident.</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Bridge table compiles successfully, row counts reconcile to upstream populations, and every column has a documented source.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11</w:t>
            </w:r>
            <w:r>
              <w:rPr>
                <w:sz w:val="22"/>
                <w:szCs w:val="22"/>
              </w:rPr>
              <w:t xml:space="preserve">    </w:t>
            </w:r>
            <w:r>
              <w:rPr>
                <w:b/>
                <w:bCs/>
                <w:color w:val="8C0E08"/>
                <w:sz w:val="28"/>
                <w:szCs w:val="28"/>
              </w:rPr>
              <w:t xml:space="preserve">Produce the analytical outputs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Generate the outputs that answer the sufficiency question, organised into the three findings buckets from the deck (Strengthen, Rationalise, Gaps) plus the monitoring baseline. Each output is a query over the bridge table.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Bridge table (from step 10)</w:t>
            </w:r>
          </w:p>
          <w:p>
            <w:pPr>
              <w:spacing w:after="20"/>
            </w:pPr>
            <w:r>
              <w:rPr>
                <w:sz w:val="20"/>
                <w:szCs w:val="20"/>
              </w:rPr>
              <w:t xml:space="preserve">•  Control ratings, incident/issue counts, application criticality</w:t>
            </w:r>
          </w:p>
          <w:p>
            <w:pPr>
              <w:spacing w:after="20"/>
            </w:pPr>
            <w:r>
              <w:rPr>
                <w:sz w:val="20"/>
                <w:szCs w:val="20"/>
              </w:rPr>
              <w:t xml:space="preserve">•  Standard pattern library (small catalogue, maintained by the team)</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Each output is a SAS query (or query set) over the bridge table. No LLM at this step. The outputs are organised into the three findings buckets from the deck (Strengthen, Rationalise, Gaps), plus the monitoring baseline.</w:t>
            </w:r>
          </w:p>
          <w:p>
            <w:pPr>
              <w:spacing w:after="40" w:before="100"/>
            </w:pPr>
            <w:r>
              <w:rPr>
                <w:b/>
                <w:bCs/>
                <w:color w:val="8C0E08"/>
                <w:sz w:val="22"/>
                <w:szCs w:val="22"/>
              </w:rPr>
              <w:t xml:space="preserve">STRENGTHEN.</w:t>
            </w:r>
          </w:p>
          <w:p>
            <w:pPr>
              <w:spacing w:after="40" w:before="80"/>
            </w:pPr>
            <w:r>
              <w:rPr>
                <w:b/>
                <w:bCs/>
                <w:color w:val="8C0E08"/>
                <w:sz w:val="20"/>
                <w:szCs w:val="20"/>
              </w:rPr>
              <w:t xml:space="preserve">11a. Coverage heatmaps (three coverage constructs per cell).</w:t>
            </w:r>
          </w:p>
          <w:p>
            <w:pPr>
              <w:pStyle w:val="ListParagraph"/>
              <w:numPr>
                <w:ilvl w:val="0"/>
                <w:numId w:val="2"/>
              </w:numPr>
              <w:spacing w:after="30"/>
            </w:pPr>
            <w:r>
              <w:rPr>
                <w:sz w:val="20"/>
                <w:szCs w:val="20"/>
              </w:rPr>
              <w:t xml:space="preserve">Payment Nature × CT: cell shows three numbers: Structural / Effective / Failing control count.</w:t>
            </w:r>
          </w:p>
          <w:p>
            <w:pPr>
              <w:pStyle w:val="ListParagraph"/>
              <w:numPr>
                <w:ilvl w:val="0"/>
                <w:numId w:val="2"/>
              </w:numPr>
              <w:spacing w:after="30"/>
            </w:pPr>
            <w:r>
              <w:rPr>
                <w:sz w:val="20"/>
                <w:szCs w:val="20"/>
              </w:rPr>
              <w:t xml:space="preserve">Value Stream × CT: alternative cut for value-chain owners.</w:t>
            </w:r>
          </w:p>
          <w:p>
            <w:pPr>
              <w:pStyle w:val="ListParagraph"/>
              <w:numPr>
                <w:ilvl w:val="0"/>
                <w:numId w:val="2"/>
              </w:numPr>
              <w:spacing w:after="30"/>
            </w:pPr>
            <w:r>
              <w:rPr>
                <w:sz w:val="20"/>
                <w:szCs w:val="20"/>
              </w:rPr>
              <w:t xml:space="preserve">Process × CT: granular cut for control owners working a specific process.</w:t>
            </w:r>
          </w:p>
          <w:p>
            <w:pPr>
              <w:pStyle w:val="ListParagraph"/>
              <w:numPr>
                <w:ilvl w:val="0"/>
                <w:numId w:val="2"/>
              </w:numPr>
              <w:spacing w:after="30"/>
            </w:pPr>
            <w:r>
              <w:rPr>
                <w:sz w:val="20"/>
                <w:szCs w:val="20"/>
              </w:rPr>
              <w:t xml:space="preserve">A cell with 5 structural / 4 effective / 1 failing is a different story than 1 structural / 1 effective / 0 failing. The three numbers preserve that distinction.</w:t>
            </w:r>
          </w:p>
          <w:p>
            <w:pPr>
              <w:spacing w:after="40" w:before="80"/>
            </w:pPr>
            <w:r>
              <w:rPr>
                <w:b/>
                <w:bCs/>
                <w:color w:val="8C0E08"/>
                <w:sz w:val="20"/>
                <w:szCs w:val="20"/>
              </w:rPr>
              <w:t xml:space="preserve">11b. Strengthen view.</w:t>
            </w:r>
          </w:p>
          <w:p>
            <w:pPr>
              <w:pStyle w:val="ListParagraph"/>
              <w:numPr>
                <w:ilvl w:val="0"/>
                <w:numId w:val="2"/>
              </w:numPr>
              <w:spacing w:after="30"/>
            </w:pPr>
            <w:r>
              <w:rPr>
                <w:sz w:val="20"/>
                <w:szCs w:val="20"/>
              </w:rPr>
              <w:t xml:space="preserve">Highlight automated controls in High inherent risk Payment Natures.</w:t>
            </w:r>
          </w:p>
          <w:p>
            <w:pPr>
              <w:pStyle w:val="ListParagraph"/>
              <w:numPr>
                <w:ilvl w:val="0"/>
                <w:numId w:val="2"/>
              </w:numPr>
              <w:spacing w:after="30"/>
            </w:pPr>
            <w:r>
              <w:rPr>
                <w:sz w:val="20"/>
                <w:szCs w:val="20"/>
              </w:rPr>
              <w:t xml:space="preserve">Highlight Preventative controls (from step 8 classification) at the Initiation, Validation, and Authorisation lifecycle stages where prevention is most valuable.</w:t>
            </w:r>
          </w:p>
          <w:p>
            <w:pPr>
              <w:pStyle w:val="ListParagraph"/>
              <w:numPr>
                <w:ilvl w:val="0"/>
                <w:numId w:val="2"/>
              </w:numPr>
              <w:spacing w:after="30"/>
            </w:pPr>
            <w:r>
              <w:rPr>
                <w:sz w:val="20"/>
                <w:szCs w:val="20"/>
              </w:rPr>
              <w:t xml:space="preserve">Surface controls rated Effective with no incidents linked over the last 24 months as candidate exemplars.</w:t>
            </w:r>
          </w:p>
          <w:p>
            <w:pPr>
              <w:spacing w:after="40" w:before="100"/>
            </w:pPr>
            <w:r>
              <w:rPr>
                <w:b/>
                <w:bCs/>
                <w:color w:val="8C0E08"/>
                <w:sz w:val="22"/>
                <w:szCs w:val="22"/>
              </w:rPr>
              <w:t xml:space="preserve">RATIONALISE.</w:t>
            </w:r>
          </w:p>
          <w:p>
            <w:pPr>
              <w:spacing w:after="40" w:before="80"/>
            </w:pPr>
            <w:r>
              <w:rPr>
                <w:b/>
                <w:bCs/>
                <w:color w:val="8C0E08"/>
                <w:sz w:val="20"/>
                <w:szCs w:val="20"/>
              </w:rPr>
              <w:t xml:space="preserve">11c. Duplicate clusters and best of breed.</w:t>
            </w:r>
          </w:p>
          <w:p>
            <w:pPr>
              <w:spacing w:after="100" w:before="0"/>
            </w:pPr>
            <w:r>
              <w:rPr>
                <w:b/>
                <w:bCs/>
                <w:sz w:val="20"/>
                <w:szCs w:val="20"/>
              </w:rPr>
              <w:t xml:space="preserve">Duplicate definition (deterministic): </w:t>
            </w:r>
            <w:r>
              <w:rPr>
                <w:sz w:val="20"/>
                <w:szCs w:val="20"/>
              </w:rPr>
              <w:t xml:space="preserve">two controls are duplicates if they share (CT outcome AND Payment Nature AND lifecycle stage AND process scope) AND their mechanism-similarity score ≥0.75.</w:t>
            </w:r>
          </w:p>
          <w:p>
            <w:pPr>
              <w:spacing w:after="100" w:before="0"/>
            </w:pPr>
            <w:r>
              <w:rPr>
                <w:b/>
                <w:bCs/>
                <w:sz w:val="20"/>
                <w:szCs w:val="20"/>
              </w:rPr>
              <w:t xml:space="preserve">Mechanism similarity: </w:t>
            </w:r>
            <w:r>
              <w:rPr>
                <w:sz w:val="20"/>
                <w:szCs w:val="20"/>
              </w:rPr>
              <w:t xml:space="preserve">cosine similarity of (control description + automation level + control type) embeddings. The automation level matters: an automated system check and a manual reconciliation covering the same CT/Nature/Stage are NOT duplicates. They are defence-in-depth.</w:t>
            </w:r>
          </w:p>
          <w:p>
            <w:pPr>
              <w:spacing w:after="100" w:before="0"/>
            </w:pPr>
            <w:r>
              <w:rPr>
                <w:b/>
                <w:bCs/>
                <w:sz w:val="20"/>
                <w:szCs w:val="20"/>
              </w:rPr>
              <w:t xml:space="preserve">Best of breed scoring (within each cluster): </w:t>
            </w:r>
            <w:r>
              <w:rPr>
                <w:sz w:val="20"/>
                <w:szCs w:val="20"/>
              </w:rPr>
              <w:t xml:space="preserve">weighted sum, normalised 0–100.</w:t>
            </w:r>
          </w:p>
          <w:p>
            <w:pPr>
              <w:spacing w:after="60"/>
              <w:ind w:left="280"/>
            </w:pPr>
            <w:r>
              <w:rPr>
                <w:rFonts w:ascii="Consolas" w:cs="Consolas" w:eastAsia="Consolas" w:hAnsi="Consolas"/>
                <w:color w:val="333333"/>
                <w:sz w:val="18"/>
                <w:szCs w:val="18"/>
              </w:rPr>
              <w:t xml:space="preserve">score = 0.40 * effectiveness_rating_score</w:t>
            </w:r>
          </w:p>
          <w:p>
            <w:pPr>
              <w:spacing w:after="60"/>
              <w:ind w:left="280"/>
            </w:pPr>
            <w:r>
              <w:rPr>
                <w:rFonts w:ascii="Consolas" w:cs="Consolas" w:eastAsia="Consolas" w:hAnsi="Consolas"/>
                <w:color w:val="333333"/>
                <w:sz w:val="18"/>
                <w:szCs w:val="18"/>
              </w:rPr>
              <w:t xml:space="preserve">      + 0.25 * automation_score</w:t>
            </w:r>
          </w:p>
          <w:p>
            <w:pPr>
              <w:spacing w:after="60"/>
              <w:ind w:left="280"/>
            </w:pPr>
            <w:r>
              <w:rPr>
                <w:rFonts w:ascii="Consolas" w:cs="Consolas" w:eastAsia="Consolas" w:hAnsi="Consolas"/>
                <w:color w:val="333333"/>
                <w:sz w:val="18"/>
                <w:szCs w:val="18"/>
              </w:rPr>
              <w:t xml:space="preserve">      + 0.20 * incident_free_history_score</w:t>
            </w:r>
          </w:p>
          <w:p>
            <w:pPr>
              <w:spacing w:after="60"/>
              <w:ind w:left="280"/>
            </w:pPr>
            <w:r>
              <w:rPr>
                <w:rFonts w:ascii="Consolas" w:cs="Consolas" w:eastAsia="Consolas" w:hAnsi="Consolas"/>
                <w:color w:val="333333"/>
                <w:sz w:val="18"/>
                <w:szCs w:val="18"/>
              </w:rPr>
              <w:t xml:space="preserve">      + 0.10 * design_clarity_score</w:t>
            </w:r>
          </w:p>
          <w:p>
            <w:pPr>
              <w:spacing w:after="60"/>
              <w:ind w:left="280"/>
            </w:pPr>
            <w:r>
              <w:rPr>
                <w:rFonts w:ascii="Consolas" w:cs="Consolas" w:eastAsia="Consolas" w:hAnsi="Consolas"/>
                <w:color w:val="333333"/>
                <w:sz w:val="18"/>
                <w:szCs w:val="18"/>
              </w:rPr>
              <w:t xml:space="preserve">      + 0.05 * coverage_breadth_score</w:t>
            </w:r>
          </w:p>
          <w:p>
            <w:pPr>
              <w:pStyle w:val="ListParagraph"/>
              <w:numPr>
                <w:ilvl w:val="0"/>
                <w:numId w:val="2"/>
              </w:numPr>
              <w:spacing w:after="30"/>
            </w:pPr>
            <w:r>
              <w:rPr>
                <w:sz w:val="20"/>
                <w:szCs w:val="20"/>
              </w:rPr>
              <w:t xml:space="preserve">Effectiveness: Effective=100, Largely Effective=75, Requires Improvement=40, Ineffective=0.</w:t>
            </w:r>
          </w:p>
          <w:p>
            <w:pPr>
              <w:pStyle w:val="ListParagraph"/>
              <w:numPr>
                <w:ilvl w:val="0"/>
                <w:numId w:val="2"/>
              </w:numPr>
              <w:spacing w:after="30"/>
            </w:pPr>
            <w:r>
              <w:rPr>
                <w:sz w:val="20"/>
                <w:szCs w:val="20"/>
              </w:rPr>
              <w:t xml:space="preserve">Automation: Automated=100, Hybrid=60, Manual=30, Unknown=0.</w:t>
            </w:r>
          </w:p>
          <w:p>
            <w:pPr>
              <w:pStyle w:val="ListParagraph"/>
              <w:numPr>
                <w:ilvl w:val="0"/>
                <w:numId w:val="2"/>
              </w:numPr>
              <w:spacing w:after="30"/>
            </w:pPr>
            <w:r>
              <w:rPr>
                <w:sz w:val="20"/>
                <w:szCs w:val="20"/>
              </w:rPr>
              <w:t xml:space="preserve">Incident-free: 100 if zero P1/P2 incidents linked in last 24 months; decreases by severity and recency.</w:t>
            </w:r>
          </w:p>
          <w:p>
            <w:pPr>
              <w:pStyle w:val="ListParagraph"/>
              <w:numPr>
                <w:ilvl w:val="0"/>
                <w:numId w:val="2"/>
              </w:numPr>
              <w:spacing w:after="30"/>
            </w:pPr>
            <w:r>
              <w:rPr>
                <w:sz w:val="20"/>
                <w:szCs w:val="20"/>
              </w:rPr>
              <w:t xml:space="preserve">Design clarity: control description token length and structural completeness (LLM-scored once).</w:t>
            </w:r>
          </w:p>
          <w:p>
            <w:pPr>
              <w:pStyle w:val="ListParagraph"/>
              <w:numPr>
                <w:ilvl w:val="0"/>
                <w:numId w:val="2"/>
              </w:numPr>
              <w:spacing w:after="30"/>
            </w:pPr>
            <w:r>
              <w:rPr>
                <w:sz w:val="20"/>
                <w:szCs w:val="20"/>
              </w:rPr>
              <w:t xml:space="preserve">Coverage breadth: proportion of in-cluster process scope covered by this control.</w:t>
            </w:r>
          </w:p>
          <w:p>
            <w:pPr>
              <w:pStyle w:val="ListParagraph"/>
              <w:numPr>
                <w:ilvl w:val="0"/>
                <w:numId w:val="2"/>
              </w:numPr>
              <w:spacing w:after="30"/>
            </w:pPr>
            <w:r>
              <w:rPr>
                <w:sz w:val="20"/>
                <w:szCs w:val="20"/>
              </w:rPr>
              <w:t xml:space="preserve">Highest score = best of breed nomination. Others = retire / merge candidates.</w:t>
            </w:r>
          </w:p>
          <w:p>
            <w:pPr>
              <w:pStyle w:val="ListParagraph"/>
              <w:numPr>
                <w:ilvl w:val="0"/>
                <w:numId w:val="2"/>
              </w:numPr>
              <w:spacing w:after="30"/>
            </w:pPr>
            <w:r>
              <w:rPr>
                <w:sz w:val="20"/>
                <w:szCs w:val="20"/>
              </w:rPr>
              <w:t xml:space="preserve">Weights are sponsor-tunable. The five-factor formula stays; the weights can be revised after first-cut results.</w:t>
            </w:r>
          </w:p>
          <w:p>
            <w:pPr>
              <w:spacing w:after="40" w:before="80"/>
            </w:pPr>
            <w:r>
              <w:rPr>
                <w:b/>
                <w:bCs/>
                <w:color w:val="8C0E08"/>
                <w:sz w:val="20"/>
                <w:szCs w:val="20"/>
              </w:rPr>
              <w:t xml:space="preserve">11d. Governance controls misclassified into the Payments framework.</w:t>
            </w:r>
          </w:p>
          <w:p>
            <w:pPr>
              <w:pStyle w:val="ListParagraph"/>
              <w:numPr>
                <w:ilvl w:val="0"/>
                <w:numId w:val="2"/>
              </w:numPr>
              <w:spacing w:after="30"/>
            </w:pPr>
            <w:r>
              <w:rPr>
                <w:sz w:val="20"/>
                <w:szCs w:val="20"/>
              </w:rPr>
              <w:t xml:space="preserve">From step 8 framework alignment flag: controls flagged as Governance rather than Payments, despite sitting in the Payments Risk framework.</w:t>
            </w:r>
          </w:p>
          <w:p>
            <w:pPr>
              <w:pStyle w:val="ListParagraph"/>
              <w:numPr>
                <w:ilvl w:val="0"/>
                <w:numId w:val="2"/>
              </w:numPr>
              <w:spacing w:after="30"/>
            </w:pPr>
            <w:r>
              <w:rPr>
                <w:sz w:val="20"/>
                <w:szCs w:val="20"/>
              </w:rPr>
              <w:t xml:space="preserve">Filter: framework_alignment = 'Governance' AND inclusion path P1 (taxonomy tag) fired.</w:t>
            </w:r>
          </w:p>
          <w:p>
            <w:pPr>
              <w:pStyle w:val="ListParagraph"/>
              <w:numPr>
                <w:ilvl w:val="0"/>
                <w:numId w:val="2"/>
              </w:numPr>
              <w:spacing w:after="30"/>
            </w:pPr>
            <w:r>
              <w:rPr>
                <w:sz w:val="20"/>
                <w:szCs w:val="20"/>
              </w:rPr>
              <w:t xml:space="preserve">Each surfaced control gets a rationale citing why it reads as governance (typically: addresses framework operation, policy authorship, committee oversight, or training rather than direct payment risk mitigation).</w:t>
            </w:r>
          </w:p>
          <w:p>
            <w:pPr>
              <w:pStyle w:val="ListParagraph"/>
              <w:numPr>
                <w:ilvl w:val="0"/>
                <w:numId w:val="2"/>
              </w:numPr>
              <w:spacing w:after="30"/>
            </w:pPr>
            <w:r>
              <w:rPr>
                <w:sz w:val="20"/>
                <w:szCs w:val="20"/>
              </w:rPr>
              <w:t xml:space="preserve">Output is a list for risk owners to consider de-scoping from the Payments framework. Specifically requested by the deck.</w:t>
            </w:r>
          </w:p>
          <w:p>
            <w:pPr>
              <w:spacing w:after="40" w:before="100"/>
            </w:pPr>
            <w:r>
              <w:rPr>
                <w:b/>
                <w:bCs/>
                <w:color w:val="8C0E08"/>
                <w:sz w:val="22"/>
                <w:szCs w:val="22"/>
              </w:rPr>
              <w:t xml:space="preserve">GAPS.</w:t>
            </w:r>
          </w:p>
          <w:p>
            <w:pPr>
              <w:spacing w:after="40" w:before="80"/>
            </w:pPr>
            <w:r>
              <w:rPr>
                <w:b/>
                <w:bCs/>
                <w:color w:val="8C0E08"/>
                <w:sz w:val="20"/>
                <w:szCs w:val="20"/>
              </w:rPr>
              <w:t xml:space="preserve">11e. Gap register (six types).</w:t>
            </w:r>
          </w:p>
          <w:p>
            <w:pPr>
              <w:pStyle w:val="ListParagraph"/>
              <w:numPr>
                <w:ilvl w:val="0"/>
                <w:numId w:val="2"/>
              </w:numPr>
              <w:spacing w:after="30"/>
            </w:pPr>
            <w:r>
              <w:rPr>
                <w:b/>
                <w:bCs/>
                <w:sz w:val="20"/>
                <w:szCs w:val="20"/>
              </w:rPr>
              <w:t xml:space="preserve">Type A No coverage. </w:t>
            </w:r>
            <w:r>
              <w:rPr>
                <w:sz w:val="20"/>
                <w:szCs w:val="20"/>
              </w:rPr>
              <w:t xml:space="preserve">CT outcome with zero mapped controls in a given Payment Nature.</w:t>
            </w:r>
          </w:p>
          <w:p>
            <w:pPr>
              <w:pStyle w:val="ListParagraph"/>
              <w:numPr>
                <w:ilvl w:val="0"/>
                <w:numId w:val="2"/>
              </w:numPr>
              <w:spacing w:after="30"/>
            </w:pPr>
            <w:r>
              <w:rPr>
                <w:b/>
                <w:bCs/>
                <w:sz w:val="20"/>
                <w:szCs w:val="20"/>
              </w:rPr>
              <w:t xml:space="preserve">Type B Rated insufficient. </w:t>
            </w:r>
            <w:r>
              <w:rPr>
                <w:sz w:val="20"/>
                <w:szCs w:val="20"/>
              </w:rPr>
              <w:t xml:space="preserve">All mapped controls rated Requires Improvement / Ineffective.</w:t>
            </w:r>
          </w:p>
          <w:p>
            <w:pPr>
              <w:pStyle w:val="ListParagraph"/>
              <w:numPr>
                <w:ilvl w:val="0"/>
                <w:numId w:val="2"/>
              </w:numPr>
              <w:spacing w:after="30"/>
            </w:pPr>
            <w:r>
              <w:rPr>
                <w:b/>
                <w:bCs/>
                <w:sz w:val="20"/>
                <w:szCs w:val="20"/>
              </w:rPr>
              <w:t xml:space="preserve">Type C Unverified coverage. </w:t>
            </w:r>
            <w:r>
              <w:rPr>
                <w:sz w:val="20"/>
                <w:szCs w:val="20"/>
              </w:rPr>
              <w:t xml:space="preserve">Controls unrated or assessments stale.</w:t>
            </w:r>
          </w:p>
          <w:p>
            <w:pPr>
              <w:pStyle w:val="ListParagraph"/>
              <w:numPr>
                <w:ilvl w:val="0"/>
                <w:numId w:val="2"/>
              </w:numPr>
              <w:spacing w:after="30"/>
            </w:pPr>
            <w:r>
              <w:rPr>
                <w:b/>
                <w:bCs/>
                <w:sz w:val="20"/>
                <w:szCs w:val="20"/>
              </w:rPr>
              <w:t xml:space="preserve">Type D Failing despite Strong rating. </w:t>
            </w:r>
            <w:r>
              <w:rPr>
                <w:sz w:val="20"/>
                <w:szCs w:val="20"/>
              </w:rPr>
              <w:t xml:space="preserve">Strong-rated controls with recurring P1/P2 incidents or open issues linked.</w:t>
            </w:r>
          </w:p>
          <w:p>
            <w:pPr>
              <w:pStyle w:val="ListParagraph"/>
              <w:numPr>
                <w:ilvl w:val="0"/>
                <w:numId w:val="2"/>
              </w:numPr>
              <w:spacing w:after="30"/>
            </w:pPr>
            <w:r>
              <w:rPr>
                <w:b/>
                <w:bCs/>
                <w:sz w:val="20"/>
                <w:szCs w:val="20"/>
              </w:rPr>
              <w:t xml:space="preserve">Type E Misplacement. </w:t>
            </w:r>
            <w:r>
              <w:rPr>
                <w:sz w:val="20"/>
                <w:szCs w:val="20"/>
              </w:rPr>
              <w:t xml:space="preserve">Control at wrong lifecycle stage (from step 9 structural-vs-LLM disagreement, only where structural-expected exists).</w:t>
            </w:r>
          </w:p>
          <w:p>
            <w:pPr>
              <w:pStyle w:val="ListParagraph"/>
              <w:numPr>
                <w:ilvl w:val="0"/>
                <w:numId w:val="2"/>
              </w:numPr>
              <w:spacing w:after="30"/>
            </w:pPr>
            <w:r>
              <w:rPr>
                <w:b/>
                <w:bCs/>
                <w:sz w:val="20"/>
                <w:szCs w:val="20"/>
              </w:rPr>
              <w:t xml:space="preserve">Type F Process gap. </w:t>
            </w:r>
            <w:r>
              <w:rPr>
                <w:sz w:val="20"/>
                <w:szCs w:val="20"/>
              </w:rPr>
              <w:t xml:space="preserve">Payment process with zero linked controls.</w:t>
            </w:r>
          </w:p>
          <w:p>
            <w:pPr>
              <w:spacing w:after="40" w:before="80"/>
            </w:pPr>
            <w:r>
              <w:rPr>
                <w:b/>
                <w:bCs/>
                <w:color w:val="8C0E08"/>
                <w:sz w:val="20"/>
                <w:szCs w:val="20"/>
              </w:rPr>
              <w:t xml:space="preserve">11f. Standard pattern naming for P0 gaps.</w:t>
            </w:r>
          </w:p>
          <w:p>
            <w:pPr>
              <w:pStyle w:val="ListParagraph"/>
              <w:numPr>
                <w:ilvl w:val="0"/>
                <w:numId w:val="2"/>
              </w:numPr>
              <w:spacing w:after="30"/>
            </w:pPr>
            <w:r>
              <w:rPr>
                <w:sz w:val="20"/>
                <w:szCs w:val="20"/>
              </w:rPr>
              <w:t xml:space="preserve">Where a P0 gap matches a known standardised control pattern, the pattern is named alongside the gap.</w:t>
            </w:r>
          </w:p>
          <w:p>
            <w:pPr>
              <w:pStyle w:val="ListParagraph"/>
              <w:numPr>
                <w:ilvl w:val="0"/>
                <w:numId w:val="2"/>
              </w:numPr>
              <w:spacing w:after="30"/>
            </w:pPr>
            <w:r>
              <w:rPr>
                <w:sz w:val="20"/>
                <w:szCs w:val="20"/>
              </w:rPr>
              <w:t xml:space="preserve">Pattern library is a small catalogue maintained by the team (typical entries: four-eyes approval, threshold block, automated reconciliation, dual factor authorisation, daily exception report, end-to-end trace ID enforcement).</w:t>
            </w:r>
          </w:p>
          <w:p>
            <w:pPr>
              <w:pStyle w:val="ListParagraph"/>
              <w:numPr>
                <w:ilvl w:val="0"/>
                <w:numId w:val="2"/>
              </w:numPr>
              <w:spacing w:after="30"/>
            </w:pPr>
            <w:r>
              <w:rPr>
                <w:sz w:val="20"/>
                <w:szCs w:val="20"/>
              </w:rPr>
              <w:t xml:space="preserve">The PoC identifies and recommends. Control design and implementation work follows the PoC.</w:t>
            </w:r>
          </w:p>
          <w:p>
            <w:pPr>
              <w:pStyle w:val="ListParagraph"/>
              <w:numPr>
                <w:ilvl w:val="0"/>
                <w:numId w:val="2"/>
              </w:numPr>
              <w:spacing w:after="30"/>
            </w:pPr>
            <w:r>
              <w:rPr>
                <w:sz w:val="20"/>
                <w:szCs w:val="20"/>
              </w:rPr>
              <w:t xml:space="preserve">If no standard pattern fits, the gap is recorded without a pattern name and routed to control owners for design work.</w:t>
            </w:r>
          </w:p>
          <w:p>
            <w:pPr>
              <w:spacing w:after="40" w:before="80"/>
            </w:pPr>
            <w:r>
              <w:rPr>
                <w:b/>
                <w:bCs/>
                <w:color w:val="8C0E08"/>
                <w:sz w:val="20"/>
                <w:szCs w:val="20"/>
              </w:rPr>
              <w:t xml:space="preserve">11g. JUNO registration backlog.</w:t>
            </w:r>
          </w:p>
          <w:p>
            <w:pPr>
              <w:pStyle w:val="ListParagraph"/>
              <w:numPr>
                <w:ilvl w:val="0"/>
                <w:numId w:val="2"/>
              </w:numPr>
              <w:spacing w:after="30"/>
            </w:pPr>
            <w:r>
              <w:rPr>
                <w:sz w:val="20"/>
                <w:szCs w:val="20"/>
              </w:rPr>
              <w:t xml:space="preserve">Bespoke controls SME-confirmed as genuine controls.</w:t>
            </w:r>
          </w:p>
          <w:p>
            <w:pPr>
              <w:pStyle w:val="ListParagraph"/>
              <w:numPr>
                <w:ilvl w:val="0"/>
                <w:numId w:val="2"/>
              </w:numPr>
              <w:spacing w:after="30"/>
            </w:pPr>
            <w:r>
              <w:rPr>
                <w:sz w:val="20"/>
                <w:szCs w:val="20"/>
              </w:rPr>
              <w:t xml:space="preserve">Ranked by Payment Nature inherent risk + CT criticality (CT22 Mistaken Internet Payments has high regulatory recognisability; CT5 Incident Response has cross-cutting impact).</w:t>
            </w:r>
          </w:p>
          <w:p>
            <w:pPr>
              <w:spacing w:after="40" w:before="80"/>
            </w:pPr>
            <w:r>
              <w:rPr>
                <w:b/>
                <w:bCs/>
                <w:color w:val="8C0E08"/>
                <w:sz w:val="20"/>
                <w:szCs w:val="20"/>
              </w:rPr>
              <w:t xml:space="preserve">11h. Obligations coverage view.</w:t>
            </w:r>
          </w:p>
          <w:p>
            <w:pPr>
              <w:pStyle w:val="ListParagraph"/>
              <w:numPr>
                <w:ilvl w:val="0"/>
                <w:numId w:val="2"/>
              </w:numPr>
              <w:spacing w:after="30"/>
            </w:pPr>
            <w:r>
              <w:rPr>
                <w:sz w:val="20"/>
                <w:szCs w:val="20"/>
              </w:rPr>
              <w:t xml:space="preserve">For each Payments obligation linked via P3, list the controls that cover it (via Control ↔ Obligation linkage in the bridge).</w:t>
            </w:r>
          </w:p>
          <w:p>
            <w:pPr>
              <w:pStyle w:val="ListParagraph"/>
              <w:numPr>
                <w:ilvl w:val="0"/>
                <w:numId w:val="2"/>
              </w:numPr>
              <w:spacing w:after="30"/>
            </w:pPr>
            <w:r>
              <w:rPr>
                <w:sz w:val="20"/>
                <w:szCs w:val="20"/>
              </w:rPr>
              <w:t xml:space="preserve">Derive coverage rating per obligation: Strong / Moderate / Weak / None, using the same constructs as the CT heatmap.</w:t>
            </w:r>
          </w:p>
          <w:p>
            <w:pPr>
              <w:pStyle w:val="ListParagraph"/>
              <w:numPr>
                <w:ilvl w:val="0"/>
                <w:numId w:val="2"/>
              </w:numPr>
              <w:spacing w:after="30"/>
            </w:pPr>
            <w:r>
              <w:rPr>
                <w:sz w:val="20"/>
                <w:szCs w:val="20"/>
              </w:rPr>
              <w:t xml:space="preserve">Surface obligations with zero linked controls or only weak-rated controls as a separate finding for compliance owners.</w:t>
            </w:r>
          </w:p>
          <w:p>
            <w:pPr>
              <w:pStyle w:val="ListParagraph"/>
              <w:numPr>
                <w:ilvl w:val="0"/>
                <w:numId w:val="2"/>
              </w:numPr>
              <w:spacing w:after="30"/>
            </w:pPr>
            <w:r>
              <w:rPr>
                <w:sz w:val="20"/>
                <w:szCs w:val="20"/>
              </w:rPr>
              <w:t xml:space="preserve">Pure SAS query over the bridge table; no LLM workload (the underlying Control ↔ Obligation linkage already exists from step 4).</w:t>
            </w:r>
          </w:p>
          <w:p>
            <w:pPr>
              <w:spacing w:after="40" w:before="100"/>
            </w:pPr>
            <w:r>
              <w:rPr>
                <w:b/>
                <w:bCs/>
                <w:color w:val="8C0E08"/>
                <w:sz w:val="22"/>
                <w:szCs w:val="22"/>
              </w:rPr>
              <w:t xml:space="preserve">MONITORING.</w:t>
            </w:r>
          </w:p>
          <w:p>
            <w:pPr>
              <w:spacing w:after="40" w:before="80"/>
            </w:pPr>
            <w:r>
              <w:rPr>
                <w:b/>
                <w:bCs/>
                <w:color w:val="8C0E08"/>
                <w:sz w:val="20"/>
                <w:szCs w:val="20"/>
              </w:rPr>
              <w:t xml:space="preserve">11i. Monitoring baseline.</w:t>
            </w:r>
          </w:p>
          <w:p>
            <w:pPr>
              <w:pStyle w:val="ListParagraph"/>
              <w:numPr>
                <w:ilvl w:val="0"/>
                <w:numId w:val="2"/>
              </w:numPr>
              <w:spacing w:after="30"/>
            </w:pPr>
            <w:r>
              <w:rPr>
                <w:sz w:val="20"/>
                <w:szCs w:val="20"/>
              </w:rPr>
              <w:t xml:space="preserve">For each Master Control: list key controls, recommended monitoring intensity proportional to inherent risk and incident history.</w:t>
            </w:r>
          </w:p>
          <w:p>
            <w:pPr>
              <w:pStyle w:val="ListParagraph"/>
              <w:numPr>
                <w:ilvl w:val="0"/>
                <w:numId w:val="2"/>
              </w:numPr>
              <w:spacing w:after="30"/>
            </w:pPr>
            <w:r>
              <w:rPr>
                <w:sz w:val="20"/>
                <w:szCs w:val="20"/>
              </w:rPr>
              <w:t xml:space="preserve">Identify what monitoring evidence already exists (control assessments, KRIs) vs what is missing.</w:t>
            </w:r>
          </w:p>
          <w:p>
            <w:pPr>
              <w:pStyle w:val="ListParagraph"/>
              <w:numPr>
                <w:ilvl w:val="0"/>
                <w:numId w:val="2"/>
              </w:numPr>
              <w:spacing w:after="30"/>
            </w:pPr>
            <w:r>
              <w:rPr>
                <w:sz w:val="20"/>
                <w:szCs w:val="20"/>
              </w:rPr>
              <w:t xml:space="preserve">Note: this is what monitoring should look like, not the platform that delivers it. Remediation is owner-driven.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Coverage heatmap (three cuts, three coverage constructs per cell)</w:t>
            </w:r>
          </w:p>
          <w:p>
            <w:pPr>
              <w:spacing w:after="20"/>
            </w:pPr>
            <w:r>
              <w:rPr>
                <w:sz w:val="20"/>
                <w:szCs w:val="20"/>
              </w:rPr>
              <w:t xml:space="preserve">•  Strengthen view (automated controls in High risk Natures, preventative controls at key stages, exemplar candidates)</w:t>
            </w:r>
          </w:p>
          <w:p>
            <w:pPr>
              <w:spacing w:after="20"/>
            </w:pPr>
            <w:r>
              <w:rPr>
                <w:sz w:val="20"/>
                <w:szCs w:val="20"/>
              </w:rPr>
              <w:t xml:space="preserve">•  Duplicate cluster register with best of breed nominations</w:t>
            </w:r>
          </w:p>
          <w:p>
            <w:pPr>
              <w:spacing w:after="20"/>
            </w:pPr>
            <w:r>
              <w:rPr>
                <w:sz w:val="20"/>
                <w:szCs w:val="20"/>
              </w:rPr>
              <w:t xml:space="preserve">•  Governance controls misclassified into the Payments framework</w:t>
            </w:r>
          </w:p>
          <w:p>
            <w:pPr>
              <w:spacing w:after="20"/>
            </w:pPr>
            <w:r>
              <w:rPr>
                <w:sz w:val="20"/>
                <w:szCs w:val="20"/>
              </w:rPr>
              <w:t xml:space="preserve">•  Gap register (six types, P0/P1/P2)</w:t>
            </w:r>
          </w:p>
          <w:p>
            <w:pPr>
              <w:spacing w:after="20"/>
            </w:pPr>
            <w:r>
              <w:rPr>
                <w:sz w:val="20"/>
                <w:szCs w:val="20"/>
              </w:rPr>
              <w:t xml:space="preserve">•  Standard pattern recommendations for P0 gaps</w:t>
            </w:r>
          </w:p>
          <w:p>
            <w:pPr>
              <w:spacing w:after="20"/>
            </w:pPr>
            <w:r>
              <w:rPr>
                <w:sz w:val="20"/>
                <w:szCs w:val="20"/>
              </w:rPr>
              <w:t xml:space="preserve">•  JUNO registration backlog (SME-confirmed)</w:t>
            </w:r>
          </w:p>
          <w:p>
            <w:pPr>
              <w:spacing w:after="20"/>
            </w:pPr>
            <w:r>
              <w:rPr>
                <w:sz w:val="20"/>
                <w:szCs w:val="20"/>
              </w:rPr>
              <w:t xml:space="preserve">•  Obligations coverage view</w:t>
            </w:r>
          </w:p>
          <w:p>
            <w:pPr>
              <w:spacing w:after="20"/>
            </w:pPr>
            <w:r>
              <w:rPr>
                <w:sz w:val="20"/>
                <w:szCs w:val="20"/>
              </w:rPr>
              <w:t xml:space="preserve">•  Monitoring baseline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Export to Power BI / Excel for stakeholder consumption.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outputs produced, reviewed by lead engineer, and any P0 gap or best of breed nomination has been spot-checked against source.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12</w:t>
            </w:r>
            <w:r>
              <w:rPr>
                <w:sz w:val="22"/>
                <w:szCs w:val="22"/>
              </w:rPr>
              <w:t xml:space="preserve">    </w:t>
            </w:r>
            <w:r>
              <w:rPr>
                <w:b/>
                <w:bCs/>
                <w:color w:val="8C0E08"/>
                <w:sz w:val="28"/>
                <w:szCs w:val="28"/>
              </w:rPr>
              <w:t xml:space="preserve">Validate via independent LRM (gates 2, 3, 5, 7, 8, 9)</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Prove every LLM-driven step performs above an agreed threshold before scaling to the full population. With no dedicated subject matter expert, validation is provided by a deliberately independent LRM operating blind to the primary model, with disagreements queued for human review when capacity becomes available.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Production prompts for each gated step (primary)</w:t>
            </w:r>
          </w:p>
          <w:p>
            <w:pPr>
              <w:spacing w:after="20"/>
            </w:pPr>
            <w:r>
              <w:rPr>
                <w:sz w:val="20"/>
                <w:szCs w:val="20"/>
              </w:rPr>
              <w:t xml:space="preserve">•  Independent classification prompts for each gated step (different model family, blind to primary)</w:t>
            </w:r>
          </w:p>
          <w:p>
            <w:pPr>
              <w:spacing w:after="20"/>
            </w:pPr>
            <w:r>
              <w:rPr>
                <w:sz w:val="20"/>
                <w:szCs w:val="20"/>
              </w:rPr>
              <w:t xml:space="preserve">•  Stratified sample of items per gated step</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Validation is a gate that sits over every LLM-driven step (2, 3, 5, 7, 8, 9), not a step that runs at the end. Each gate must pass before its step scales to the full population. With no dedicated subject matter expert, validation is performed by an independent LRM under the constraints set out in the Validation Model section earlier in this document.</w:t>
            </w:r>
          </w:p>
          <w:p>
            <w:pPr>
              <w:spacing w:after="40" w:before="80"/>
            </w:pPr>
            <w:r>
              <w:rPr>
                <w:b/>
                <w:bCs/>
                <w:sz w:val="20"/>
                <w:szCs w:val="20"/>
              </w:rPr>
              <w:t xml:space="preserve">Gate logic per step:</w:t>
            </w:r>
          </w:p>
          <w:p>
            <w:pPr>
              <w:pStyle w:val="ListParagraph"/>
              <w:numPr>
                <w:ilvl w:val="0"/>
                <w:numId w:val="2"/>
              </w:numPr>
              <w:spacing w:after="30"/>
            </w:pPr>
            <w:r>
              <w:rPr>
                <w:sz w:val="20"/>
                <w:szCs w:val="20"/>
              </w:rPr>
              <w:t xml:space="preserve">Independent LRM constructs a stratified reference set (size and stratification per step shown below). Different model family from the primary, no exposure to the primary's prompts.</w:t>
            </w:r>
          </w:p>
          <w:p>
            <w:pPr>
              <w:pStyle w:val="ListParagraph"/>
              <w:numPr>
                <w:ilvl w:val="0"/>
                <w:numId w:val="2"/>
              </w:numPr>
              <w:spacing w:after="30"/>
            </w:pPr>
            <w:r>
              <w:rPr>
                <w:sz w:val="20"/>
                <w:szCs w:val="20"/>
              </w:rPr>
              <w:t xml:space="preserve">Primary LRM runs the production prompt on the same set, blind to the reference labels.</w:t>
            </w:r>
          </w:p>
          <w:p>
            <w:pPr>
              <w:pStyle w:val="ListParagraph"/>
              <w:numPr>
                <w:ilvl w:val="0"/>
                <w:numId w:val="2"/>
              </w:numPr>
              <w:spacing w:after="30"/>
            </w:pPr>
            <w:r>
              <w:rPr>
                <w:sz w:val="20"/>
                <w:szCs w:val="20"/>
              </w:rPr>
              <w:t xml:space="preserve">Compare answers. Measure precision / recall / accuracy as appropriate.</w:t>
            </w:r>
          </w:p>
          <w:p>
            <w:pPr>
              <w:pStyle w:val="ListParagraph"/>
              <w:numPr>
                <w:ilvl w:val="0"/>
                <w:numId w:val="2"/>
              </w:numPr>
              <w:spacing w:after="30"/>
            </w:pPr>
            <w:r>
              <w:rPr>
                <w:sz w:val="20"/>
                <w:szCs w:val="20"/>
              </w:rPr>
              <w:t xml:space="preserve">Cases where the two models disagree are tagged Requires Human Review and added to the queue.</w:t>
            </w:r>
          </w:p>
          <w:p>
            <w:pPr>
              <w:pStyle w:val="ListParagraph"/>
              <w:numPr>
                <w:ilvl w:val="0"/>
                <w:numId w:val="2"/>
              </w:numPr>
              <w:spacing w:after="30"/>
            </w:pPr>
            <w:r>
              <w:rPr>
                <w:sz w:val="20"/>
                <w:szCs w:val="20"/>
              </w:rPr>
              <w:t xml:space="preserve">Targets hit means proceed to scale. Targets missed means iterate the prompt and re-run; do not scale.</w:t>
            </w:r>
          </w:p>
          <w:p>
            <w:pPr>
              <w:spacing w:after="40" w:before="100"/>
            </w:pPr>
            <w:r>
              <w:rPr>
                <w:b/>
                <w:bCs/>
                <w:sz w:val="20"/>
                <w:szCs w:val="20"/>
              </w:rPr>
              <w:t xml:space="preserve">Reference set construction by the independent LRM:</w:t>
            </w:r>
          </w:p>
          <w:p>
            <w:pPr>
              <w:pStyle w:val="ListParagraph"/>
              <w:numPr>
                <w:ilvl w:val="0"/>
                <w:numId w:val="2"/>
              </w:numPr>
              <w:spacing w:after="30"/>
            </w:pPr>
            <w:r>
              <w:rPr>
                <w:sz w:val="20"/>
                <w:szCs w:val="20"/>
              </w:rPr>
              <w:t xml:space="preserve">The independent LRM is asked to classify a stratified sample of items from scratch, with the taxonomy and source text only. It does not see the primary model's answer or prompt.</w:t>
            </w:r>
          </w:p>
          <w:p>
            <w:pPr>
              <w:pStyle w:val="ListParagraph"/>
              <w:numPr>
                <w:ilvl w:val="0"/>
                <w:numId w:val="2"/>
              </w:numPr>
              <w:spacing w:after="30"/>
            </w:pPr>
            <w:r>
              <w:rPr>
                <w:sz w:val="20"/>
                <w:szCs w:val="20"/>
              </w:rPr>
              <w:t xml:space="preserve">The set is stratified deliberately: edge cases, multi-class items, items with sparse source text, items from each business unit owner.</w:t>
            </w:r>
          </w:p>
          <w:p>
            <w:pPr>
              <w:pStyle w:val="ListParagraph"/>
              <w:numPr>
                <w:ilvl w:val="0"/>
                <w:numId w:val="2"/>
              </w:numPr>
              <w:spacing w:after="30"/>
            </w:pPr>
            <w:r>
              <w:rPr>
                <w:sz w:val="20"/>
                <w:szCs w:val="20"/>
              </w:rPr>
              <w:t xml:space="preserve">The independent LRM's classifications form the reference. The primary's classifications are then measured against the reference.</w:t>
            </w:r>
          </w:p>
          <w:p>
            <w:pPr>
              <w:pStyle w:val="ListParagraph"/>
              <w:numPr>
                <w:ilvl w:val="0"/>
                <w:numId w:val="2"/>
              </w:numPr>
              <w:spacing w:after="30"/>
            </w:pPr>
            <w:r>
              <w:rPr>
                <w:sz w:val="20"/>
                <w:szCs w:val="20"/>
              </w:rPr>
              <w:t xml:space="preserve">This is not the same as asking the same model to grade its own output. Different model family, blind operation, fresh classification.</w:t>
            </w:r>
          </w:p>
          <w:p>
            <w:pPr>
              <w:spacing w:after="40" w:before="100"/>
            </w:pPr>
            <w:r>
              <w:rPr>
                <w:b/>
                <w:bCs/>
                <w:sz w:val="20"/>
                <w:szCs w:val="20"/>
              </w:rPr>
              <w:t xml:space="preserve">Reference set sizes and targets:</w:t>
            </w:r>
          </w:p>
          <w:p>
            <w:pPr>
              <w:pStyle w:val="ListParagraph"/>
              <w:numPr>
                <w:ilvl w:val="0"/>
                <w:numId w:val="2"/>
              </w:numPr>
              <w:spacing w:after="30"/>
            </w:pPr>
            <w:r>
              <w:rPr>
                <w:b/>
                <w:bCs/>
                <w:sz w:val="20"/>
                <w:szCs w:val="20"/>
              </w:rPr>
              <w:t xml:space="preserve">Step 2 (PP6 embedding): </w:t>
            </w:r>
            <w:r>
              <w:rPr>
                <w:sz w:val="20"/>
                <w:szCs w:val="20"/>
              </w:rPr>
              <w:t xml:space="preserve">~30 processes (clear-in, clear-out, payment-in-non-payment-value-chain). Target: false-negative rate ≤0.10.</w:t>
            </w:r>
          </w:p>
          <w:p>
            <w:pPr>
              <w:pStyle w:val="ListParagraph"/>
              <w:numPr>
                <w:ilvl w:val="0"/>
                <w:numId w:val="2"/>
              </w:numPr>
              <w:spacing w:after="30"/>
            </w:pPr>
            <w:r>
              <w:rPr>
                <w:b/>
                <w:bCs/>
                <w:sz w:val="20"/>
                <w:szCs w:val="20"/>
              </w:rPr>
              <w:t xml:space="preserve">Step 3 (Payment Nature): </w:t>
            </w:r>
            <w:r>
              <w:rPr>
                <w:sz w:val="20"/>
                <w:szCs w:val="20"/>
              </w:rPr>
              <w:t xml:space="preserve">~30 processes (clear single-nature, multi-nature, ambiguous). Target: per-nature precision ≥0.85, recall ≥0.80.</w:t>
            </w:r>
          </w:p>
          <w:p>
            <w:pPr>
              <w:pStyle w:val="ListParagraph"/>
              <w:numPr>
                <w:ilvl w:val="0"/>
                <w:numId w:val="2"/>
              </w:numPr>
              <w:spacing w:after="30"/>
            </w:pPr>
            <w:r>
              <w:rPr>
                <w:b/>
                <w:bCs/>
                <w:sz w:val="20"/>
                <w:szCs w:val="20"/>
              </w:rPr>
              <w:t xml:space="preserve">Step 5 (bespoke discovery): </w:t>
            </w:r>
            <w:r>
              <w:rPr>
                <w:sz w:val="20"/>
                <w:szCs w:val="20"/>
              </w:rPr>
              <w:t xml:space="preserve">~20 process steps + ~10 configs + ~10 remediation texts. Target: precision ≥0.75.</w:t>
            </w:r>
          </w:p>
          <w:p>
            <w:pPr>
              <w:pStyle w:val="ListParagraph"/>
              <w:numPr>
                <w:ilvl w:val="0"/>
                <w:numId w:val="2"/>
              </w:numPr>
              <w:spacing w:after="30"/>
            </w:pPr>
            <w:r>
              <w:rPr>
                <w:b/>
                <w:bCs/>
                <w:sz w:val="20"/>
                <w:szCs w:val="20"/>
              </w:rPr>
              <w:t xml:space="preserve">Step 7 (Payment Nature on controls): </w:t>
            </w:r>
            <w:r>
              <w:rPr>
                <w:sz w:val="20"/>
                <w:szCs w:val="20"/>
              </w:rPr>
              <w:t xml:space="preserve">Sanity-check disagreement rate on inherited classifications ≤15%.</w:t>
            </w:r>
          </w:p>
          <w:p>
            <w:pPr>
              <w:pStyle w:val="ListParagraph"/>
              <w:numPr>
                <w:ilvl w:val="0"/>
                <w:numId w:val="2"/>
              </w:numPr>
              <w:spacing w:after="30"/>
            </w:pPr>
            <w:r>
              <w:rPr>
                <w:b/>
                <w:bCs/>
                <w:sz w:val="20"/>
                <w:szCs w:val="20"/>
              </w:rPr>
              <w:t xml:space="preserve">Step 8 (Master Control mapping): </w:t>
            </w:r>
            <w:r>
              <w:rPr>
                <w:sz w:val="20"/>
                <w:szCs w:val="20"/>
              </w:rPr>
              <w:t xml:space="preserve">~50 controls stratified by Master Control, automation, key flag, source type. Target: precision ≥0.85, recall ≥0.80.</w:t>
            </w:r>
          </w:p>
          <w:p>
            <w:pPr>
              <w:pStyle w:val="ListParagraph"/>
              <w:numPr>
                <w:ilvl w:val="0"/>
                <w:numId w:val="2"/>
              </w:numPr>
              <w:spacing w:after="30"/>
            </w:pPr>
            <w:r>
              <w:rPr>
                <w:b/>
                <w:bCs/>
                <w:sz w:val="20"/>
                <w:szCs w:val="20"/>
              </w:rPr>
              <w:t xml:space="preserve">Step 9 (lifecycle placement): </w:t>
            </w:r>
            <w:r>
              <w:rPr>
                <w:sz w:val="20"/>
                <w:szCs w:val="20"/>
              </w:rPr>
              <w:t xml:space="preserve">Same ~50 controls. Target: exact-match accuracy ≥0.80.</w:t>
            </w:r>
          </w:p>
          <w:p>
            <w:pPr>
              <w:spacing w:after="100" w:before="100"/>
              <w:jc w:val="left"/>
            </w:pPr>
            <w:r>
              <w:rPr>
                <w:i/>
                <w:iCs/>
                <w:color w:val="5C5C5C"/>
                <w:sz w:val="20"/>
                <w:szCs w:val="20"/>
              </w:rPr>
              <w:t xml:space="preserve">Ongoing: every classification is verified by the independent LRM in production, not just at gate time. Disagreements queue automatically.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Six reference sets (one per gated step) built by the independent LRM</w:t>
            </w:r>
          </w:p>
          <w:p>
            <w:pPr>
              <w:spacing w:after="20"/>
            </w:pPr>
            <w:r>
              <w:rPr>
                <w:sz w:val="20"/>
                <w:szCs w:val="20"/>
              </w:rPr>
              <w:t xml:space="preserve">•  Pre-scale validation report per step (agreement rate, precision, recall, accuracy)</w:t>
            </w:r>
          </w:p>
          <w:p>
            <w:pPr>
              <w:spacing w:after="20"/>
            </w:pPr>
            <w:r>
              <w:rPr>
                <w:sz w:val="20"/>
                <w:szCs w:val="20"/>
              </w:rPr>
              <w:t xml:space="preserve">•  Requires Human Review queue, growing as production runs proceed</w:t>
            </w:r>
          </w:p>
          <w:p>
            <w:pPr>
              <w:spacing w:after="20"/>
            </w:pPr>
            <w:r>
              <w:rPr>
                <w:sz w:val="20"/>
                <w:szCs w:val="20"/>
              </w:rPr>
              <w:t xml:space="preserve">•  Ongoing agreement-rate monitoring; alerts when drift exceeds threshold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orchestration. Primary LRM (one Amp Code model family) for production work. Independent LRM (different Amp Code model family) for reference and verification.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gated step has a passing validation result on record, the Requires Human Review queue is populated and persistent, and the agreement-rate monitoring is live.</w:t>
            </w:r>
          </w:p>
        </w:tc>
      </w:tr>
    </w:tbl>
    <w:p>
      <w:pPr>
        <w:spacing w:after="100" w:before="240"/>
      </w:pPr>
      <w:r>
        <w:rPr>
          <w:b/>
          <w:bCs/>
          <w:color w:val="8C0E08"/>
          <w:sz w:val="22"/>
          <w:szCs w:val="22"/>
        </w:rPr>
        <w:t xml:space="preserve">Audit trail: records captured per AI decision</w:t>
      </w:r>
    </w:p>
    <w:p>
      <w:pPr>
        <w:spacing w:after="100" w:before="0"/>
        <w:jc w:val="left"/>
      </w:pPr>
      <w:r>
        <w:rPr>
          <w:sz w:val="20"/>
          <w:szCs w:val="20"/>
        </w:rPr>
        <w:t xml:space="preserve">Every LLM decision (inclusion, classification, extraction, mapping) is captured with these fields so it can be re-run and audited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Field captured</w:t>
            </w:r>
          </w:p>
        </w:tc>
        <w:tc>
          <w:tcPr>
            <w:tcW w:type="dxa" w:w="6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Why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Prompt version hash</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Result is bound to the exact prompt that produced it. Any prompt change forces re-validation.</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Model ID and version</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Different models produce different outputs. Model identity is part of the result.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Run timestamp</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Anchors the decision to a point in time. Re-runs create new records.</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Input snapshot hash</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Detects whether source data changed between runs.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Raw model response</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Stored verbatim before parsing. Lets us re-process if the parser changes.</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Pass number (steps 2 &amp; 4 only)</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Which convergence pass produced the inclusion. Lets us reconstruct the loop.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SME override (if any)</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If an SME revises an LLM decision, the override is recorded against the original, not as a replacement.</w:t>
            </w:r>
          </w:p>
        </w:tc>
      </w:tr>
    </w:tbl>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color w:val="9CA3AF"/>
        <w:sz w:val="14"/>
        <w:szCs w:val="14"/>
      </w:rPr>
      <w:t xml:space="preserve">Page </w:t>
    </w:r>
    <w:r>
      <w:rPr>
        <w:color w:val="9CA3AF"/>
        <w:sz w:val="14"/>
        <w:szCs w:val="14"/>
      </w:rPr>
      <w:fldChar w:fldCharType="begin"/>
      <w:instrText xml:space="preserve">PAGE</w:instrText>
      <w:fldChar w:fldCharType="separate"/>
      <w:fldChar w:fldCharType="end"/>
    </w:r>
    <w:r>
      <w:rPr>
        <w:color w:val="9CA3AF"/>
        <w:sz w:val="14"/>
        <w:szCs w:val="14"/>
      </w:rPr>
      <w:t xml:space="preserve"> / </w:t>
    </w:r>
    <w:r>
      <w:rPr>
        <w:color w:val="9CA3A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9CA3AF"/>
        <w:spacing w:val="40"/>
        <w:sz w:val="14"/>
        <w:szCs w:val="14"/>
      </w:rPr>
      <w:t xml:space="preserve">PAYMENTS RISK · CONTROL SUFFICIENCY PoC · TECHNICAL RUNBOOK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C0E0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Risk Control Sufficiency PoC - Technical Runbook v1.5</dc:title>
  <dc:creator>Karan</dc:creator>
  <cp:lastModifiedBy>Un-named</cp:lastModifiedBy>
  <cp:revision>1</cp:revision>
  <dcterms:created xsi:type="dcterms:W3CDTF">2026-05-14T10:05:22.334Z</dcterms:created>
  <dcterms:modified xsi:type="dcterms:W3CDTF">2026-05-14T10:05:22.334Z</dcterms:modified>
</cp:coreProperties>
</file>

<file path=docProps/custom.xml><?xml version="1.0" encoding="utf-8"?>
<Properties xmlns="http://schemas.openxmlformats.org/officeDocument/2006/custom-properties" xmlns:vt="http://schemas.openxmlformats.org/officeDocument/2006/docPropsVTypes"/>
</file>