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60"/>
            </w:pPr>
            <w:r>
              <w:rPr>
                <w:b/>
                <w:bCs/>
                <w:color w:val="9DB7DE"/>
                <w:spacing w:val="60"/>
                <w:sz w:val="18"/>
                <w:szCs w:val="18"/>
              </w:rPr>
              <w:t xml:space="preserve">PAYMENTS RISK · CONTROL SUFFICIENCY PoC</w:t>
            </w:r>
          </w:p>
          <w:p>
            <w:pPr>
              <w:spacing w:after="8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Technical Runbook</w:t>
            </w:r>
          </w:p>
          <w:p>
            <w:pPr>
              <w:spacing w:after="0"/>
            </w:pPr>
            <w:r>
              <w:rPr>
                <w:color w:val="BCD0EA"/>
                <w:sz w:val="18"/>
                <w:szCs w:val="18"/>
              </w:rPr>
              <w:t xml:space="preserve">Twelve steps from source data to control sufficiency findings · v1.0 · May 2026</w:t>
            </w:r>
          </w:p>
        </w:tc>
      </w:tr>
    </w:tbl>
    <w:p>
      <w:pPr>
        <w:spacing w:after="140" w:before="320"/>
      </w:pPr>
      <w:r>
        <w:rPr>
          <w:b/>
          <w:bCs/>
          <w:color w:val="1F3864"/>
          <w:sz w:val="26"/>
          <w:szCs w:val="26"/>
        </w:rPr>
        <w:t xml:space="preserve">Objective</w:t>
      </w:r>
    </w:p>
    <w:p>
      <w:pPr>
        <w:spacing w:after="100" w:before="0"/>
        <w:jc w:val="left"/>
      </w:pPr>
      <w:r>
        <w:rPr>
          <w:sz w:val="20"/>
          <w:szCs w:val="20"/>
        </w:rPr>
        <w:t xml:space="preserve">Determine whether the controls that exist anywhere at Westpac – in JUNO, embedded in Holocentric processes, enforced in ALEX/Alfabet systems, or recorded in incident remediation text – are sufficient to mitigate Payments Risk.</w:t>
      </w:r>
    </w:p>
    <w:p>
      <w:pPr>
        <w:spacing w:after="100" w:before="0"/>
      </w:pPr>
      <w:r>
        <w:rPr>
          <w:sz w:val="20"/>
          <w:szCs w:val="20"/>
        </w:rPr>
        <w:t xml:space="preserve">Sufficiency is judged against the </w:t>
      </w:r>
      <w:r>
        <w:rPr>
          <w:b/>
          <w:bCs/>
          <w:sz w:val="20"/>
          <w:szCs w:val="20"/>
        </w:rPr>
        <w:t xml:space="preserve">CT1–CT28 outcome taxonomy</w:t>
      </w:r>
      <w:r>
        <w:rPr>
          <w:sz w:val="20"/>
          <w:szCs w:val="20"/>
        </w:rPr>
        <w:t xml:space="preserve"> across the </w:t>
      </w:r>
      <w:r>
        <w:rPr>
          <w:b/>
          <w:bCs/>
          <w:sz w:val="20"/>
          <w:szCs w:val="20"/>
        </w:rPr>
        <w:t xml:space="preserve">five Payment Nature categories</w:t>
      </w:r>
      <w:r>
        <w:rPr>
          <w:sz w:val="20"/>
          <w:szCs w:val="20"/>
        </w:rPr>
        <w:t xml:space="preserve"> (Customer→Customer, Institution→Customer, Customer→Institution, Institution→Institution, Supplier/Employee) and the </w:t>
      </w:r>
      <w:r>
        <w:rPr>
          <w:b/>
          <w:bCs/>
          <w:sz w:val="20"/>
          <w:szCs w:val="20"/>
        </w:rPr>
        <w:t xml:space="preserve">seven payments lifecycle stages</w:t>
      </w:r>
      <w:r>
        <w:rPr>
          <w:sz w:val="20"/>
          <w:szCs w:val="20"/>
        </w:rPr>
        <w:t xml:space="preserve"> (A Initiation → G Returns and Recoveries).</w:t>
      </w:r>
    </w:p>
    <w:p>
      <w:pPr>
        <w:spacing w:after="100" w:before="0"/>
        <w:jc w:val="left"/>
      </w:pPr>
      <w:r>
        <w:rPr>
          <w:i/>
          <w:iCs/>
          <w:color w:val="595959"/>
          <w:sz w:val="20"/>
          <w:szCs w:val="20"/>
        </w:rPr>
        <w:t xml:space="preserve">This runbook describes the twelve steps that take us from raw source data to decision-grade findings: coverage heatmaps, gap register, duplicate clusters, JUNO registration backlog, monitoring baseline.</w:t>
      </w:r>
    </w:p>
    <w:p>
      <w:pPr>
        <w:spacing w:after="140" w:before="280"/>
      </w:pPr>
      <w:r>
        <w:rPr>
          <w:b/>
          <w:bCs/>
          <w:color w:val="1F3864"/>
          <w:sz w:val="26"/>
          <w:szCs w:val="26"/>
        </w:rPr>
        <w:t xml:space="preserve">At a glance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2600"/>
        <w:gridCol w:w="2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output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Profile and load the source data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Schema dictionary, gap list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Find the payment processes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process register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SQL + LLM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Classify Payment Nature for each payment process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 × Payment Nature mapping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LLM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Find the payment controls in JUNO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JUNO control population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SQL + LLM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Discover bespoke controls outside JUNO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Bespoke control register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LLM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Run the convergence loop between steps 2 and 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Stabilised populations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Assign Payment Nature to each control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Control × Payment Nature mapping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SQL + LLM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Map each control to CT outcomes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Control × CT mapping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LLM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Place each control in the payment lifecycle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Control × lifecycle stage mapping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LLM + 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10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Build the bridge table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 × Control × CT × Nature × stage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11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Produce the analytical outputs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Coverage, gaps, duplicates, backlog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12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Validate against golden sets (gates 2, 3, 5, 7, 8, 9)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 / iterate decision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SME + SQL</w:t>
            </w:r>
          </w:p>
        </w:tc>
      </w:tr>
    </w:tbl>
    <w:p>
      <w:pPr>
        <w:spacing w:after="100" w:before="120"/>
      </w:pPr>
      <w:r>
        <w:rPr>
          <w:b/>
          <w:bCs/>
          <w:color w:val="1F3864"/>
          <w:sz w:val="20"/>
          <w:szCs w:val="20"/>
        </w:rPr>
        <w:t xml:space="preserve">Two threads of work. </w:t>
      </w:r>
      <w:r>
        <w:rPr>
          <w:sz w:val="20"/>
          <w:szCs w:val="20"/>
        </w:rPr>
        <w:t xml:space="preserve">Steps 1–6 build the populations (processes and controls). Steps 7–11 enrich and exploit them. Step 12 sits over the top of every LLM-driven step as a gate.</w:t>
      </w:r>
    </w:p>
    <w:p>
      <w:pPr>
        <w:spacing w:after="140" w:before="280"/>
      </w:pPr>
      <w:r>
        <w:rPr>
          <w:b/>
          <w:bCs/>
          <w:color w:val="1F3864"/>
          <w:sz w:val="26"/>
          <w:szCs w:val="26"/>
        </w:rPr>
        <w:t xml:space="preserve">The twelve steps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single" w:color="1F3864" w:sz="12"/>
              <w:right w:val="none" w:color="FFFFFF" w:sz="0"/>
            </w:tcBorders>
            <w:tcMar>
              <w:top w:type="dxa" w:w="32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pacing w:val="60"/>
                <w:sz w:val="18"/>
                <w:szCs w:val="18"/>
              </w:rPr>
              <w:t xml:space="preserve">STEP 1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Profile and load the source data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Establish what we actually have before we make any decisions about what to do with it.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Inputs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JUNO control extract (full universe, not pre-filtered)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Holocentric process extract (full universe)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Linkage tables (Control↔Process, Control↔Obligation, Control↔Incident, Control↔Issue)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Obligations, Incidents, Issues extracts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ALEX / Alfabet extracts (where available)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sz w:val="20"/>
                <w:szCs w:val="20"/>
              </w:rPr>
              <w:t xml:space="preserve">Load each dataset into Amp Code. For each: row count, column list, primary key, null rates on key fields, value distributions on categorical fields.</w:t>
            </w:r>
          </w:p>
          <w:p>
            <w:pPr>
              <w:spacing w:after="100" w:before="40"/>
              <w:jc w:val="left"/>
            </w:pPr>
            <w:r>
              <w:rPr>
                <w:sz w:val="20"/>
                <w:szCs w:val="20"/>
              </w:rPr>
              <w:t xml:space="preserve">Verify the join keys actually work: do CTRL_IDs in the linkage table all resolve to JUNO? Do BUS_UNIT_BCRM_IDs resolve to Holocentric? Record orphans.</w:t>
            </w:r>
          </w:p>
          <w:p>
            <w:pPr>
              <w:spacing w:after="100" w:before="40"/>
              <w:jc w:val="left"/>
            </w:pPr>
            <w:r>
              <w:rPr>
                <w:sz w:val="20"/>
                <w:szCs w:val="20"/>
              </w:rPr>
              <w:t xml:space="preserve">Build a schema dictionary that we reference throughout. Identify missing fields, missing datasets, surprises.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Schema dictionary (one row per field per dataset)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Data quality findings (orphan keys, null rates, surprises)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Go / no-go decision per downstream step based on data availability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Tool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Amp Code (SQL + pandas profiling)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single" w:color="1F3864" w:sz="12"/>
              <w:right w:val="none" w:color="FFFFFF" w:sz="0"/>
            </w:tcBorders>
            <w:tcMar>
              <w:top w:type="dxa" w:w="32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pacing w:val="60"/>
                <w:sz w:val="18"/>
                <w:szCs w:val="18"/>
              </w:rPr>
              <w:t xml:space="preserve">STEP 2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Find the payment processes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 a defensible register of payment processes that does not rely on a single tag or value stream being correctly assigned. Payment processes hide in non-payments value chains for legacy and modelling reasons; this step finds them.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Inputs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Holocentric process universe (from step 1)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Application register (Alfabet / ALEX, from step 1)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Linkage table (used in Pass 2+ via PP4)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sz w:val="20"/>
                <w:szCs w:val="20"/>
              </w:rPr>
              <w:t xml:space="preserve">Run six independent inclusion paths over the full Holocentric universe. A process is included in the payment process register if any one path fires.</w:t>
            </w:r>
          </w:p>
          <w:p>
            <w:pPr>
              <w:spacing w:after="40" w:before="60"/>
            </w:pPr>
            <w:r>
              <w:rPr>
                <w:b/>
                <w:bCs/>
                <w:sz w:val="20"/>
                <w:szCs w:val="20"/>
              </w:rPr>
              <w:t xml:space="preserve">Inclusion paths: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PP1 Hierarchy. </w:t>
            </w:r>
            <w:r>
              <w:rPr>
                <w:sz w:val="20"/>
                <w:szCs w:val="20"/>
              </w:rPr>
              <w:t xml:space="preserve">Process sits under a known payments L2/L3 family. SQL on hierarchy fields. High confidence.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PP2 Value stream. </w:t>
            </w:r>
            <w:r>
              <w:rPr>
                <w:sz w:val="20"/>
                <w:szCs w:val="20"/>
              </w:rPr>
              <w:t xml:space="preserve">Process belongs to a payments-relevant value stream. SQL on value_stream_name. High confidence.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PP3 Application. </w:t>
            </w:r>
            <w:r>
              <w:rPr>
                <w:sz w:val="20"/>
                <w:szCs w:val="20"/>
              </w:rPr>
              <w:t xml:space="preserve">Process references a payment-relevant application. SQL join via Holocentric.applications → Alfabet. Medium confidence.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PP4 Control linkage (reverse). </w:t>
            </w:r>
            <w:r>
              <w:rPr>
                <w:sz w:val="20"/>
                <w:szCs w:val="20"/>
              </w:rPr>
              <w:t xml:space="preserve">Process is linked to a control already included in step 4 as a payment control. Populated in Pass 2+ of the convergence loop (step 6). High confidence.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PP5 Keyword. </w:t>
            </w:r>
            <w:r>
              <w:rPr>
                <w:sz w:val="20"/>
                <w:szCs w:val="20"/>
              </w:rPr>
              <w:t xml:space="preserve">Process name or step description contains controlled payment terms (settlement, clearing, NPP, RTGS, BPAY, BECS, Osko, direct debit). SQL regex. Low confidence → SME.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PP6 Embedding similarity. </w:t>
            </w:r>
            <w:r>
              <w:rPr>
                <w:sz w:val="20"/>
                <w:szCs w:val="20"/>
              </w:rPr>
              <w:t xml:space="preserve">Process embedding within calibrated cosine distance of the high-confidence core (PP1–PP3). Catches semantic kin without keyword matching. Low/medium confidence → SME.</w:t>
            </w:r>
          </w:p>
          <w:p>
            <w:pPr>
              <w:spacing w:after="100" w:before="80"/>
              <w:jc w:val="left"/>
            </w:pPr>
            <w:r>
              <w:rPr>
                <w:sz w:val="20"/>
                <w:szCs w:val="20"/>
              </w:rPr>
              <w:t xml:space="preserve">For each included process record: paths fired, primary path, inclusion confidence (High = ≥2 paths fire including ≥1 of PP1–PP3; Medium = exactly one of PP1–PP3 fires; Low = only PP5/PP6 fires).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Payment process register (one row per process; columns include all paths fired, primary path, confidence)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SME queue (Low-confidence inclusions)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Audit log: for every Holocentric process, the paths evaluated and the decision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Tool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Amp Code (SQL for PP1–PP5, LLM-via-Amp for PP6 embeddings)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Gate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color w:val="C00000"/>
                <w:sz w:val="20"/>
                <w:szCs w:val="20"/>
              </w:rPr>
              <w:t xml:space="preserve">Golden set validation in step 12 must pass before scaling the LLM-driven paths.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single" w:color="1F3864" w:sz="12"/>
              <w:right w:val="none" w:color="FFFFFF" w:sz="0"/>
            </w:tcBorders>
            <w:tcMar>
              <w:top w:type="dxa" w:w="32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pacing w:val="60"/>
                <w:sz w:val="18"/>
                <w:szCs w:val="18"/>
              </w:rPr>
              <w:t xml:space="preserve">STEP 3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Classify Payment Nature for each payment process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Tag every payment process with one or more Payment Natures. Inherent risk varies by nature; coverage assessment depends on this stratification.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Inputs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Payment process register (from step 2)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sz w:val="20"/>
                <w:szCs w:val="20"/>
              </w:rPr>
              <w:t xml:space="preserve">For each process in the payment process register, run the LLM to classify Payment Nature. A process can have multiple natures (it serves multiple flows). The LLM returns all applicable natures with per-nature confidence and grounded rationale.</w:t>
            </w:r>
          </w:p>
          <w:p>
            <w:pPr>
              <w:spacing w:after="40" w:before="60"/>
            </w:pPr>
            <w:r>
              <w:rPr>
                <w:b/>
                <w:bCs/>
                <w:sz w:val="20"/>
                <w:szCs w:val="20"/>
              </w:rPr>
              <w:t xml:space="preserve">Prompt shape: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System context: </w:t>
            </w:r>
            <w:r>
              <w:rPr>
                <w:sz w:val="20"/>
                <w:szCs w:val="20"/>
              </w:rPr>
              <w:t xml:space="preserve">the five Payment Nature definitions and the inherent risk attached to each (C→C and I→C are High; C→I and I→I are Medium; Supplier/Employee is Low).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Per-process input: </w:t>
            </w:r>
            <w:r>
              <w:rPr>
                <w:sz w:val="20"/>
                <w:szCs w:val="20"/>
              </w:rPr>
              <w:t xml:space="preserve">process name, step descriptions, value stream, applications used.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Per-process output: </w:t>
            </w:r>
            <w:r>
              <w:rPr>
                <w:sz w:val="20"/>
                <w:szCs w:val="20"/>
              </w:rPr>
              <w:t xml:space="preserve">list of applicable Payment Natures, per-nature confidence (H/M/L), 1–2 sentence rationale citing source text, requires-SME flag if any confidence is Low.</w:t>
            </w:r>
          </w:p>
          <w:p>
            <w:pPr>
              <w:spacing w:after="100" w:before="80"/>
              <w:jc w:val="left"/>
            </w:pPr>
            <w:r>
              <w:rPr>
                <w:sz w:val="20"/>
                <w:szCs w:val="20"/>
              </w:rPr>
              <w:t xml:space="preserve">Single-process calls. Structured JSON output, schema-enforced. Model ID and prompt version captured for every result.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Process × Payment Nature mapping (one row per process per nature)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Process records updated with primary nature + all applicable natures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SME queue for Low-confidence assignments and multi-nature edge cases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Tool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Amp Code (LLM)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Gate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color w:val="C00000"/>
                <w:sz w:val="20"/>
                <w:szCs w:val="20"/>
              </w:rPr>
              <w:t xml:space="preserve">Golden set: ~30 processes (clear-in single-nature, multi-nature, ambiguous). Precision and recall measured per nature. Target: precision ≥0.85, recall ≥0.80.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single" w:color="1F3864" w:sz="12"/>
              <w:right w:val="none" w:color="FFFFFF" w:sz="0"/>
            </w:tcBorders>
            <w:tcMar>
              <w:top w:type="dxa" w:w="32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pacing w:val="60"/>
                <w:sz w:val="18"/>
                <w:szCs w:val="18"/>
              </w:rPr>
              <w:t xml:space="preserve">STEP 4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Find the payment controls in JUNO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 a defensible JUNO control population. The 7.4.x tag alone is unsound: payment controls also exist under other libraries, owned by non-Payments BUs, or registered before the current taxonomy.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Inputs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JUNO control universe (from step 1)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Linkage tables (Control↔Process, Control↔Obligation, Control↔Incident, Control↔Issue)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Payment process register (for P2)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sz w:val="20"/>
                <w:szCs w:val="20"/>
              </w:rPr>
              <w:t xml:space="preserve">Run six independent inclusion paths over the full JUNO control universe. A control is included if any one path fires. Symmetric to step 2.</w:t>
            </w:r>
          </w:p>
          <w:p>
            <w:pPr>
              <w:spacing w:after="40" w:before="60"/>
            </w:pPr>
            <w:r>
              <w:rPr>
                <w:b/>
                <w:bCs/>
                <w:sz w:val="20"/>
                <w:szCs w:val="20"/>
              </w:rPr>
              <w:t xml:space="preserve">Inclusion paths: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P1 Taxonomy tag. </w:t>
            </w:r>
            <w:r>
              <w:rPr>
                <w:sz w:val="20"/>
                <w:szCs w:val="20"/>
              </w:rPr>
              <w:t xml:space="preserve">Control's risk_library_id is in the 7.4.x Payments family. High confidence.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P2 Process linkage. </w:t>
            </w:r>
            <w:r>
              <w:rPr>
                <w:sz w:val="20"/>
                <w:szCs w:val="20"/>
              </w:rPr>
              <w:t xml:space="preserve">Control linked to a process classified as payment in step 2. High confidence.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P3 Obligation linkage. </w:t>
            </w:r>
            <w:r>
              <w:rPr>
                <w:sz w:val="20"/>
                <w:szCs w:val="20"/>
              </w:rPr>
              <w:t xml:space="preserve">Control linked to an obligation derived from payments regulation (NPP, BECS, RBA, ePayments Code, AUSTRAC). High confidence.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P4 Incident / issue linkage. </w:t>
            </w:r>
            <w:r>
              <w:rPr>
                <w:sz w:val="20"/>
                <w:szCs w:val="20"/>
              </w:rPr>
              <w:t xml:space="preserve">Control linked to a payments-classified incident or issue. Medium confidence.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P5 Keyword. </w:t>
            </w:r>
            <w:r>
              <w:rPr>
                <w:sz w:val="20"/>
                <w:szCs w:val="20"/>
              </w:rPr>
              <w:t xml:space="preserve">Control name/description contains controlled payment terms. Low confidence → SME.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P6 Embedding similarity. </w:t>
            </w:r>
            <w:r>
              <w:rPr>
                <w:sz w:val="20"/>
                <w:szCs w:val="20"/>
              </w:rPr>
              <w:t xml:space="preserve">Control embedding within calibrated cosine distance of the high-confidence core (controls firing P1–P3). Low/medium confidence → SME.</w:t>
            </w:r>
          </w:p>
          <w:p>
            <w:pPr>
              <w:spacing w:after="40" w:before="100"/>
            </w:pPr>
            <w:r>
              <w:rPr>
                <w:b/>
                <w:bCs/>
                <w:sz w:val="20"/>
                <w:szCs w:val="20"/>
              </w:rPr>
              <w:t xml:space="preserve">Enrichment signals (do not trigger inclusion alone, but boost confidence and prioritise SME queue):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Owner clustering. </w:t>
            </w:r>
            <w:r>
              <w:rPr>
                <w:sz w:val="20"/>
                <w:szCs w:val="20"/>
              </w:rPr>
              <w:t xml:space="preserve">If a BU has ≥80% of its controls included via P1–P3, surface its remaining controls as candidates.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Process-adjacency. </w:t>
            </w:r>
            <w:r>
              <w:rPr>
                <w:sz w:val="20"/>
                <w:szCs w:val="20"/>
              </w:rPr>
              <w:t xml:space="preserve">Controls owned by the same BU or operating on the same system as already-linked controls, but not themselves linked.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JUNO payment control population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SME queue (Low-confidence inclusions, enrichment-surfaced candidates)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Audit log: every JUNO control with paths evaluated and decision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Taxonomy hygiene finding: proportion of payment controls included via paths other than P1 – a reportable result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Tool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Amp Code (SQL for P1–P5, LLM-via-Amp for P6 embeddings)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Gate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color w:val="C00000"/>
                <w:sz w:val="20"/>
                <w:szCs w:val="20"/>
              </w:rPr>
              <w:t xml:space="preserve">Golden set in step 12 must pass before scaling P6.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single" w:color="1F3864" w:sz="12"/>
              <w:right w:val="none" w:color="FFFFFF" w:sz="0"/>
            </w:tcBorders>
            <w:tcMar>
              <w:top w:type="dxa" w:w="32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pacing w:val="60"/>
                <w:sz w:val="18"/>
                <w:szCs w:val="18"/>
              </w:rPr>
              <w:t xml:space="preserve">STEP 5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Discover bespoke controls outside JUNO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controls that exist in practice but are not registered in JUNO. The PoC assesses the effective control environment; controls that mitigate risk but aren't formally registered must be surfaced (and become the JUNO registration backlog).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Inputs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Payment process register (from step 2)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JUNO control population (from step 4) for fuzzy matching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ALEX/Alfabet (conditional)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Incidents and issues with remediation/action text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sz w:val="20"/>
                <w:szCs w:val="20"/>
              </w:rPr>
              <w:t xml:space="preserve">Three streams of bespoke control discovery, each LLM-driven. Output is a single unified bespoke control register that flows into all downstream steps.</w:t>
            </w:r>
          </w:p>
          <w:p>
            <w:pPr>
              <w:spacing w:after="40" w:before="1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Stream A — Holocentric process-step controls.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Scope: every process in the payment process register.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For each step in each process, LLM classifies: "does this step perform a control function?" (check, approval, validation, reconciliation, segregation, threshold enforcement, dual control, monitoring).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If positive, fuzzy-match against JUNO controls linked to this process. Matched → already registered. Unmatched → candidate bespoke control.</w:t>
            </w:r>
          </w:p>
          <w:p>
            <w:pPr>
              <w:spacing w:after="40" w:before="1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Stream B — ALEX / Alfabet system-enforced controls.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Scope: payment-relevant applications identified in step 2 via Holocentric → Application.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LLM classification of configuration items, role definitions, enforcement rules from ALEX/Alfabet.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Cross-check against JUNO automated controls for the same application.</w:t>
            </w:r>
          </w:p>
          <w:p>
            <w:pPr>
              <w:spacing w:after="100" w:before="0"/>
            </w:pPr>
            <w:r>
              <w:rPr>
                <w:b/>
                <w:bCs/>
                <w:color w:val="B07A00"/>
                <w:sz w:val="20"/>
                <w:szCs w:val="20"/>
              </w:rPr>
              <w:t xml:space="preserve">Conditional on ALEX data availability. </w:t>
            </w:r>
            <w:r>
              <w:rPr>
                <w:sz w:val="20"/>
                <w:szCs w:val="20"/>
              </w:rPr>
              <w:t xml:space="preserve">If configuration data is not present in ALEX/Alfabet, this stream is deferred to a subsequent phase.</w:t>
            </w:r>
          </w:p>
          <w:p>
            <w:pPr>
              <w:spacing w:after="40" w:before="1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Stream C — Implicit controls in incident remediation and issue closure text.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Scope: remediation/action text on payments-classified incidents and issues.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LLM extracts 'control-like' statements that describe checks, approvals, validations, monitoring activities, or systemic enforcement put in place.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Fuzzy-match each extracted statement against JUNO. Unmatched → candidate bespoke control.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High precision (these controls exist deliberately, in response to known failures); lower recall (only what's documented).</w:t>
            </w:r>
          </w:p>
          <w:p>
            <w:pPr>
              <w:spacing w:after="40" w:before="1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Deduplication.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After all three streams complete, fuzzy-match across the bespoke register itself. Collapse duplicates while preserving all source references.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Bespoke control register (one row per discovered bespoke control: source, source ID, extracted description, control category, confidence, linked process, linked application)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JUNO registration backlog (SME-confirmed bespoke controls that should be registered)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Reclassification candidates (low-confidence matches against existing JUNO controls)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Registration completeness finding: proportion of effective control behaviour currently registered in JUNO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Tool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Amp Code (LLM for extraction and classification; SQL for fuzzy matching)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Gate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color w:val="C00000"/>
                <w:sz w:val="20"/>
                <w:szCs w:val="20"/>
              </w:rPr>
              <w:t xml:space="preserve">Golden set: ~20 process steps + ~10 configs + ~10 remediation texts with SME-pre-assigned 'is this a control?' labels. Precision target: ≥0.75 (extraction is harder than classification; false positives are caught by SME).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single" w:color="1F3864" w:sz="12"/>
              <w:right w:val="none" w:color="FFFFFF" w:sz="0"/>
            </w:tcBorders>
            <w:tcMar>
              <w:top w:type="dxa" w:w="32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pacing w:val="60"/>
                <w:sz w:val="18"/>
                <w:szCs w:val="18"/>
              </w:rPr>
              <w:t xml:space="preserve">STEP 6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Run the convergence loop between steps 2 and 4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Resolve the mutual dependency between the process and control populations. A confirmed payment control reveals a payment process (PP4); a confirmed payment process reveals a payment control (P2). Iterate until the populations stop growing.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Inputs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Pass 1 outputs of steps 2 and 4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sz w:val="20"/>
                <w:szCs w:val="20"/>
              </w:rPr>
              <w:t xml:space="preserve">Steps 2 and 4 reference each other (PP4 reads from step 4 output; P2 reads from step 2 output). Run them iteratively until both populations stabilise.</w:t>
            </w:r>
          </w:p>
          <w:p>
            <w:pPr>
              <w:spacing w:after="40" w:before="80"/>
            </w:pPr>
            <w:r>
              <w:rPr>
                <w:b/>
                <w:bCs/>
                <w:sz w:val="20"/>
                <w:szCs w:val="20"/>
              </w:rPr>
              <w:t xml:space="preserve">Loop logic:</w:t>
            </w:r>
          </w:p>
          <w:p>
            <w:pPr>
              <w:spacing w:after="60"/>
              <w:ind w:left="28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Pass 1:   Step 2 runs PP1–PP3, PP5, PP6   (no PP4 yet)</w:t>
            </w:r>
          </w:p>
          <w:p>
            <w:pPr>
              <w:spacing w:after="60"/>
              <w:ind w:left="28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Step 4 runs P1, P3–P6           (no P2 yet)</w:t>
            </w:r>
          </w:p>
          <w:p>
            <w:pPr>
              <w:spacing w:after="60"/>
              <w:ind w:left="28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Pass 2:   Step 2 re-runs adding PP4 using step 4 Pass 1 output</w:t>
            </w:r>
          </w:p>
          <w:p>
            <w:pPr>
              <w:spacing w:after="60"/>
              <w:ind w:left="28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Step 4 re-runs adding P2 using step 2 Pass 2 output</w:t>
            </w:r>
          </w:p>
          <w:p>
            <w:pPr>
              <w:spacing w:after="60"/>
              <w:ind w:left="28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Pass N:   continue until neither step adds new H/M confidence items</w:t>
            </w:r>
          </w:p>
          <w:p>
            <w:pPr>
              <w:spacing w:after="100" w:before="80"/>
              <w:jc w:val="left"/>
            </w:pPr>
            <w:r>
              <w:rPr>
                <w:sz w:val="20"/>
                <w:szCs w:val="20"/>
              </w:rPr>
              <w:t xml:space="preserve">Convergence is guaranteed because each pass can only add items, never remove. Typical convergence: 2–3 passes. Hard cap at 5 passes; residual flagged for manual review if not stabilised.</w:t>
            </w:r>
          </w:p>
          <w:p>
            <w:pPr>
              <w:spacing w:after="100" w:before="40"/>
              <w:jc w:val="left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Pass-by-pass deltas are logged. They show how much each step contributes to the other's population – a quality signal in its own right.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Stabilised payment process register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Stabilised JUNO payment control population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Pass-by-pass delta log (number of new items added each pass)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Tool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Amp Code (orchestration script that drives steps 2 and 4 alternately)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single" w:color="1F3864" w:sz="12"/>
              <w:right w:val="none" w:color="FFFFFF" w:sz="0"/>
            </w:tcBorders>
            <w:tcMar>
              <w:top w:type="dxa" w:w="32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pacing w:val="60"/>
                <w:sz w:val="18"/>
                <w:szCs w:val="18"/>
              </w:rPr>
              <w:t xml:space="preserve">STEP 7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Assign Payment Nature to each control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Every control needs a Payment Nature for the coverage assessment to work. Inheritance from linked processes is the primary method; LLM fills in where linkage doesn't exist; LLM sanity check catches errors in upstream steps.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Inputs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Stabilised control population (JUNO from step 4 + bespoke from step 5, after step 6 convergence)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Process × Payment Nature mapping (from step 3)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Linkage table (Control↔Process)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sz w:val="20"/>
                <w:szCs w:val="20"/>
              </w:rPr>
              <w:t xml:space="preserve">Two paths run in sequence: deterministic inheritance first, LLM where inheritance can't fire, LLM sanity check on a sample of inherited assignments.</w:t>
            </w:r>
          </w:p>
          <w:p>
            <w:pPr>
              <w:spacing w:after="40" w:before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7a. Primary path — inheritance.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For every control with at least one process linkage, inherit the union of Payment Natures of the linked processes.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Example: control linked to two processes – process A is Customer→Customer, process B is Supplier/Employee – the control receives both natures.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Confidence: High.</w:t>
            </w:r>
          </w:p>
          <w:p>
            <w:pPr>
              <w:spacing w:after="40" w:before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7b. Fallback — LLM classification for unlinked controls.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Scope: controls with no process linkage. Includes bespoke controls from step 5 stream C (incident remediation) where process linkage is often weak.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LLM input: control description + any linked obligation/incident text + owner BU. LLM output: applicable Payment Natures with confidence and rationale.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Confidence: Medium at best (input is less grounded than for inherited controls).</w:t>
            </w:r>
          </w:p>
          <w:p>
            <w:pPr>
              <w:spacing w:after="40" w:before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7c. Sanity check — LLM audit on inherited sample.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Stratified sample (~10%) of High-confidence inherited classifications. LLM is asked to classify the control directly; result compared to the inherited assignment.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Disagreement flags one of: wrong process linkage, wrong Payment Nature on the process, or a control that operates differently than its linked process suggests. Each is a real finding.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Disagreement rate above threshold (e.g. 15%) triggers expanded SME review and a re-audit of the process Payment Nature assignments from step 3.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Control × Payment Nature mapping (one row per control per nature)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Sanity-check disagreement log (potential errors in steps 2, 3, or in linkage data)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SME queue for Medium-confidence LLM fallback classifications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Tool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Amp Code (SQL for inheritance, LLM for fallback and sanity check)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Gate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color w:val="C00000"/>
                <w:sz w:val="20"/>
                <w:szCs w:val="20"/>
              </w:rPr>
              <w:t xml:space="preserve">Step 3 golden set already gates the upstream LLM. For step 7c the gate is the disagreement rate – if &gt;15%, halt and re-validate step 3.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single" w:color="1F3864" w:sz="12"/>
              <w:right w:val="none" w:color="FFFFFF" w:sz="0"/>
            </w:tcBorders>
            <w:tcMar>
              <w:top w:type="dxa" w:w="32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pacing w:val="60"/>
                <w:sz w:val="18"/>
                <w:szCs w:val="18"/>
              </w:rPr>
              <w:t xml:space="preserve">STEP 8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Map each control to CT1–CT28 outcomes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CT taxonomy is the yardstick for sufficiency. This step maps every control – JUNO or bespoke – to the CT outcomes it actually delivers. No deterministic shortcut exists; the CT taxonomy doesn't appear in source data.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Inputs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Unified control population with Payment Nature (from step 7)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CT1–CT28 definitions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Linkage data for conditioning context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sz w:val="20"/>
                <w:szCs w:val="20"/>
              </w:rPr>
              <w:t xml:space="preserve">Every control in the unified population runs through the LLM. CT mapping is one-to-many: a single control can satisfy multiple CT outcomes.</w:t>
            </w:r>
          </w:p>
          <w:p>
            <w:pPr>
              <w:spacing w:after="40" w:before="80"/>
            </w:pPr>
            <w:r>
              <w:rPr>
                <w:b/>
                <w:bCs/>
                <w:sz w:val="20"/>
                <w:szCs w:val="20"/>
              </w:rPr>
              <w:t xml:space="preserve">Prompt design (deliberate choices):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Single-control calls, not batched. </w:t>
            </w:r>
            <w:r>
              <w:rPr>
                <w:sz w:val="20"/>
                <w:szCs w:val="20"/>
              </w:rPr>
              <w:t xml:space="preserve">Higher token cost; gains auditability and clean failure handling.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Model-agnostic. </w:t>
            </w:r>
            <w:r>
              <w:rPr>
                <w:sz w:val="20"/>
                <w:szCs w:val="20"/>
              </w:rPr>
              <w:t xml:space="preserve">Primary model first; second model re-runs the Low-confidence subset. Inter-model agreement is itself a confidence signal.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Structured JSON output. </w:t>
            </w:r>
            <w:r>
              <w:rPr>
                <w:sz w:val="20"/>
                <w:szCs w:val="20"/>
              </w:rPr>
              <w:t xml:space="preserve">Schema-enforced; free-form responses rejected and re-prompted.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Conditioning, not classification. </w:t>
            </w:r>
            <w:r>
              <w:rPr>
                <w:sz w:val="20"/>
                <w:szCs w:val="20"/>
              </w:rPr>
              <w:t xml:space="preserve">Structured fields (automation, control type, owner, registration source) are passed as context, not predicted.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Rationale grounded in source text. </w:t>
            </w:r>
            <w:r>
              <w:rPr>
                <w:sz w:val="20"/>
                <w:szCs w:val="20"/>
              </w:rPr>
              <w:t xml:space="preserve">Every CT assignment cites the phrase in the source that justifies it. Ungrounded mappings rejected.</w:t>
            </w:r>
          </w:p>
          <w:p>
            <w:pPr>
              <w:spacing w:after="40" w:before="80"/>
            </w:pPr>
            <w:r>
              <w:rPr>
                <w:b/>
                <w:bCs/>
                <w:sz w:val="20"/>
                <w:szCs w:val="20"/>
              </w:rPr>
              <w:t xml:space="preserve">Per-control input: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Source type (JUNO / Holocentric step / ALEX config / remediation text) and primary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Conditioning fields: control type, automation level, key control flag, owner BU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Linked process names (where available), Payment Nature(s) from step 7</w:t>
            </w:r>
          </w:p>
          <w:p>
            <w:pPr>
              <w:spacing w:after="40" w:before="80"/>
            </w:pPr>
            <w:r>
              <w:rPr>
                <w:b/>
                <w:bCs/>
                <w:sz w:val="20"/>
                <w:szCs w:val="20"/>
              </w:rPr>
              <w:t xml:space="preserve">Per-control output: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List of applicable CTs (1–N), each with confidence (H/M/L) and rationale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Match type per CT: Direct / Partial / Adjacent / No-Match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Requires-SME flag with reason if any confidence is 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Provenance: model ID, prompt version, run timestamp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Control × CT mapping (one row per control per CT)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Per-mapping rationale and confidence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Disagreement log between models (controls where model 1 and model 2 returned different CTs)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SME queue for Low-confidence and disagreement cases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Tool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Amp Code (LLM; primary and cross-check models)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Gate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color w:val="C00000"/>
                <w:sz w:val="20"/>
                <w:szCs w:val="20"/>
              </w:rPr>
              <w:t xml:space="preserve">Golden set: ~50 controls stratified by CT, automation, key flag, source type. Targets: CT precision ≥0.85, CT recall ≥0.80.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single" w:color="1F3864" w:sz="12"/>
              <w:right w:val="none" w:color="FFFFFF" w:sz="0"/>
            </w:tcBorders>
            <w:tcMar>
              <w:top w:type="dxa" w:w="32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pacing w:val="60"/>
                <w:sz w:val="18"/>
                <w:szCs w:val="18"/>
              </w:rPr>
              <w:t xml:space="preserve">STEP 9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Place each control in the payment lifecycle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Every control operates at a specific stage of the payment lifecycle. Coverage assessment depends on knowing where each control fires – a validation control that misfires at settlement is a misplacement finding, and gaps at specific stages are higher-priority than gaps overall.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Inputs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Control population with CT mapping (from step 8)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Linked Holocentric process step labels where available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sz w:val="20"/>
                <w:szCs w:val="20"/>
              </w:rPr>
              <w:t xml:space="preserve">LLM-driven primary, with a structural sanity check from linked process step data.</w:t>
            </w:r>
          </w:p>
          <w:p>
            <w:pPr>
              <w:spacing w:after="40" w:before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9a. LLM placement.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For each control: input = control text + Payment Nature + linked process info; output = lifecycle stage (A–G) + confidence + rationale citing source.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Can be combined with step 8 into a single LLM call per control – saves tokens, gives the model coherent context for both decisions. Recommend keeping combined unless validation reveals interference.</w:t>
            </w:r>
          </w:p>
          <w:p>
            <w:pPr>
              <w:spacing w:after="40" w:before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9b. Structural sanity check.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Where Holocentric process steps are labelled explicitly (e.g. 'Validation', 'Authorisation', 'Settlement', 'Reconciliation', 'Notification'), derive an expected lifecycle stage from the step name.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For controls linked to a process step with a derivable expected stage, compare the LLM placement to the structural expectation.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Disagreement is a quality signal: either the LLM is wrong, the process step is mislabelled in Holocentric, or the control operates at a different stage than its linked step (which is itself a misplacement finding – see step 11's gap register).</w:t>
            </w:r>
          </w:p>
          <w:p>
            <w:pPr>
              <w:spacing w:after="40" w:before="80"/>
            </w:pPr>
            <w:r>
              <w:rPr>
                <w:b/>
                <w:bCs/>
                <w:sz w:val="20"/>
                <w:szCs w:val="20"/>
              </w:rPr>
              <w:t xml:space="preserve">Lifecycle stages:</w:t>
            </w:r>
          </w:p>
          <w:p>
            <w:pPr>
              <w:spacing w:after="60"/>
              <w:ind w:left="28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 Initiation                                       E Posting and accounting</w:t>
            </w:r>
          </w:p>
          <w:p>
            <w:pPr>
              <w:spacing w:after="60"/>
              <w:ind w:left="28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 Validation and authorisation                     F Notification, reporting, detection</w:t>
            </w:r>
          </w:p>
          <w:p>
            <w:pPr>
              <w:spacing w:after="60"/>
              <w:ind w:left="28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 Instruction release / early processing           G Returns, rejects, recalls, errors, recoveries</w:t>
            </w:r>
          </w:p>
          <w:p>
            <w:pPr>
              <w:spacing w:after="60"/>
              <w:ind w:left="28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 Clearing and settlement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Control × lifecycle stage mapping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Misplacement candidates (LLM placement disagrees with structural expectation)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SME queue for disagreement cases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Tool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Amp Code (LLM combined with step 8; SQL for structural derivation)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Gate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color w:val="C00000"/>
                <w:sz w:val="20"/>
                <w:szCs w:val="20"/>
              </w:rPr>
              <w:t xml:space="preserve">Golden set: lifecycle stage exact-match accuracy ≥0.80 on the same ~50 control sample used for step 8.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single" w:color="1F3864" w:sz="12"/>
              <w:right w:val="none" w:color="FFFFFF" w:sz="0"/>
            </w:tcBorders>
            <w:tcMar>
              <w:top w:type="dxa" w:w="32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pacing w:val="60"/>
                <w:sz w:val="18"/>
                <w:szCs w:val="18"/>
              </w:rPr>
              <w:t xml:space="preserve">STEP 10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Build the bridge table (Process × Control × CT × Nature × Stage)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Compose all upstream outputs into a single analytical table that every output in step 11 queries. The bridge is the data model that makes coverage, gap and duplicate queries possible – it is not a separate piece of analysis, it is the foundation underneath them.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Inputs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Outputs of steps 2, 3, 4, 5, 6, 7, 8, 9 + linkage tables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sz w:val="20"/>
                <w:szCs w:val="20"/>
              </w:rPr>
              <w:t xml:space="preserve">The bridge is the master analytical table. Everything downstream queries it. Pure SQL – no LLM at this step.</w:t>
            </w:r>
          </w:p>
          <w:p>
            <w:pPr>
              <w:spacing w:after="40" w:before="80"/>
            </w:pPr>
            <w:r>
              <w:rPr>
                <w:b/>
                <w:bCs/>
                <w:sz w:val="20"/>
                <w:szCs w:val="20"/>
              </w:rPr>
              <w:t xml:space="preserve">Join logic:</w:t>
            </w:r>
          </w:p>
          <w:p>
            <w:pPr>
              <w:spacing w:after="60"/>
              <w:ind w:left="28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Linkage.CTRL_ID            →  Controls.CTRL_ID</w:t>
            </w:r>
          </w:p>
          <w:p>
            <w:pPr>
              <w:spacing w:after="60"/>
              <w:ind w:left="28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Linkage.BUS_UNIT_BCRM_ID   →  Holocentric.l3_activity_id   (fallback l2_process_id)</w:t>
            </w:r>
          </w:p>
          <w:p>
            <w:pPr>
              <w:spacing w:after="60"/>
              <w:ind w:left="28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BespokeControl.process_id  →  Holocentric.l3_activity_id   (step 5 internal linkage)</w:t>
            </w:r>
          </w:p>
          <w:p>
            <w:pPr>
              <w:spacing w:after="60"/>
              <w:ind w:left="28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Holocentric.applications   →  Alfabet.application_id        (enrichment)</w:t>
            </w:r>
          </w:p>
          <w:p>
            <w:pPr>
              <w:spacing w:after="40" w:before="100"/>
            </w:pPr>
            <w:r>
              <w:rPr>
                <w:b/>
                <w:bCs/>
                <w:sz w:val="20"/>
                <w:szCs w:val="20"/>
              </w:rPr>
              <w:t xml:space="preserve">Bridge row schema (one row per intersection):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process_id, process_name, process_value_stream, process_application(s)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control_id (JUNO) or bespoke_control_id, control_name, control_description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control_source (JUNO / bespoke-Holocentric / bespoke-ALEX / bespoke-remediation)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control_registration_status (Registered / Candidate / Confirmed unregistered)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ct_outcome (CT1–CT28), ct_confidence, ct_rationale, ct_match_type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payment_nature (one row per applicable nature), nature_inherent_risk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lifecycle_stage (A–G), lifecycle_confidence, structural_check_status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control_design_effectiveness, control_operating_effectiveness, control_overall_effectiveness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provenance: prompt_version, model_id, run_timestamp</w:t>
            </w:r>
          </w:p>
          <w:p>
            <w:pPr>
              <w:spacing w:after="100" w:before="100"/>
              <w:jc w:val="left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Every analytical output in step 11 is a query over this table. The bridge is what makes the PoC answerable.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Master bridge table (one row per process × control × CT × nature × stage intersection)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Indexed for query performance on the five filter dimensions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Tool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Amp Code (SQL)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single" w:color="1F3864" w:sz="12"/>
              <w:right w:val="none" w:color="FFFFFF" w:sz="0"/>
            </w:tcBorders>
            <w:tcMar>
              <w:top w:type="dxa" w:w="32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pacing w:val="60"/>
                <w:sz w:val="18"/>
                <w:szCs w:val="18"/>
              </w:rPr>
              <w:t xml:space="preserve">STEP 11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Produce the analytical outputs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Generate the five outputs that answer the sufficiency question. Each is a query (or query family) over the bridge table.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Inputs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Bridge table (from step 10)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Control ratings, incident/issue linkages, application criticality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sz w:val="20"/>
                <w:szCs w:val="20"/>
              </w:rPr>
              <w:t xml:space="preserve">Each output is a SQL query (or set of queries) over the bridge table. No LLM at this step.</w:t>
            </w:r>
          </w:p>
          <w:p>
            <w:pPr>
              <w:spacing w:after="40" w:before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11a. Coverage heatmaps.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Payment Nature × CT: cell value = count of controls + coverage rating (Strong/Moderate/Weak/None).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Value Stream × CT: alternative cut for value-chain owners.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Process × CT: granular cut for control owners working a specific process.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Each cell shows: registered controls count, bespoke candidates count, weak-rated count, incident-linked count.</w:t>
            </w:r>
          </w:p>
          <w:p>
            <w:pPr>
              <w:spacing w:after="40" w:before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11b. Gap register.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Type A No coverage. </w:t>
            </w:r>
            <w:r>
              <w:rPr>
                <w:sz w:val="20"/>
                <w:szCs w:val="20"/>
              </w:rPr>
              <w:t xml:space="preserve">CT outcome with zero mapped controls in a given Payment Nature.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Type B Rated insufficient. </w:t>
            </w:r>
            <w:r>
              <w:rPr>
                <w:sz w:val="20"/>
                <w:szCs w:val="20"/>
              </w:rPr>
              <w:t xml:space="preserve">All mapped controls rated Requires Improvement / Ineffective. Expected to be a small population.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Type C Unverified coverage. </w:t>
            </w:r>
            <w:r>
              <w:rPr>
                <w:sz w:val="20"/>
                <w:szCs w:val="20"/>
              </w:rPr>
              <w:t xml:space="preserve">Controls unrated or assessments stale.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Type D Failing despite Strong rating. </w:t>
            </w:r>
            <w:r>
              <w:rPr>
                <w:sz w:val="20"/>
                <w:szCs w:val="20"/>
              </w:rPr>
              <w:t xml:space="preserve">Strong-rated controls with recurring P1/P2 incidents or open issues linked. Method-failure indicator.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Type E Misplacement. </w:t>
            </w:r>
            <w:r>
              <w:rPr>
                <w:sz w:val="20"/>
                <w:szCs w:val="20"/>
              </w:rPr>
              <w:t xml:space="preserve">Control at wrong lifecycle stage (from step 9 disagreement log).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Type F Process gap. </w:t>
            </w:r>
            <w:r>
              <w:rPr>
                <w:sz w:val="20"/>
                <w:szCs w:val="20"/>
              </w:rPr>
              <w:t xml:space="preserve">Payment process with zero linked controls.</w:t>
            </w:r>
          </w:p>
          <w:p>
            <w:pPr>
              <w:spacing w:after="40" w:before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11c. Duplicate clusters.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Cluster by (CT × Payment Nature × lifecycle stage × process scope).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Within each cluster, nominate best-of-breed control by considering rating, automation level, owner concentration, incident-free history.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Surface retire / merge candidates for control rationalisation.</w:t>
            </w:r>
          </w:p>
          <w:p>
            <w:pPr>
              <w:spacing w:after="40" w:before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11d. JUNO registration backlog.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Bespoke controls from step 5 that SME has confirmed as genuine controls.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Ranked by Payment Nature inherent risk + CT criticality (e.g. CT22 Mistaken Internet Payments has high regulatory recognisability).</w:t>
            </w:r>
          </w:p>
          <w:p>
            <w:pPr>
              <w:spacing w:after="40" w:before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11e. Monitoring baseline.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For each CT: list key controls, recommended monitoring intensity (proportional to inherent risk and incident history).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Identify what monitoring evidence already exists (control assessments, KRIs) and what is missing.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Note: this is what monitoring should look like, not the platform that delivers it. Remediation is owner-driven.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Coverage heatmap dataset (three cuts: Payment Nature × CT, Value Stream × CT, Process × CT)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Gap register (six types, ranked P0/P1/P2)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Duplicate cluster register (with best-of-breed nominations)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JUNO registration backlog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Monitoring baseline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Tool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Amp Code (SQL); export to Power BI / Excel for stakeholder consumption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single" w:color="1F3864" w:sz="12"/>
              <w:right w:val="none" w:color="FFFFFF" w:sz="0"/>
            </w:tcBorders>
            <w:tcMar>
              <w:top w:type="dxa" w:w="32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pacing w:val="60"/>
                <w:sz w:val="18"/>
                <w:szCs w:val="18"/>
              </w:rPr>
              <w:t xml:space="preserve">STEP 12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Validate against golden sets (gates steps 2, 3, 5, 7, 8, 9)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Prove that every LLM-driven step performs above an agreed threshold before it scales to the full population. The golden sets are the single most important artefact in the PoC – if they are small, biased, or rushed, every accuracy claim collapses.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Inputs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SME time (the primary input; nothing else substitutes)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Production prompts for each gated step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Action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sz w:val="20"/>
                <w:szCs w:val="20"/>
              </w:rPr>
              <w:t xml:space="preserve">Validation is not a step at the end – it is a gate that sits over every LLM-driven step (2, 3, 5, 7, 8, 9) and must pass before that step scales to the full population.</w:t>
            </w:r>
          </w:p>
          <w:p>
            <w:pPr>
              <w:spacing w:after="40" w:before="80"/>
            </w:pPr>
            <w:r>
              <w:rPr>
                <w:b/>
                <w:bCs/>
                <w:sz w:val="20"/>
                <w:szCs w:val="20"/>
              </w:rPr>
              <w:t xml:space="preserve">For each gated step, the gate logic is the same: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Build a golden set with SME (size and stratification per step shown below).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Run the LLM on the golden set with the production prompt.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Measure: precision / recall / accuracy as appropriate.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If targets hit → proceed to scale. If not → iterate the prompt and re-run; do not scale until passed.</w:t>
            </w:r>
          </w:p>
          <w:p>
            <w:pPr>
              <w:spacing w:after="40" w:before="80"/>
            </w:pPr>
            <w:r>
              <w:rPr>
                <w:b/>
                <w:bCs/>
                <w:sz w:val="20"/>
                <w:szCs w:val="20"/>
              </w:rPr>
              <w:t xml:space="preserve">Golden sets and targets: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Step 2 (PP6 embedding) — </w:t>
            </w:r>
            <w:r>
              <w:rPr>
                <w:sz w:val="20"/>
                <w:szCs w:val="20"/>
              </w:rPr>
              <w:t xml:space="preserve">~30 processes (clear-in, clear-out, payment-in-non-payments-value-chain). Target: false-negative rate ≤0.10.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Step 3 (Payment Nature) — </w:t>
            </w:r>
            <w:r>
              <w:rPr>
                <w:sz w:val="20"/>
                <w:szCs w:val="20"/>
              </w:rPr>
              <w:t xml:space="preserve">~30 processes (clear single-nature, multi-nature, ambiguous). Target: per-nature precision ≥0.85, recall ≥0.80.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Step 5 (bespoke discovery) — </w:t>
            </w:r>
            <w:r>
              <w:rPr>
                <w:sz w:val="20"/>
                <w:szCs w:val="20"/>
              </w:rPr>
              <w:t xml:space="preserve">~20 process steps + ~10 configs + ~10 remediation texts. Target: precision ≥0.75.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Step 7 (Payment Nature on controls) — </w:t>
            </w:r>
            <w:r>
              <w:rPr>
                <w:sz w:val="20"/>
                <w:szCs w:val="20"/>
              </w:rPr>
              <w:t xml:space="preserve">Sanity-check disagreement rate on inherited classifications ≤15%.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Step 8 (CT mapping) — </w:t>
            </w:r>
            <w:r>
              <w:rPr>
                <w:sz w:val="20"/>
                <w:szCs w:val="20"/>
              </w:rPr>
              <w:t xml:space="preserve">~50 controls stratified by CT, automation, key flag, source type. Target: CT precision ≥0.85, recall ≥0.80.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Step 9 (lifecycle placement) — </w:t>
            </w:r>
            <w:r>
              <w:rPr>
                <w:sz w:val="20"/>
                <w:szCs w:val="20"/>
              </w:rPr>
              <w:t xml:space="preserve">Same ~50 controls. Target: exact-match accuracy ≥0.80; LLM/structural disagreement rate logged.</w:t>
            </w:r>
          </w:p>
          <w:p>
            <w:pPr>
              <w:spacing w:after="100" w:before="100"/>
              <w:jc w:val="left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Ongoing: 10% random sample + 100% of Low-confidence cases reviewed by SME after each production run. Drift from golden-set accuracy triggers re-validation.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 Six golden sets (one per gated step)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Pre-scale validation report per step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Ongoing sample-review log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 Drift alerts (when accuracy degrades between runs)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Tool</w:t>
            </w:r>
          </w:p>
        </w:tc>
        <w:tc>
          <w:tcPr>
            <w:tcW w:type="dxa" w:w="8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SME workshop for golden set construction; Amp Code (SQL + LLM) for measurement</w:t>
            </w:r>
          </w:p>
        </w:tc>
      </w:tr>
    </w:tbl>
    <w:p>
      <w:pPr>
        <w:spacing w:after="140" w:before="280"/>
      </w:pPr>
      <w:r>
        <w:rPr>
          <w:b/>
          <w:bCs/>
          <w:color w:val="1F3864"/>
          <w:sz w:val="26"/>
          <w:szCs w:val="26"/>
        </w:rPr>
        <w:t xml:space="preserve">Provenance and failure modes (engineering controls)</w:t>
      </w:r>
    </w:p>
    <w:p>
      <w:pPr>
        <w:spacing w:after="100" w:before="0"/>
        <w:jc w:val="left"/>
      </w:pPr>
      <w:r>
        <w:rPr>
          <w:sz w:val="20"/>
          <w:szCs w:val="20"/>
        </w:rPr>
        <w:t xml:space="preserve">Every LLM decision – inclusion, classification, extraction, mapping – is captured with full provenance so it can be re-run, traced, and audited months later.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Captured per decision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Prompt version hash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Result is bound to the exact prompt that produced it. Any prompt change forces re-validation.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Model ID and version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Different Amp models produce different outputs. Model identity is part of the result.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Run timestamp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Anchors the decision to a point in time. Re-runs are new records, not overwrites.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Input snapshot hash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Detects whether source data changed between runs.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Raw model response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Stored verbatim before parsing. Lets us re-process if the parser changes.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SME override (if any)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Recorded against the original – not as a replacement. SME revisions remain auditable.</w:t>
            </w:r>
          </w:p>
        </w:tc>
      </w:tr>
    </w:tbl>
    <w:p>
      <w:pPr>
        <w:spacing w:after="80" w:before="200"/>
      </w:pPr>
      <w:r>
        <w:rPr>
          <w:b/>
          <w:bCs/>
          <w:color w:val="2E5C9E"/>
          <w:sz w:val="22"/>
          <w:szCs w:val="22"/>
        </w:rPr>
        <w:t xml:space="preserve">Known failure modes and mitigations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Payment process wrongly excluded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PP4 reverse linkage + PP6 embedding + sample-based SME audit of excluded set.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Payment control wrongly excluded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P6 embedding + owner-clustering enrichment + sample audit. False-negative rate gated at ≤0.10.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Bespoke 'control' is actually just a process step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Tight control-function definition in prompt with examples / non-examples. SME confirmation before population.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Convergence loop does not stabilise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Hard cap at 5 passes. If new items added at pass 5, residual flagged for manual review.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LLM hallucinates CT not in taxonomy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Output schema enforces enum of CT1–CT28. Invalid CTs rejected at parse time.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Two models disagree on the same control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Recorded as Medium confidence; SME-routed. Inter-model agreement tracked as KPI.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Same control re-run produces different CTs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Temperature pinned at 0. Variance measured on golden set; non-trivial variance → majority-vote N=3.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Source data shifts mid-PoC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Input snapshots hashed. Drift detected automatically; affected items flagged for re-run.</w:t>
            </w:r>
          </w:p>
        </w:tc>
      </w:tr>
    </w:tbl>
    <w:p>
      <w:pPr>
        <w:spacing w:after="140" w:before="280"/>
      </w:pPr>
      <w:r>
        <w:rPr>
          <w:b/>
          <w:bCs/>
          <w:color w:val="1F3864"/>
          <w:sz w:val="26"/>
          <w:szCs w:val="26"/>
        </w:rPr>
        <w:t xml:space="preserve">Why this approach holds up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Population completeness is engineered on both axes. </w:t>
      </w:r>
      <w:r>
        <w:rPr>
          <w:sz w:val="20"/>
          <w:szCs w:val="20"/>
        </w:rPr>
        <w:t xml:space="preserve">Processes and controls each get six-path triangulation. Bespoke controls are actively discovered. Convergence loop ensures the two populations co-validate.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The PoC assesses the environment, not the register. </w:t>
      </w:r>
      <w:r>
        <w:rPr>
          <w:sz w:val="20"/>
          <w:szCs w:val="20"/>
        </w:rPr>
        <w:t xml:space="preserve">Sufficiency reflects what actually mitigates risk at Westpac, including unregistered behaviour. JUNO completeness becomes a measurable by-product.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Every LLM decision is constrained, grounded and falsifiable. </w:t>
      </w:r>
      <w:r>
        <w:rPr>
          <w:sz w:val="20"/>
          <w:szCs w:val="20"/>
        </w:rPr>
        <w:t xml:space="preserve">Fixed taxonomies, confidence rubric, source-text rationale, enforced schema. Auditors can read the source and reasoning side by side.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Validation is upfront, not retrospective. </w:t>
      </w:r>
      <w:r>
        <w:rPr>
          <w:sz w:val="20"/>
          <w:szCs w:val="20"/>
        </w:rPr>
        <w:t xml:space="preserve">Six golden sets gate six LLM-driven steps. We measure first, then run.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Reproducibility is enforced at the data layer. </w:t>
      </w:r>
      <w:r>
        <w:rPr>
          <w:sz w:val="20"/>
          <w:szCs w:val="20"/>
        </w:rPr>
        <w:t xml:space="preserve">Every artefact has provenance baked in. Re-running any decision is a SQL query, not a forensic exercise.</w:t>
      </w:r>
    </w:p>
    <w:sectPr>
      <w:headerReference w:type="default" r:id="rId7"/>
      <w:footerReference w:type="default" r:id="rId8"/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right"/>
    </w:pPr>
    <w:r>
      <w:rPr>
        <w:color w:val="9CA3AF"/>
        <w:sz w:val="14"/>
        <w:szCs w:val="14"/>
      </w:rPr>
      <w:t xml:space="preserve">Page </w:t>
    </w:r>
    <w:r>
      <w:rPr>
        <w:color w:val="9CA3A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4"/>
        <w:szCs w:val="14"/>
      </w:rPr>
      <w:t xml:space="preserve"> / </w:t>
    </w:r>
    <w:r>
      <w:rPr>
        <w:color w:val="9CA3A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color w:val="9CA3AF"/>
        <w:spacing w:val="40"/>
        <w:sz w:val="14"/>
        <w:szCs w:val="14"/>
      </w:rPr>
      <w:t xml:space="preserve">PAYMENTS RISK · CONTROL SUFFICIENCY PoC · TECHNICAL RUNBOOK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  <w:rPr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Payments Risk Control Sufficiency PoC - Technical Runbook v1.0</dc:title>
  <dc:creator>Karan</dc:creator>
  <cp:lastModifiedBy>Un-named</cp:lastModifiedBy>
  <cp:revision>1</cp:revision>
  <dcterms:created xsi:type="dcterms:W3CDTF">2026-05-13T06:25:12.766Z</dcterms:created>
  <dcterms:modified xsi:type="dcterms:W3CDTF">2026-05-13T06:25:12.786Z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