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none" w:color="FFFFFF" w:sz="0"/>
              <w:right w:val="none" w:color="FFFFFF" w:sz="0"/>
            </w:tcBorders>
            <w:shd w:fill="DA1710" w:color="auto" w:val="clear"/>
            <w:tcMar>
              <w:top w:type="dxa" w:w="320"/>
              <w:left w:type="dxa" w:w="400"/>
              <w:bottom w:type="dxa" w:w="320"/>
              <w:right w:type="dxa" w:w="400"/>
            </w:tcMar>
          </w:tcPr>
          <w:p>
            <w:pPr>
              <w:spacing w:after="60"/>
            </w:pPr>
            <w:r>
              <w:rPr>
                <w:b/>
                <w:bCs/>
                <w:color w:val="FBD5D2"/>
                <w:spacing w:val="60"/>
                <w:sz w:val="18"/>
                <w:szCs w:val="18"/>
              </w:rPr>
              <w:t xml:space="preserve">PAYMENTS RISK · CONTROL SUFFICIENCY PoC</w:t>
            </w:r>
          </w:p>
          <w:p>
            <w:pPr>
              <w:spacing w:after="80"/>
            </w:pPr>
            <w:r>
              <w:rPr>
                <w:b/>
                <w:bCs/>
                <w:color w:val="FFFFFF"/>
                <w:sz w:val="40"/>
                <w:szCs w:val="40"/>
              </w:rPr>
              <w:t xml:space="preserve">Technical Runbook</w:t>
            </w:r>
          </w:p>
          <w:p>
            <w:pPr>
              <w:spacing w:after="0"/>
            </w:pPr>
            <w:r>
              <w:rPr>
                <w:color w:val="F8C1BC"/>
                <w:sz w:val="18"/>
                <w:szCs w:val="18"/>
              </w:rPr>
              <w:t xml:space="preserve">Twelve steps from source data to control sufficiency findings, aligned to the four stage PoC approach · v1.4</w:t>
            </w:r>
          </w:p>
        </w:tc>
      </w:tr>
    </w:tbl>
    <w:p>
      <w:pPr>
        <w:spacing w:after="140" w:before="320"/>
      </w:pPr>
      <w:r>
        <w:rPr>
          <w:b/>
          <w:bCs/>
          <w:color w:val="8C0E08"/>
          <w:sz w:val="26"/>
          <w:szCs w:val="26"/>
        </w:rPr>
        <w:t xml:space="preserve">Objective</w:t>
      </w:r>
    </w:p>
    <w:p>
      <w:pPr>
        <w:spacing w:after="100" w:before="0"/>
        <w:jc w:val="left"/>
      </w:pPr>
      <w:r>
        <w:rPr>
          <w:sz w:val="20"/>
          <w:szCs w:val="20"/>
        </w:rPr>
        <w:t xml:space="preserve">Provide insights over the group level payment risk profile, and reduce complexity in the operation of 1st line controls based on an end to end process view. The work is anchored to the 28 Master Controls (CT1 to CT28) and the five Payment Nature categories prioritised in the project deck.</w:t>
      </w:r>
    </w:p>
    <w:p>
      <w:pPr>
        <w:spacing w:after="100" w:before="0"/>
        <w:jc w:val="left"/>
      </w:pPr>
      <w:r>
        <w:rPr>
          <w:sz w:val="20"/>
          <w:szCs w:val="20"/>
        </w:rPr>
        <w:t xml:space="preserve">Sufficiency is judged against the CT1 to CT28 outcomes across the five Payment Nature categories and the seven payments lifecycle stages.</w:t>
      </w:r>
    </w:p>
    <w:p>
      <w:pPr>
        <w:spacing w:after="100" w:before="0"/>
        <w:jc w:val="left"/>
      </w:pPr>
      <w:r>
        <w:rPr>
          <w:i/>
          <w:iCs/>
          <w:color w:val="5C5C5C"/>
          <w:sz w:val="20"/>
          <w:szCs w:val="20"/>
        </w:rPr>
        <w:t xml:space="preserve">This runbook describes twelve steps in execution order, mapped to the four PoC stages from the deck (Prioritise, Intelligent Discovery, Control Improvement, Enhanced Monitoring). Each step states inputs, action, outputs, platform, done-when criterion, and validation gate where applicable.</w:t>
      </w:r>
    </w:p>
    <w:p>
      <w:pPr>
        <w:spacing w:after="140" w:before="280"/>
      </w:pPr>
      <w:r>
        <w:rPr>
          <w:b/>
          <w:bCs/>
          <w:color w:val="8C0E08"/>
          <w:sz w:val="26"/>
          <w:szCs w:val="26"/>
        </w:rPr>
        <w:t xml:space="preserve">Mapping to the four stage PoC approach</w:t>
      </w:r>
    </w:p>
    <w:p>
      <w:pPr>
        <w:spacing w:after="100" w:before="0"/>
        <w:jc w:val="left"/>
      </w:pPr>
      <w:r>
        <w:rPr>
          <w:sz w:val="20"/>
          <w:szCs w:val="20"/>
        </w:rPr>
        <w:t xml:space="preserve">This runbook is the engineering implementation of the four stage approach in the project deck. Every step has a primary PoC stage. The at a glance table below shows the mapping; the body of each step references the stage at the top.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700"/>
      </w:tblGrid>
      <w:tr>
        <w:trPr>
          <w:tblHeader/>
        </w:trPr>
        <w:tc>
          <w:tcPr>
            <w:tcW w:type="dxa" w:w="13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PoC stage</w:t>
            </w:r>
          </w:p>
        </w:tc>
        <w:tc>
          <w:tcPr>
            <w:tcW w:type="dxa" w:w="3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From the deck</w:t>
            </w:r>
          </w:p>
        </w:tc>
        <w:tc>
          <w:tcPr>
            <w:tcW w:type="dxa" w:w="4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Steps in this runbook</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Stage 1
Prioritise</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Identify the universe of Payments risks, controls and applicable Divisions. Validate scope, define measures, identify inventory of obligations, prioritise controls.</w:t>
            </w:r>
          </w:p>
        </w:tc>
        <w:tc>
          <w:tcPr>
            <w:tcW w:type="dxa" w:w="4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Steps 1 to 4. Profile the data, find the payment processes, classify Payment Nature, find the JUNO payment controls.</w:t>
            </w:r>
          </w:p>
        </w:tc>
      </w:tr>
      <w:tr>
        <w:tc>
          <w:tcPr>
            <w:tcW w:type="dxa" w:w="1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Stage 2
Intelligent Discovery</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Rationalisation and discovery of current documented control environment. Identify duplicates, gaps, best of breed. Classify controls by coverage, type, automation. Create a data driven baseline.</w:t>
            </w:r>
          </w:p>
        </w:tc>
        <w:tc>
          <w:tcPr>
            <w:tcW w:type="dxa" w:w="4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Steps 5 to 10. Discover bespoke controls, run convergence loop, assign Payment Nature to controls, map to CTs, place in lifecycle, build the bridge table.</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Stage 3
Control Improvement</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Align controls to priority risks and obligations. Standardise design across divisions. Apply pre designed control patterns. (PoC identifies and recommends; design and implementation work follows.)</w:t>
            </w:r>
          </w:p>
        </w:tc>
        <w:tc>
          <w:tcPr>
            <w:tcW w:type="dxa" w:w="4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Step 11. Three findings buckets: strengthen, rationalise, gaps. Standard patterns named for P0 gaps. Governance controls misclassified into the Payments framework surfaced as a finding.</w:t>
            </w:r>
          </w:p>
        </w:tc>
      </w:tr>
      <w:tr>
        <w:tc>
          <w:tcPr>
            <w:tcW w:type="dxa" w:w="1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Stage 4
Enhanced Monitoring</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Risk proportionate monitoring across the three lines of defence. Focus on higher risk, higher impact controls. Improve visibility through consolidated reporting.</w:t>
            </w:r>
          </w:p>
        </w:tc>
        <w:tc>
          <w:tcPr>
            <w:tcW w:type="dxa" w:w="4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Step 11i. Monitoring baseline per Master Control, proportional to inherent risk and incident history.</w:t>
            </w:r>
          </w:p>
        </w:tc>
      </w:tr>
      <w:tr>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Cross
cutting</w:t>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Validation, audit defensibility, reusability for other risk classes.</w:t>
            </w:r>
          </w:p>
        </w:tc>
        <w:tc>
          <w:tcPr>
            <w:tcW w:type="dxa" w:w="4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Step 12 (validation gates over every LLM step). Provenance section. The method is designed to be re applied to other risk classes.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8C0E08" w:sz="16"/>
              <w:left w:val="single" w:color="8C0E08" w:sz="16"/>
              <w:bottom w:val="single" w:color="8C0E08" w:sz="4"/>
              <w:right w:val="single" w:color="8C0E08" w:sz="4"/>
            </w:tcBorders>
            <w:shd w:fill="EEF2F7" w:color="auto" w:val="clear"/>
            <w:tcMar>
              <w:top w:type="dxa" w:w="180"/>
              <w:left w:type="dxa" w:w="220"/>
              <w:bottom w:type="dxa" w:w="180"/>
              <w:right w:type="dxa" w:w="220"/>
            </w:tcMar>
          </w:tcPr>
          <w:p>
            <w:pPr>
              <w:spacing w:after="0"/>
            </w:pPr>
            <w:r>
              <w:rPr>
                <w:b/>
                <w:bCs/>
                <w:color w:val="8C0E08"/>
                <w:sz w:val="20"/>
                <w:szCs w:val="20"/>
              </w:rPr>
              <w:t xml:space="preserve">Working with real data sources. </w:t>
            </w:r>
            <w:r>
              <w:rPr>
                <w:sz w:val="20"/>
                <w:szCs w:val="20"/>
              </w:rPr>
              <w:t xml:space="preserve">JUNO control register, Holocentric processes and Business Data Flows, ALEX, and Alfabet payment applications. The runbook is sized to handle the full universe of each source, with push down to Teradata where joins are heavy. Exact row counts vary as extracts refresh, so the design does not depend on specific volumes.</w:t>
            </w:r>
          </w:p>
        </w:tc>
      </w:tr>
    </w:tbl>
    <w:p>
      <w:pPr>
        <w:spacing w:after="140" w:before="280"/>
      </w:pPr>
      <w:r>
        <w:rPr>
          <w:b/>
          <w:bCs/>
          <w:color w:val="8C0E08"/>
          <w:sz w:val="26"/>
          <w:szCs w:val="26"/>
        </w:rPr>
        <w:t xml:space="preserve">What's new in v1.4</w:t>
      </w:r>
    </w:p>
    <w:p>
      <w:pPr>
        <w:pStyle w:val="ListParagraph"/>
        <w:numPr>
          <w:ilvl w:val="0"/>
          <w:numId w:val="2"/>
        </w:numPr>
        <w:spacing w:after="30"/>
      </w:pPr>
      <w:r>
        <w:rPr>
          <w:b/>
          <w:bCs/>
          <w:sz w:val="20"/>
          <w:szCs w:val="20"/>
        </w:rPr>
        <w:t xml:space="preserve">Westpac brand colours. </w:t>
      </w:r>
      <w:r>
        <w:rPr>
          <w:sz w:val="20"/>
          <w:szCs w:val="20"/>
        </w:rPr>
        <w:t xml:space="preserve">The runbook now uses the Westpac brand palette (primary red </w:t>
      </w:r>
      <w:r>
        <w:rPr>
          <w:rFonts w:ascii="Consolas" w:cs="Consolas" w:eastAsia="Consolas" w:hAnsi="Consolas"/>
          <w:sz w:val="20"/>
          <w:szCs w:val="20"/>
        </w:rPr>
        <w:t xml:space="preserve">#DA1710</w:t>
      </w:r>
      <w:r>
        <w:rPr>
          <w:sz w:val="20"/>
          <w:szCs w:val="20"/>
        </w:rPr>
        <w:t xml:space="preserve"> per the Westpac GEL Design System) for hero, callouts, and accent elements. Deep red </w:t>
      </w:r>
      <w:r>
        <w:rPr>
          <w:rFonts w:ascii="Consolas" w:cs="Consolas" w:eastAsia="Consolas" w:hAnsi="Consolas"/>
          <w:sz w:val="20"/>
          <w:szCs w:val="20"/>
        </w:rPr>
        <w:t xml:space="preserve">#8C0E08</w:t>
      </w:r>
      <w:r>
        <w:rPr>
          <w:sz w:val="20"/>
          <w:szCs w:val="20"/>
        </w:rPr>
        <w:t xml:space="preserve"> for headings, charcoal </w:t>
      </w:r>
      <w:r>
        <w:rPr>
          <w:rFonts w:ascii="Consolas" w:cs="Consolas" w:eastAsia="Consolas" w:hAnsi="Consolas"/>
          <w:sz w:val="20"/>
          <w:szCs w:val="20"/>
        </w:rPr>
        <w:t xml:space="preserve">#3A3A3A</w:t>
      </w:r>
      <w:r>
        <w:rPr>
          <w:sz w:val="20"/>
          <w:szCs w:val="20"/>
        </w:rPr>
        <w:t xml:space="preserve"> for sub-headings, and warm grey body. Replaces the prior navy palette.</w:t>
      </w:r>
    </w:p>
    <w:p>
      <w:pPr>
        <w:pStyle w:val="ListParagraph"/>
        <w:numPr>
          <w:ilvl w:val="0"/>
          <w:numId w:val="2"/>
        </w:numPr>
        <w:spacing w:after="30"/>
      </w:pPr>
      <w:r>
        <w:rPr>
          <w:b/>
          <w:bCs/>
          <w:sz w:val="20"/>
          <w:szCs w:val="20"/>
        </w:rPr>
        <w:t xml:space="preserve">Terminology corrected (from v1.3). </w:t>
      </w:r>
      <w:r>
        <w:rPr>
          <w:sz w:val="20"/>
          <w:szCs w:val="20"/>
        </w:rPr>
        <w:t xml:space="preserve">CT1 to CT28 referred to as </w:t>
      </w:r>
      <w:r>
        <w:rPr>
          <w:b/>
          <w:bCs/>
          <w:sz w:val="20"/>
          <w:szCs w:val="20"/>
        </w:rPr>
        <w:t xml:space="preserve">Master Controls</w:t>
      </w:r>
      <w:r>
        <w:rPr>
          <w:sz w:val="20"/>
          <w:szCs w:val="20"/>
        </w:rPr>
        <w:t xml:space="preserve"> throughout, not control obligations. Obligations remain a separate construct (regulatory requirements: NPP rules, ePayments Code, AUSTRAC, RBA, BECS), captured via the Control-to-Obligation linkage.</w:t>
      </w:r>
    </w:p>
    <w:p>
      <w:pPr>
        <w:pStyle w:val="ListParagraph"/>
        <w:numPr>
          <w:ilvl w:val="0"/>
          <w:numId w:val="2"/>
        </w:numPr>
        <w:spacing w:after="30"/>
      </w:pPr>
      <w:r>
        <w:rPr>
          <w:b/>
          <w:bCs/>
          <w:sz w:val="20"/>
          <w:szCs w:val="20"/>
        </w:rPr>
        <w:t xml:space="preserve">Independent LRM as SME (from v1.3). </w:t>
      </w:r>
      <w:r>
        <w:rPr>
          <w:sz w:val="20"/>
          <w:szCs w:val="20"/>
        </w:rPr>
        <w:t xml:space="preserve">No dedicated subject matter expert exists for this PoC. Validation is performed by a deliberately independent LRM (different model family, operating blind to the primary model's output and rationale). Disagreements are tagged Requires Human Review and queued for adjudication when SME capacity becomes available.</w:t>
      </w:r>
    </w:p>
    <w:p>
      <w:pPr>
        <w:pStyle w:val="ListParagraph"/>
        <w:numPr>
          <w:ilvl w:val="0"/>
          <w:numId w:val="2"/>
        </w:numPr>
        <w:spacing w:after="30"/>
      </w:pPr>
      <w:r>
        <w:rPr>
          <w:b/>
          <w:bCs/>
          <w:sz w:val="20"/>
          <w:szCs w:val="20"/>
        </w:rPr>
        <w:t xml:space="preserve">Requires Human Review queue (from v1.3). </w:t>
      </w:r>
      <w:r>
        <w:rPr>
          <w:sz w:val="20"/>
          <w:szCs w:val="20"/>
        </w:rPr>
        <w:t xml:space="preserve">A first class construct throughout the pipeline. The queue itself is a deliverable of the PoC.</w:t>
      </w:r>
    </w:p>
    <w:p>
      <w:pPr>
        <w:pStyle w:val="ListParagraph"/>
        <w:numPr>
          <w:ilvl w:val="0"/>
          <w:numId w:val="2"/>
        </w:numPr>
        <w:spacing w:after="30"/>
      </w:pPr>
      <w:r>
        <w:rPr>
          <w:b/>
          <w:bCs/>
          <w:sz w:val="20"/>
          <w:szCs w:val="20"/>
        </w:rPr>
        <w:t xml:space="preserve">Deck alignment (from v1.2). </w:t>
      </w:r>
      <w:r>
        <w:rPr>
          <w:sz w:val="20"/>
          <w:szCs w:val="20"/>
        </w:rPr>
        <w:t xml:space="preserve">Runbook explicitly mapped to the four stage PoC approach. The findings buckets in step 11 use the deck's vocabulary (strengthen, rationalise, gaps).</w:t>
      </w:r>
    </w:p>
    <w:p>
      <w:pPr>
        <w:pStyle w:val="ListParagraph"/>
        <w:numPr>
          <w:ilvl w:val="0"/>
          <w:numId w:val="2"/>
        </w:numPr>
        <w:spacing w:after="30"/>
      </w:pPr>
      <w:r>
        <w:rPr>
          <w:b/>
          <w:bCs/>
          <w:sz w:val="20"/>
          <w:szCs w:val="20"/>
        </w:rPr>
        <w:t xml:space="preserve">Governance controls finding (from v1.2). </w:t>
      </w:r>
      <w:r>
        <w:rPr>
          <w:sz w:val="20"/>
          <w:szCs w:val="20"/>
        </w:rPr>
        <w:t xml:space="preserve">Step 11 surfaces controls in the Payments Risk framework that are really governance controls and should be removed from the framework.</w:t>
      </w:r>
    </w:p>
    <w:p>
      <w:pPr>
        <w:pStyle w:val="ListParagraph"/>
        <w:numPr>
          <w:ilvl w:val="0"/>
          <w:numId w:val="2"/>
        </w:numPr>
        <w:spacing w:after="30"/>
      </w:pPr>
      <w:r>
        <w:rPr>
          <w:b/>
          <w:bCs/>
          <w:sz w:val="20"/>
          <w:szCs w:val="20"/>
        </w:rPr>
        <w:t xml:space="preserve">Obligations coverage view (from v1.2). </w:t>
      </w:r>
      <w:r>
        <w:rPr>
          <w:sz w:val="20"/>
          <w:szCs w:val="20"/>
        </w:rPr>
        <w:t xml:space="preserve">Output 11h. Controls by Obligation coverage view derived from the bridge table; no new LLM workload needed.</w:t>
      </w:r>
    </w:p>
    <w:p>
      <w:pPr>
        <w:pStyle w:val="ListParagraph"/>
        <w:numPr>
          <w:ilvl w:val="0"/>
          <w:numId w:val="2"/>
        </w:numPr>
        <w:spacing w:after="30"/>
      </w:pPr>
      <w:r>
        <w:rPr>
          <w:b/>
          <w:bCs/>
          <w:sz w:val="20"/>
          <w:szCs w:val="20"/>
        </w:rPr>
        <w:t xml:space="preserve">Process / system / pervasive classification (from v1.2). </w:t>
      </w:r>
      <w:r>
        <w:rPr>
          <w:sz w:val="20"/>
          <w:szCs w:val="20"/>
        </w:rPr>
        <w:t xml:space="preserve">Step 8 LLM emits this control category alongside the Master Control mapping.</w:t>
      </w:r>
    </w:p>
    <w:p>
      <w:pPr>
        <w:pStyle w:val="ListParagraph"/>
        <w:numPr>
          <w:ilvl w:val="0"/>
          <w:numId w:val="2"/>
        </w:numPr>
        <w:spacing w:after="30"/>
      </w:pPr>
      <w:r>
        <w:rPr>
          <w:b/>
          <w:bCs/>
          <w:sz w:val="20"/>
          <w:szCs w:val="20"/>
        </w:rPr>
        <w:t xml:space="preserve">Preventative / detective / corrective classification (from v1.2). </w:t>
      </w:r>
      <w:r>
        <w:rPr>
          <w:sz w:val="20"/>
          <w:szCs w:val="20"/>
        </w:rPr>
        <w:t xml:space="preserve">Step 8 LLM emits this attribute.</w:t>
      </w:r>
    </w:p>
    <w:p>
      <w:pPr>
        <w:pStyle w:val="ListParagraph"/>
        <w:numPr>
          <w:ilvl w:val="0"/>
          <w:numId w:val="2"/>
        </w:numPr>
        <w:spacing w:after="30"/>
      </w:pPr>
      <w:r>
        <w:rPr>
          <w:b/>
          <w:bCs/>
          <w:sz w:val="20"/>
          <w:szCs w:val="20"/>
        </w:rPr>
        <w:t xml:space="preserve">Standard pattern naming for P0 gaps (from v1.2). </w:t>
      </w:r>
      <w:r>
        <w:rPr>
          <w:sz w:val="20"/>
          <w:szCs w:val="20"/>
        </w:rPr>
        <w:t xml:space="preserve">Where a P0 gap matches a known standardised control pattern, the pattern is named.</w:t>
      </w:r>
    </w:p>
    <w:p>
      <w:pPr>
        <w:pStyle w:val="ListParagraph"/>
        <w:numPr>
          <w:ilvl w:val="0"/>
          <w:numId w:val="2"/>
        </w:numPr>
        <w:spacing w:after="30"/>
      </w:pPr>
      <w:r>
        <w:rPr>
          <w:b/>
          <w:bCs/>
          <w:sz w:val="20"/>
          <w:szCs w:val="20"/>
        </w:rPr>
        <w:t xml:space="preserve">Earlier foundations (v1.0–1.1). </w:t>
      </w:r>
      <w:r>
        <w:rPr>
          <w:sz w:val="20"/>
          <w:szCs w:val="20"/>
        </w:rPr>
        <w:t xml:space="preserve">Two engine execution model (SAS + Teradata pass through), parallel inclusion paths, convergence loop safeguards, three coverage constructs (Structural / Effective / Failing), MVP path markers, em dashes removed.</w:t>
      </w:r>
    </w:p>
    <w:p>
      <w:pPr>
        <w:spacing w:after="140" w:before="280"/>
      </w:pPr>
      <w:r>
        <w:rPr>
          <w:b/>
          <w:bCs/>
          <w:color w:val="8C0E08"/>
          <w:sz w:val="26"/>
          <w:szCs w:val="26"/>
        </w:rPr>
        <w:t xml:space="preserve">Execution platform: two engines, one logical pipeline</w:t>
      </w:r>
    </w:p>
    <w:p>
      <w:pPr>
        <w:spacing w:after="100" w:before="0"/>
        <w:jc w:val="left"/>
      </w:pPr>
      <w:r>
        <w:rPr>
          <w:sz w:val="20"/>
          <w:szCs w:val="20"/>
        </w:rPr>
        <w:t xml:space="preserve">The PoC executes across two engines. Each step in the runbook specifies which engine handles which part of the work. The objective is to push filtering and heavy joins down to Teradata where possible, and keep only the minimum needed in SAS for ingestion, crosswalks, bridge assembly, and reporting.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00"/>
      </w:tblGrid>
      <w:tr>
        <w:trPr>
          <w:tblHeader/>
        </w:trPr>
        <w:tc>
          <w:tcPr>
            <w:tcW w:type="dxa" w:w="22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Engine</w:t>
            </w:r>
          </w:p>
        </w:tc>
        <w:tc>
          <w:tcPr>
            <w:tcW w:type="dxa" w:w="35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Used for</w:t>
            </w:r>
          </w:p>
        </w:tc>
        <w:tc>
          <w:tcPr>
            <w:tcW w:type="dxa" w:w="40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Typical sources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Teradata SQL (via SAS pass-through)</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Extraction, filtering, large joins on warehouse-resident data. Path P1–P4 inclusion logic. Linkage joins.</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JUNO controls, JUNO ratings, Linkage table (Control↔Process, Control↔Obligation, Control↔Incident, Control↔Issue), Obligations, Incidents, Issues</w:t>
            </w:r>
          </w:p>
        </w:tc>
      </w:tr>
      <w:tr>
        <w:tc>
          <w:tcPr>
            <w:tcW w:type="dxa" w:w="2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SAS</w:t>
            </w:r>
          </w:p>
        </w:tc>
        <w:tc>
          <w:tcPr>
            <w:tcW w:type="dxa" w:w="3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CSV ingestion, schema standardisation, crosswalks, embedding workflows, LLM orchestration, bridge assembly, output generation.</w:t>
            </w:r>
          </w:p>
        </w:tc>
        <w:tc>
          <w:tcPr>
            <w:tcW w:type="dxa" w:w="4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Holocentric CSV extracts, Alfabet CSV extracts, ALEX (where available), LLM outputs, golden sets, final analytical artefacts</w:t>
            </w:r>
          </w:p>
        </w:tc>
      </w:tr>
    </w:tbl>
    <w:p>
      <w:pPr>
        <w:spacing w:after="100" w:before="140"/>
      </w:pPr>
      <w:r>
        <w:rPr>
          <w:b/>
          <w:bCs/>
          <w:color w:val="8C0E08"/>
          <w:sz w:val="20"/>
          <w:szCs w:val="20"/>
        </w:rPr>
        <w:t xml:space="preserve">Standard data movement pattern. </w:t>
      </w:r>
      <w:r>
        <w:rPr>
          <w:sz w:val="20"/>
          <w:szCs w:val="20"/>
        </w:rPr>
        <w:t xml:space="preserve">For any step touching warehouse data: write the join in Teradata SQL inside a SAS pass-through block, filter and project to the minimum columns needed, materialise the result as a SAS staging dataset, then proceed in SAS. Key reconciliation between TD and CSV sources is performed once at the staging layer, not repeatedly downstream.</w:t>
      </w:r>
    </w:p>
    <w:p>
      <w:pPr>
        <w:spacing w:after="60"/>
        <w:ind w:left="280"/>
      </w:pPr>
      <w:r>
        <w:rPr>
          <w:rFonts w:ascii="Consolas" w:cs="Consolas" w:eastAsia="Consolas" w:hAnsi="Consolas"/>
          <w:color w:val="333333"/>
          <w:sz w:val="18"/>
          <w:szCs w:val="18"/>
        </w:rPr>
        <w:t xml:space="preserve">proc sql; connect to teradata (server=...);</w:t>
      </w:r>
    </w:p>
    <w:p>
      <w:pPr>
        <w:spacing w:after="60"/>
        <w:ind w:left="280"/>
      </w:pPr>
      <w:r>
        <w:rPr>
          <w:rFonts w:ascii="Consolas" w:cs="Consolas" w:eastAsia="Consolas" w:hAnsi="Consolas"/>
          <w:color w:val="333333"/>
          <w:sz w:val="18"/>
          <w:szCs w:val="18"/>
        </w:rPr>
        <w:t xml:space="preserve">  create table work.junopaymentcontrols as</w:t>
      </w:r>
    </w:p>
    <w:p>
      <w:pPr>
        <w:spacing w:after="60"/>
        <w:ind w:left="280"/>
      </w:pPr>
      <w:r>
        <w:rPr>
          <w:rFonts w:ascii="Consolas" w:cs="Consolas" w:eastAsia="Consolas" w:hAnsi="Consolas"/>
          <w:color w:val="333333"/>
          <w:sz w:val="18"/>
          <w:szCs w:val="18"/>
        </w:rPr>
        <w:t xml:space="preserve">  select * from connection to teradata (</w:t>
      </w:r>
    </w:p>
    <w:p>
      <w:pPr>
        <w:spacing w:after="60"/>
        <w:ind w:left="280"/>
      </w:pPr>
      <w:r>
        <w:rPr>
          <w:rFonts w:ascii="Consolas" w:cs="Consolas" w:eastAsia="Consolas" w:hAnsi="Consolas"/>
          <w:color w:val="333333"/>
          <w:sz w:val="18"/>
          <w:szCs w:val="18"/>
        </w:rPr>
        <w:t xml:space="preserve">    select ctrl_id, ctrl_name, ctrl_desc, risk_library_id, ...</w:t>
      </w:r>
    </w:p>
    <w:p>
      <w:pPr>
        <w:spacing w:after="60"/>
        <w:ind w:left="280"/>
      </w:pPr>
      <w:r>
        <w:rPr>
          <w:rFonts w:ascii="Consolas" w:cs="Consolas" w:eastAsia="Consolas" w:hAnsi="Consolas"/>
          <w:color w:val="333333"/>
          <w:sz w:val="18"/>
          <w:szCs w:val="18"/>
        </w:rPr>
        <w:t xml:space="preserve">    from juno.controls</w:t>
      </w:r>
    </w:p>
    <w:p>
      <w:pPr>
        <w:spacing w:after="60"/>
        <w:ind w:left="280"/>
      </w:pPr>
      <w:r>
        <w:rPr>
          <w:rFonts w:ascii="Consolas" w:cs="Consolas" w:eastAsia="Consolas" w:hAnsi="Consolas"/>
          <w:color w:val="333333"/>
          <w:sz w:val="18"/>
          <w:szCs w:val="18"/>
        </w:rPr>
        <w:t xml:space="preserve">    where ... -- pushdown filters here</w:t>
      </w:r>
    </w:p>
    <w:p>
      <w:pPr>
        <w:spacing w:after="60"/>
        <w:ind w:left="280"/>
      </w:pPr>
      <w:r>
        <w:rPr>
          <w:rFonts w:ascii="Consolas" w:cs="Consolas" w:eastAsia="Consolas" w:hAnsi="Consolas"/>
          <w:color w:val="333333"/>
          <w:sz w:val="18"/>
          <w:szCs w:val="18"/>
        </w:rPr>
        <w:t xml:space="preserve">  ); disconnect from teradata; quit;</w:t>
      </w:r>
    </w:p>
    <w:p>
      <w:pPr>
        <w:spacing w:after="140" w:before="280"/>
      </w:pPr>
      <w:r>
        <w:rPr>
          <w:b/>
          <w:bCs/>
          <w:color w:val="8C0E08"/>
          <w:sz w:val="26"/>
          <w:szCs w:val="26"/>
        </w:rPr>
        <w:t xml:space="preserve">Core definitions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rPr>
          <w:tblHeader/>
        </w:trPr>
        <w:tc>
          <w:tcPr>
            <w:tcW w:type="dxa" w:w="2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Term</w:t>
            </w:r>
          </w:p>
        </w:tc>
        <w:tc>
          <w:tcPr>
            <w:tcW w:type="dxa" w:w="70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Definition (used consistently throughout)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Effective control environment</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Controls that mitigate risk in practice, registered or not. The PoC assesses sufficiency against this, not against JUNO alone.</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Structural coverage</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A control exists and is mapped to a CT outcome for a given Payment Nature at a given lifecycle stage. Says nothing about whether the control works.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Effective coverage</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Structural coverage where the control's overall effectiveness rating is Effective. The control is, by its own assessment, working.</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Failing coverage</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Structural coverage where the control is rated Effective but linked incidents or issues contradict the rating. A method-failure indicator.</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Duplicate cluster</w:t>
            </w:r>
          </w:p>
        </w:tc>
        <w:tc>
          <w:tcPr>
            <w:tcW w:type="dxa" w:w="7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Two or more controls that share (CT outcome ∩ Payment Nature ∩ lifecycle stage ∩ process scope) AND have mechanism similarity above threshold. Defined in step 11c.</w:t>
            </w:r>
          </w:p>
        </w:tc>
      </w:tr>
      <w:tr>
        <w:tc>
          <w:tcPr>
            <w:tcW w:type="dxa" w:w="2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Best-of-breed control</w:t>
            </w:r>
          </w:p>
        </w:tc>
        <w:tc>
          <w:tcPr>
            <w:tcW w:type="dxa" w:w="7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Within a duplicate cluster, the control with the highest selection score across five weighted factors. Reproducible formula in step 11c.</w:t>
            </w:r>
          </w:p>
        </w:tc>
      </w:tr>
    </w:tbl>
    <w:p>
      <w:pPr>
        <w:spacing w:after="140" w:before="280"/>
      </w:pPr>
      <w:r>
        <w:rPr>
          <w:b/>
          <w:bCs/>
          <w:color w:val="8C0E08"/>
          <w:sz w:val="26"/>
          <w:szCs w:val="26"/>
        </w:rPr>
        <w:t xml:space="preserve">Validation model: independent LRM as SME</w:t>
      </w:r>
    </w:p>
    <w:p>
      <w:pPr>
        <w:spacing w:after="100" w:before="0"/>
        <w:jc w:val="left"/>
      </w:pPr>
      <w:r>
        <w:rPr>
          <w:sz w:val="20"/>
          <w:szCs w:val="20"/>
        </w:rPr>
        <w:t xml:space="preserve">No dedicated subject matter expert exists for this PoC. The validation posture therefore has to be defensible without relying on human sign off at every classification. The solution is a deliberately independent LRM acting as a second pair of eyes, with disagreements queued for human review when subject matter expert capacity becomes available.</w:t>
      </w:r>
    </w:p>
    <w:p>
      <w:pPr>
        <w:spacing w:after="100" w:before="80"/>
        <w:jc w:val="left"/>
      </w:pPr>
      <w:r>
        <w:rPr>
          <w:sz w:val="20"/>
          <w:szCs w:val="20"/>
        </w:rPr>
        <w:t xml:space="preserve">The independence has to be real, not theatrical. Four design rules make the validation genuinely independent:</w:t>
      </w:r>
    </w:p>
    <w:p>
      <w:pPr>
        <w:pStyle w:val="ListParagraph"/>
        <w:numPr>
          <w:ilvl w:val="0"/>
          <w:numId w:val="2"/>
        </w:numPr>
        <w:spacing w:after="30"/>
      </w:pPr>
      <w:r>
        <w:rPr>
          <w:b/>
          <w:bCs/>
          <w:sz w:val="20"/>
          <w:szCs w:val="20"/>
        </w:rPr>
        <w:t xml:space="preserve">Different model family. </w:t>
      </w:r>
      <w:r>
        <w:rPr>
          <w:sz w:val="20"/>
          <w:szCs w:val="20"/>
        </w:rPr>
        <w:t xml:space="preserve">The independent LRM uses a meaningfully different model family from the primary LRM. Not just a different temperature or system prompt of the same base model. Amp Code's multi model support is the enabler.</w:t>
      </w:r>
    </w:p>
    <w:p>
      <w:pPr>
        <w:pStyle w:val="ListParagraph"/>
        <w:numPr>
          <w:ilvl w:val="0"/>
          <w:numId w:val="2"/>
        </w:numPr>
        <w:spacing w:after="30"/>
      </w:pPr>
      <w:r>
        <w:rPr>
          <w:b/>
          <w:bCs/>
          <w:sz w:val="20"/>
          <w:szCs w:val="20"/>
        </w:rPr>
        <w:t xml:space="preserve">Blind to the primary output. </w:t>
      </w:r>
      <w:r>
        <w:rPr>
          <w:sz w:val="20"/>
          <w:szCs w:val="20"/>
        </w:rPr>
        <w:t xml:space="preserve">The independent LRM never sees the primary model's classification or rationale. It receives only the source text and the taxonomy, and classifies fresh.</w:t>
      </w:r>
    </w:p>
    <w:p>
      <w:pPr>
        <w:pStyle w:val="ListParagraph"/>
        <w:numPr>
          <w:ilvl w:val="0"/>
          <w:numId w:val="2"/>
        </w:numPr>
        <w:spacing w:after="30"/>
      </w:pPr>
      <w:r>
        <w:rPr>
          <w:b/>
          <w:bCs/>
          <w:sz w:val="20"/>
          <w:szCs w:val="20"/>
        </w:rPr>
        <w:t xml:space="preserve">No bias prompting. </w:t>
      </w:r>
      <w:r>
        <w:rPr>
          <w:sz w:val="20"/>
          <w:szCs w:val="20"/>
        </w:rPr>
        <w:t xml:space="preserve">The independent LRM prompt does not say "verify this answer." It asks for classification from scratch. Any prompt phrasing that biases toward agreement is rejected.</w:t>
      </w:r>
    </w:p>
    <w:p>
      <w:pPr>
        <w:pStyle w:val="ListParagraph"/>
        <w:numPr>
          <w:ilvl w:val="0"/>
          <w:numId w:val="2"/>
        </w:numPr>
        <w:spacing w:after="30"/>
      </w:pPr>
      <w:r>
        <w:rPr>
          <w:b/>
          <w:bCs/>
          <w:sz w:val="20"/>
          <w:szCs w:val="20"/>
        </w:rPr>
        <w:t xml:space="preserve">Disagreements preserved, never silently resolved. </w:t>
      </w:r>
      <w:r>
        <w:rPr>
          <w:sz w:val="20"/>
          <w:szCs w:val="20"/>
        </w:rPr>
        <w:t xml:space="preserve">Where the two models disagree, both answers and both rationales are written to the audit trail. The row is tagged </w:t>
      </w:r>
      <w:r>
        <w:rPr>
          <w:b/>
          <w:bCs/>
          <w:sz w:val="20"/>
          <w:szCs w:val="20"/>
        </w:rPr>
        <w:t xml:space="preserve">Requires Human Review</w:t>
      </w:r>
      <w:r>
        <w:rPr>
          <w:sz w:val="20"/>
          <w:szCs w:val="20"/>
        </w:rPr>
        <w:t xml:space="preserve"> and queued. The disagreement is not collapsed.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rPr>
          <w:tblHeader/>
        </w:trPr>
        <w:tc>
          <w:tcPr>
            <w:tcW w:type="dxa" w:w="18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Decision type</w:t>
            </w:r>
          </w:p>
        </w:tc>
        <w:tc>
          <w:tcPr>
            <w:tcW w:type="dxa" w:w="79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Who decides under current resourcing</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Reading text and classifying it</w:t>
            </w:r>
          </w:p>
        </w:tc>
        <w:tc>
          <w:tcPr>
            <w:tcW w:type="dxa" w:w="7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Primary LRM classifies. Independent LRM verifies blind. Agreement is the default disposition. Disagreement is queued for human review.</w:t>
            </w:r>
          </w:p>
        </w:tc>
      </w:tr>
      <w:tr>
        <w:tc>
          <w:tcPr>
            <w:tcW w:type="dxa" w:w="18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Inclusion path scoring (P5, P6, PP5, PP6)</w:t>
            </w:r>
          </w:p>
        </w:tc>
        <w:tc>
          <w:tcPr>
            <w:tcW w:type="dxa" w:w="79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Same pattern. Primary classifies, independent verifies, disagreements queued.</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Bespoke control discovery (step 5)</w:t>
            </w:r>
          </w:p>
        </w:tc>
        <w:tc>
          <w:tcPr>
            <w:tcW w:type="dxa" w:w="7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Primary LRM extracts. Independent LRM verifies each extracted item is a genuine control function. Disagreements queued. Lower precision threshold tolerated because false positives are caught in the queue.</w:t>
            </w:r>
          </w:p>
        </w:tc>
      </w:tr>
      <w:tr>
        <w:tc>
          <w:tcPr>
            <w:tcW w:type="dxa" w:w="18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Golden set construction (step 12)</w:t>
            </w:r>
          </w:p>
        </w:tc>
        <w:tc>
          <w:tcPr>
            <w:tcW w:type="dxa" w:w="79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The independent LRM constructs the reference set. The primary LRM is then measured against it. This works because the constructor is genuinely independent from the model being measured.</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color w:val="8C0E08"/>
                <w:sz w:val="20"/>
                <w:szCs w:val="20"/>
              </w:rPr>
              <w:t xml:space="preserve">Edge case adjudication</w:t>
            </w:r>
          </w:p>
        </w:tc>
        <w:tc>
          <w:tcPr>
            <w:tcW w:type="dxa" w:w="7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Tagged Requires Human Review. Held in queue. Resolved when a human risk practitioner has capacity to look. The PoC ships with the queue rather than empty cells.</w:t>
            </w:r>
          </w:p>
        </w:tc>
      </w:tr>
      <w:tr>
        <w:tc>
          <w:tcPr>
            <w:tcW w:type="dxa" w:w="18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color w:val="8C0E08"/>
                <w:sz w:val="20"/>
                <w:szCs w:val="20"/>
              </w:rPr>
              <w:t xml:space="preserve">Decisions that become audit evidence</w:t>
            </w:r>
          </w:p>
        </w:tc>
        <w:tc>
          <w:tcPr>
            <w:tcW w:type="dxa" w:w="79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Both LRM answers, both rationales, both prompt versions, both model IDs are preserved. An auditor can reconstruct the decision from primary + independent + disagreement status.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8C0E08" w:sz="16"/>
              <w:left w:val="single" w:color="8C0E08" w:sz="16"/>
              <w:bottom w:val="single" w:color="8C0E08" w:sz="4"/>
              <w:right w:val="single" w:color="8C0E08" w:sz="4"/>
            </w:tcBorders>
            <w:shd w:fill="EEF2F7" w:color="auto" w:val="clear"/>
            <w:tcMar>
              <w:top w:type="dxa" w:w="180"/>
              <w:left w:type="dxa" w:w="220"/>
              <w:bottom w:type="dxa" w:w="180"/>
              <w:right w:type="dxa" w:w="220"/>
            </w:tcMar>
          </w:tcPr>
          <w:p>
            <w:pPr>
              <w:spacing w:after="0"/>
            </w:pPr>
            <w:r>
              <w:rPr>
                <w:b/>
                <w:bCs/>
                <w:color w:val="8C0E08"/>
                <w:sz w:val="20"/>
                <w:szCs w:val="20"/>
              </w:rPr>
              <w:t xml:space="preserve">Why this is defensible under audit. </w:t>
            </w:r>
            <w:r>
              <w:rPr>
                <w:sz w:val="20"/>
                <w:szCs w:val="20"/>
              </w:rPr>
              <w:t xml:space="preserve">A 3LoD reviewer asking "who validated these classifications" gets a complete answer: the primary model produced them, an independent model of a different family verified them blind, and disagreements were preserved (not silently overwritten) and routed to a Requires Human Review queue. The queue itself is a deliverable, not a hidden inconvenience. As and when human SME capacity becomes available, the queue is where they start.</w:t>
            </w:r>
          </w:p>
        </w:tc>
      </w:tr>
    </w:tbl>
    <w:p>
      <w:pPr>
        <w:spacing w:after="100" w:before="140"/>
      </w:pPr>
      <w:r>
        <w:rPr>
          <w:b/>
          <w:bCs/>
          <w:color w:val="8C0E08"/>
          <w:sz w:val="20"/>
          <w:szCs w:val="20"/>
        </w:rPr>
        <w:t xml:space="preserve">Honest scope of what this does not cover. </w:t>
      </w:r>
      <w:r>
        <w:rPr>
          <w:sz w:val="20"/>
          <w:szCs w:val="20"/>
        </w:rPr>
        <w:t xml:space="preserve">Independent LRM validation is strong for classification tasks (does this control map to CT2?). It is weaker for decisions requiring organisational context the model does not have (was this control created in response to the 2023 APRA finding? Does this control owner still hold their role?). Such cases remain in the Requires Human Review queue and are not asserted as facts by either model.</w:t>
      </w:r>
    </w:p>
    <w:p>
      <w:pPr>
        <w:spacing w:after="140" w:before="280"/>
      </w:pPr>
      <w:r>
        <w:rPr>
          <w:b/>
          <w:bCs/>
          <w:color w:val="8C0E08"/>
          <w:sz w:val="26"/>
          <w:szCs w:val="26"/>
        </w:rPr>
        <w:t xml:space="preserve">At a glance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3700"/>
        <w:gridCol w:w="2400"/>
        <w:gridCol w:w="2300"/>
      </w:tblGrid>
      <w:tr>
        <w:trPr>
          <w:tblHeader/>
        </w:trPr>
        <w:tc>
          <w:tcPr>
            <w:tcW w:type="dxa" w:w="6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w:t>
            </w:r>
          </w:p>
        </w:tc>
        <w:tc>
          <w:tcPr>
            <w:tcW w:type="dxa" w:w="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MVP</w:t>
            </w:r>
          </w:p>
        </w:tc>
        <w:tc>
          <w:tcPr>
            <w:tcW w:type="dxa" w:w="3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Step</w:t>
            </w:r>
          </w:p>
        </w:tc>
        <w:tc>
          <w:tcPr>
            <w:tcW w:type="dxa" w:w="24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Primary output</w:t>
            </w:r>
          </w:p>
        </w:tc>
        <w:tc>
          <w:tcPr>
            <w:tcW w:type="dxa" w:w="23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Platform</w:t>
            </w:r>
          </w:p>
        </w:tc>
      </w:tr>
      <w:tr>
        <w:tc>
          <w:tcPr>
            <w:tcW w:type="dxa" w:w="6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8C0E08"/>
                <w:sz w:val="22"/>
                <w:szCs w:val="22"/>
              </w:rPr>
              <w:t xml:space="preserve">1</w:t>
            </w:r>
          </w:p>
        </w:tc>
        <w:tc>
          <w:tcPr>
            <w:tcW w:type="dxa" w:w="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b/>
                <w:bCs/>
                <w:sz w:val="20"/>
                <w:szCs w:val="20"/>
              </w:rPr>
              <w:t xml:space="preserve">Profile and load the source data</w:t>
            </w:r>
          </w:p>
        </w:tc>
        <w:tc>
          <w:tcPr>
            <w:tcW w:type="dxa" w:w="24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sz w:val="18"/>
                <w:szCs w:val="18"/>
              </w:rPr>
              <w:t xml:space="preserve">Schema dictionary, gap list</w:t>
            </w:r>
          </w:p>
        </w:tc>
        <w:tc>
          <w:tcPr>
            <w:tcW w:type="dxa" w:w="23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2</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Find the payment processes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Payment process register</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3</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Classify Payment Nature for processes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Process × Nature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4</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Find the JUNO payment controls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JUNO control population</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TD SQL + SAS</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5</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Discover bespoke controls outside JUNO</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Bespoke control register</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6</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Convergence loop between steps 2 and 4</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Stabilised populations</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orchestration</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7</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Assign Payment Nature to controls</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Control × Nature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8</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Map each control to Master Controls</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Control × Master Control mapping</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b/>
                <w:bCs/>
                <w:color w:val="8C0E08"/>
                <w:sz w:val="22"/>
                <w:szCs w:val="22"/>
              </w:rPr>
              <w:t xml:space="preserve">9</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
            </w:r>
          </w:p>
        </w:tc>
        <w:tc>
          <w:tcPr>
            <w:tcW w:type="dxa" w:w="3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sz w:val="20"/>
                <w:szCs w:val="20"/>
              </w:rPr>
              <w:t xml:space="preserve">Place controls in payment lifecycle</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18"/>
                <w:szCs w:val="18"/>
              </w:rPr>
              <w:t xml:space="preserve">Control × lifecycle stage mapping</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jc w:val="center"/>
            </w:pPr>
            <w:r>
              <w:rPr>
                <w:color w:val="5C5C5C"/>
                <w:sz w:val="18"/>
                <w:szCs w:val="18"/>
              </w:rPr>
              <w:t xml:space="preserve">SAS (LLM)</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10</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Build the bridge table</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Process×Control×CT×Nature×Stage</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w:t>
            </w:r>
          </w:p>
        </w:tc>
      </w:tr>
      <w:tr>
        <w:tc>
          <w:tcPr>
            <w:tcW w:type="dxa" w:w="6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8C0E08"/>
                <w:sz w:val="22"/>
                <w:szCs w:val="22"/>
              </w:rPr>
              <w:t xml:space="preserve">11</w:t>
            </w:r>
          </w:p>
        </w:tc>
        <w:tc>
          <w:tcPr>
            <w:tcW w:type="dxa" w:w="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b/>
                <w:bCs/>
                <w:sz w:val="20"/>
                <w:szCs w:val="20"/>
              </w:rPr>
              <w:t xml:space="preserve">Produce the analytical outputs</w:t>
            </w:r>
          </w:p>
        </w:tc>
        <w:tc>
          <w:tcPr>
            <w:tcW w:type="dxa" w:w="24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pPr>
            <w:r>
              <w:rPr>
                <w:sz w:val="18"/>
                <w:szCs w:val="18"/>
              </w:rPr>
              <w:t xml:space="preserve">Coverage, gaps, duplicates, backlog</w:t>
            </w:r>
          </w:p>
        </w:tc>
        <w:tc>
          <w:tcPr>
            <w:tcW w:type="dxa" w:w="2300"/>
            <w:tcBorders>
              <w:top w:val="single" w:color="BFBFBF" w:sz="4"/>
              <w:left w:val="single" w:color="BFBFBF" w:sz="4"/>
              <w:bottom w:val="single" w:color="BFBFBF" w:sz="4"/>
              <w:right w:val="single" w:color="BFBFBF" w:sz="4"/>
            </w:tcBorders>
            <w:shd w:fill="FBE9E7" w:color="auto" w:val="clear"/>
            <w:tcMar>
              <w:top w:type="dxa" w:w="90"/>
              <w:left w:type="dxa" w:w="130"/>
              <w:bottom w:type="dxa" w:w="90"/>
              <w:right w:type="dxa" w:w="130"/>
            </w:tcMar>
            <w:vAlign w:val="center"/>
          </w:tcPr>
          <w:p>
            <w:pPr>
              <w:spacing w:after="0"/>
              <w:jc w:val="center"/>
            </w:pPr>
            <w:r>
              <w:rPr>
                <w:color w:val="5C5C5C"/>
                <w:sz w:val="18"/>
                <w:szCs w:val="18"/>
              </w:rPr>
              <w:t xml:space="preserve">SAS</w:t>
            </w:r>
          </w:p>
        </w:tc>
      </w:tr>
      <w:tr>
        <w:tc>
          <w:tcPr>
            <w:tcW w:type="dxa" w:w="6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8C0E08"/>
                <w:sz w:val="22"/>
                <w:szCs w:val="22"/>
              </w:rPr>
              <w:t xml:space="preserve">12</w:t>
            </w:r>
          </w:p>
        </w:tc>
        <w:tc>
          <w:tcPr>
            <w:tcW w:type="dxa" w:w="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b/>
                <w:bCs/>
                <w:color w:val="DA1710"/>
                <w:sz w:val="18"/>
                <w:szCs w:val="18"/>
              </w:rPr>
              <w:t xml:space="preserve">MVP</w:t>
            </w:r>
          </w:p>
        </w:tc>
        <w:tc>
          <w:tcPr>
            <w:tcW w:type="dxa" w:w="3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sz w:val="20"/>
                <w:szCs w:val="20"/>
              </w:rPr>
              <w:t xml:space="preserve">Validate via independent LRM</w:t>
            </w:r>
          </w:p>
        </w:tc>
        <w:tc>
          <w:tcPr>
            <w:tcW w:type="dxa" w:w="24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sz w:val="18"/>
                <w:szCs w:val="18"/>
              </w:rPr>
              <w:t xml:space="preserve">Pass / iterate decision</w:t>
            </w:r>
          </w:p>
        </w:tc>
        <w:tc>
          <w:tcPr>
            <w:tcW w:type="dxa" w:w="23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jc w:val="center"/>
            </w:pPr>
            <w:r>
              <w:rPr>
                <w:color w:val="5C5C5C"/>
                <w:sz w:val="18"/>
                <w:szCs w:val="18"/>
              </w:rPr>
              <w:t xml:space="preserve">SAS + independent LRM</w:t>
            </w:r>
          </w:p>
        </w:tc>
      </w:tr>
    </w:tbl>
    <w:p>
      <w:pPr>
        <w:spacing w:after="100" w:before="120"/>
      </w:pPr>
      <w:r>
        <w:rPr>
          <w:b/>
          <w:bCs/>
          <w:color w:val="DA1710"/>
          <w:sz w:val="20"/>
          <w:szCs w:val="20"/>
        </w:rPr>
        <w:t xml:space="preserve">MVP path. </w:t>
      </w:r>
      <w:r>
        <w:rPr>
          <w:sz w:val="20"/>
          <w:szCs w:val="20"/>
        </w:rPr>
        <w:t xml:space="preserve">Steps 1, 2, 4, 6, 8, 10, 11, 12 deliver the headline finding (coverage heatmap + gap register on registered controls). Steps 3, 5, 7, 9 enrich the result with Payment Nature stratification, unregistered control discovery, and lifecycle placement, but are not required to produce the first defensible answer. Sponsor demo can run on MVP only.</w:t>
      </w:r>
    </w:p>
    <w:p>
      <w:pPr>
        <w:spacing w:after="140" w:before="280"/>
      </w:pPr>
      <w:r>
        <w:rPr>
          <w:b/>
          <w:bCs/>
          <w:color w:val="8C0E08"/>
          <w:sz w:val="26"/>
          <w:szCs w:val="26"/>
        </w:rPr>
        <w:t xml:space="preserve">The twelve steps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w:t>
            </w:r>
            <w:r>
              <w:rPr>
                <w:sz w:val="22"/>
                <w:szCs w:val="22"/>
              </w:rPr>
              <w:t xml:space="preserve">    </w:t>
            </w:r>
            <w:r>
              <w:rPr>
                <w:b/>
                <w:bCs/>
                <w:color w:val="8C0E08"/>
                <w:sz w:val="28"/>
                <w:szCs w:val="28"/>
              </w:rPr>
              <w:t xml:space="preserve">Profile and load the source data</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Establish what we actually have before making any decisions about how to use it. Confirm the two-engine model can carry each downstream step.</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control + ratings extract (Teradata)</w:t>
            </w:r>
          </w:p>
          <w:p>
            <w:pPr>
              <w:spacing w:after="20"/>
            </w:pPr>
            <w:r>
              <w:rPr>
                <w:sz w:val="20"/>
                <w:szCs w:val="20"/>
              </w:rPr>
              <w:t xml:space="preserve">•  Linkage tables Control↔Process / Obligation / Incident / Issue (Teradata)</w:t>
            </w:r>
          </w:p>
          <w:p>
            <w:pPr>
              <w:spacing w:after="20"/>
            </w:pPr>
            <w:r>
              <w:rPr>
                <w:sz w:val="20"/>
                <w:szCs w:val="20"/>
              </w:rPr>
              <w:t xml:space="preserve">•  Obligations, Incidents, Issues (Teradata)</w:t>
            </w:r>
          </w:p>
          <w:p>
            <w:pPr>
              <w:spacing w:after="20"/>
            </w:pPr>
            <w:r>
              <w:rPr>
                <w:sz w:val="20"/>
                <w:szCs w:val="20"/>
              </w:rPr>
              <w:t xml:space="preserve">•  Holocentric process extract (CSV)</w:t>
            </w:r>
          </w:p>
          <w:p>
            <w:pPr>
              <w:spacing w:after="20"/>
            </w:pPr>
            <w:r>
              <w:rPr>
                <w:sz w:val="20"/>
                <w:szCs w:val="20"/>
              </w:rPr>
              <w:t xml:space="preserve">•  Alfabet application register (CSV)</w:t>
            </w:r>
          </w:p>
          <w:p>
            <w:pPr>
              <w:spacing w:after="20"/>
            </w:pPr>
            <w:r>
              <w:rPr>
                <w:sz w:val="20"/>
                <w:szCs w:val="20"/>
              </w:rPr>
              <w:t xml:space="preserve">•  ALEX extract if available (CSV)</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Teradata-side: profile JUNO and the linkage tables via pass-through queries. Row counts, column distributions, null rates, orphan-key analysis. Materialise minimal SAS staging copies of the columns we will actually use.</w:t>
            </w:r>
          </w:p>
          <w:p>
            <w:pPr>
              <w:spacing w:after="100" w:before="40"/>
              <w:jc w:val="left"/>
            </w:pPr>
            <w:r>
              <w:rPr>
                <w:sz w:val="20"/>
                <w:szCs w:val="20"/>
              </w:rPr>
              <w:t xml:space="preserve">SAS-side: ingest CSV extracts. Standardise schemas. Build the schema dictionary covering both engines.</w:t>
            </w:r>
          </w:p>
          <w:p>
            <w:pPr>
              <w:spacing w:after="100" w:before="40"/>
              <w:jc w:val="left"/>
            </w:pPr>
            <w:r>
              <w:rPr>
                <w:sz w:val="20"/>
                <w:szCs w:val="20"/>
              </w:rPr>
              <w:t xml:space="preserve">Verify join keys reconcile across engines: every CTRL_ID in the SAS-loaded extracts can be resolved against the Teradata-resident JUNO; every BUS_UNIT_BCRM_ID in the linkage table resolves to a Holocentric activity ID.</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Schema dictionary (one row per field per source per engine)</w:t>
            </w:r>
          </w:p>
          <w:p>
            <w:pPr>
              <w:spacing w:after="20"/>
            </w:pPr>
            <w:r>
              <w:rPr>
                <w:sz w:val="20"/>
                <w:szCs w:val="20"/>
              </w:rPr>
              <w:t xml:space="preserve">•  Data quality findings (orphan keys, null rates, surprises)</w:t>
            </w:r>
          </w:p>
          <w:p>
            <w:pPr>
              <w:spacing w:after="20"/>
            </w:pPr>
            <w:r>
              <w:rPr>
                <w:sz w:val="20"/>
                <w:szCs w:val="20"/>
              </w:rPr>
              <w:t xml:space="preserve">•  Go / no-go decision per downstream step based on data availability</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warehouse profiling; SAS for CSV ingestion and dictionary assembly.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source listed in inputs has a documented schema, every join key has been reconciled, and any data gaps are recorded with their downstream impact assessed.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2</w:t>
            </w:r>
            <w:r>
              <w:rPr>
                <w:sz w:val="22"/>
                <w:szCs w:val="22"/>
              </w:rPr>
              <w:t xml:space="preserve">    </w:t>
            </w:r>
            <w:r>
              <w:rPr>
                <w:b/>
                <w:bCs/>
                <w:color w:val="8C0E08"/>
                <w:sz w:val="28"/>
                <w:szCs w:val="28"/>
              </w:rPr>
              <w:t xml:space="preserve">Find the payment processes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Build a defensible payment process register. Single-tag classification is unsound: payment processes hide in non-payments value chains for legacy and modelling reasons.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Holocentric process universe (SAS staging from step 1)</w:t>
            </w:r>
          </w:p>
          <w:p>
            <w:pPr>
              <w:spacing w:after="20"/>
            </w:pPr>
            <w:r>
              <w:rPr>
                <w:sz w:val="20"/>
                <w:szCs w:val="20"/>
              </w:rPr>
              <w:t xml:space="preserve">•  Alfabet application register (SAS)</w:t>
            </w:r>
          </w:p>
          <w:p>
            <w:pPr>
              <w:spacing w:after="20"/>
            </w:pPr>
            <w:r>
              <w:rPr>
                <w:sz w:val="20"/>
                <w:szCs w:val="20"/>
              </w:rPr>
              <w:t xml:space="preserve">•  Linkage table (used in Pass 2+ via PP4, from Teradata)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Run six independent inclusion paths in PARALLEL over the full Holocentric universe. A process is included if any one path fires (logical OR). Each path is evaluated independently; no path filters the input of another. The output records all paths that fired plus a primary path (by confidence hierarchy).</w:t>
            </w:r>
          </w:p>
          <w:p>
            <w:pPr>
              <w:spacing w:after="40" w:before="80"/>
            </w:pPr>
            <w:r>
              <w:rPr>
                <w:b/>
                <w:bCs/>
                <w:sz w:val="20"/>
                <w:szCs w:val="20"/>
              </w:rPr>
              <w:t xml:space="preserve">Inclusion paths (parallel evaluation):</w:t>
            </w:r>
          </w:p>
          <w:p>
            <w:pPr>
              <w:pStyle w:val="ListParagraph"/>
              <w:numPr>
                <w:ilvl w:val="0"/>
                <w:numId w:val="2"/>
              </w:numPr>
              <w:spacing w:after="30"/>
            </w:pPr>
            <w:r>
              <w:rPr>
                <w:b/>
                <w:bCs/>
                <w:sz w:val="20"/>
                <w:szCs w:val="20"/>
              </w:rPr>
              <w:t xml:space="preserve">PP1 Hierarchy. </w:t>
            </w:r>
            <w:r>
              <w:rPr>
                <w:sz w:val="20"/>
                <w:szCs w:val="20"/>
              </w:rPr>
              <w:t xml:space="preserve">Process sits under a known payments L2/L3 family. SQL on hierarchy fields.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PP2 Value stream. </w:t>
            </w:r>
            <w:r>
              <w:rPr>
                <w:sz w:val="20"/>
                <w:szCs w:val="20"/>
              </w:rPr>
              <w:t xml:space="preserve">Process belongs to a payments-relevant value stream (Request to Payment, Fraud Detect to Correct). SQL on value_stream_name.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PP3 Application. </w:t>
            </w:r>
            <w:r>
              <w:rPr>
                <w:sz w:val="20"/>
                <w:szCs w:val="20"/>
              </w:rPr>
              <w:t xml:space="preserve">Process references a payment-relevant application via Holocentric.applications → Alfabet. </w:t>
            </w:r>
            <w:r>
              <w:rPr>
                <w:b/>
                <w:bCs/>
                <w:color w:val="3A3A3A"/>
                <w:sz w:val="20"/>
                <w:szCs w:val="20"/>
              </w:rPr>
              <w:t xml:space="preserve">Medium</w:t>
            </w:r>
            <w:r>
              <w:rPr>
                <w:sz w:val="20"/>
                <w:szCs w:val="20"/>
              </w:rPr>
              <w:t xml:space="preserve">.</w:t>
            </w:r>
          </w:p>
          <w:p>
            <w:pPr>
              <w:pStyle w:val="ListParagraph"/>
              <w:numPr>
                <w:ilvl w:val="0"/>
                <w:numId w:val="2"/>
              </w:numPr>
              <w:spacing w:after="30"/>
            </w:pPr>
            <w:r>
              <w:rPr>
                <w:b/>
                <w:bCs/>
                <w:sz w:val="20"/>
                <w:szCs w:val="20"/>
              </w:rPr>
              <w:t xml:space="preserve">PP4 Control linkage (reverse). </w:t>
            </w:r>
            <w:r>
              <w:rPr>
                <w:sz w:val="20"/>
                <w:szCs w:val="20"/>
              </w:rPr>
              <w:t xml:space="preserve">Process is linked to a control already included in step 4 as a payment control. Populated in Pass 2+ of step 6.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PP5 Keyword. </w:t>
            </w:r>
            <w:r>
              <w:rPr>
                <w:sz w:val="20"/>
                <w:szCs w:val="20"/>
              </w:rPr>
              <w:t xml:space="preserve">Process name or step description contains controlled payment terms. SAS regex over text fields. </w:t>
            </w:r>
            <w:r>
              <w:rPr>
                <w:b/>
                <w:bCs/>
                <w:color w:val="C00000"/>
                <w:sz w:val="20"/>
                <w:szCs w:val="20"/>
              </w:rPr>
              <w:t xml:space="preserve">Low → SME queue</w:t>
            </w:r>
            <w:r>
              <w:rPr>
                <w:sz w:val="20"/>
                <w:szCs w:val="20"/>
              </w:rPr>
              <w:t xml:space="preserve">.</w:t>
            </w:r>
          </w:p>
          <w:p>
            <w:pPr>
              <w:pStyle w:val="ListParagraph"/>
              <w:numPr>
                <w:ilvl w:val="0"/>
                <w:numId w:val="2"/>
              </w:numPr>
              <w:spacing w:after="30"/>
            </w:pPr>
            <w:r>
              <w:rPr>
                <w:b/>
                <w:bCs/>
                <w:sz w:val="20"/>
                <w:szCs w:val="20"/>
              </w:rPr>
              <w:t xml:space="preserve">PP6 Embedding similarity. </w:t>
            </w:r>
            <w:r>
              <w:rPr>
                <w:sz w:val="20"/>
                <w:szCs w:val="20"/>
              </w:rPr>
              <w:t xml:space="preserve">Process embedding within calibrated cosine distance of the high-confidence core (PP1–PP3). </w:t>
            </w:r>
            <w:r>
              <w:rPr>
                <w:b/>
                <w:bCs/>
                <w:color w:val="C00000"/>
                <w:sz w:val="20"/>
                <w:szCs w:val="20"/>
              </w:rPr>
              <w:t xml:space="preserve">Low / Medium → SME queue</w:t>
            </w:r>
            <w:r>
              <w:rPr>
                <w:sz w:val="20"/>
                <w:szCs w:val="20"/>
              </w:rPr>
              <w:t xml:space="preserve">.</w:t>
            </w:r>
          </w:p>
          <w:p>
            <w:pPr>
              <w:spacing w:after="40" w:before="100"/>
            </w:pPr>
            <w:r>
              <w:rPr>
                <w:b/>
                <w:bCs/>
                <w:sz w:val="20"/>
                <w:szCs w:val="20"/>
              </w:rPr>
              <w:t xml:space="preserve">Inclusion confidence rollup (deterministic, per process):</w:t>
            </w:r>
          </w:p>
          <w:p>
            <w:pPr>
              <w:pStyle w:val="ListParagraph"/>
              <w:numPr>
                <w:ilvl w:val="0"/>
                <w:numId w:val="2"/>
              </w:numPr>
              <w:spacing w:after="30"/>
            </w:pPr>
            <w:r>
              <w:rPr>
                <w:b/>
                <w:bCs/>
                <w:color w:val="8C0E08"/>
                <w:sz w:val="20"/>
                <w:szCs w:val="20"/>
              </w:rPr>
              <w:t xml:space="preserve">High: </w:t>
            </w:r>
            <w:r>
              <w:rPr>
                <w:sz w:val="20"/>
                <w:szCs w:val="20"/>
              </w:rPr>
              <w:t xml:space="preserve">≥2 paths fire including ≥1 of PP1, PP2, PP4.</w:t>
            </w:r>
          </w:p>
          <w:p>
            <w:pPr>
              <w:pStyle w:val="ListParagraph"/>
              <w:numPr>
                <w:ilvl w:val="0"/>
                <w:numId w:val="2"/>
              </w:numPr>
              <w:spacing w:after="30"/>
            </w:pPr>
            <w:r>
              <w:rPr>
                <w:b/>
                <w:bCs/>
                <w:color w:val="3A3A3A"/>
                <w:sz w:val="20"/>
                <w:szCs w:val="20"/>
              </w:rPr>
              <w:t xml:space="preserve">Medium: </w:t>
            </w:r>
            <w:r>
              <w:rPr>
                <w:sz w:val="20"/>
                <w:szCs w:val="20"/>
              </w:rPr>
              <w:t xml:space="preserve">exactly one of PP1, PP2, PP4 fires, or PP3 fires alone.</w:t>
            </w:r>
          </w:p>
          <w:p>
            <w:pPr>
              <w:pStyle w:val="ListParagraph"/>
              <w:numPr>
                <w:ilvl w:val="0"/>
                <w:numId w:val="2"/>
              </w:numPr>
              <w:spacing w:after="30"/>
            </w:pPr>
            <w:r>
              <w:rPr>
                <w:b/>
                <w:bCs/>
                <w:color w:val="C00000"/>
                <w:sz w:val="20"/>
                <w:szCs w:val="20"/>
              </w:rPr>
              <w:t xml:space="preserve">Low: </w:t>
            </w:r>
            <w:r>
              <w:rPr>
                <w:sz w:val="20"/>
                <w:szCs w:val="20"/>
              </w:rPr>
              <w:t xml:space="preserve">only PP5 or PP6 fires. Quarantined to SME queue; does not auto-include.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(one row per process with all paths fired, primary path, confidence)</w:t>
            </w:r>
          </w:p>
          <w:p>
            <w:pPr>
              <w:spacing w:after="20"/>
            </w:pPr>
            <w:r>
              <w:rPr>
                <w:sz w:val="20"/>
                <w:szCs w:val="20"/>
              </w:rPr>
              <w:t xml:space="preserve">•  SME queue (Low-confidence inclusions, ordered by enrichment-signal score (see step 4))</w:t>
            </w:r>
          </w:p>
          <w:p>
            <w:pPr>
              <w:spacing w:after="20"/>
            </w:pPr>
            <w:r>
              <w:rPr>
                <w:sz w:val="20"/>
                <w:szCs w:val="20"/>
              </w:rPr>
              <w:t xml:space="preserve">•  Audit log: for every Holocentric process, the paths evaluated and the decision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PP1–PP3, PP5 (CSV-resident). Teradata SQL pass-through for PP4 (uses linkage table). SAS LLM workflow for PP6.</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six paths have run, the SME queue is ordered, and the audit log accounts for every Holocentric L3 activity in the universe.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for PP6 must pass step 12 thresholds before PP6 scales to the full universe.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3</w:t>
            </w:r>
            <w:r>
              <w:rPr>
                <w:sz w:val="22"/>
                <w:szCs w:val="22"/>
              </w:rPr>
              <w:t xml:space="preserve">    </w:t>
            </w:r>
            <w:r>
              <w:rPr>
                <w:b/>
                <w:bCs/>
                <w:color w:val="8C0E08"/>
                <w:sz w:val="28"/>
                <w:szCs w:val="28"/>
              </w:rPr>
              <w:t xml:space="preserve">Classify Payment Nature for each payment process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Tag every payment process with one or more Payment Natures. Coverage assessment depends on this stratification; inherent risk varies materially by nature.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(from step 2)</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For each process in the payment process register, the LLM classifies which Payment Natures apply. A process can have multiple natures (it serves multiple flows). The LLM returns all applicable natures with per-nature confidence and grounded rationale.</w:t>
            </w:r>
          </w:p>
          <w:p>
            <w:pPr>
              <w:spacing w:after="40" w:before="60"/>
            </w:pPr>
            <w:r>
              <w:rPr>
                <w:b/>
                <w:bCs/>
                <w:sz w:val="20"/>
                <w:szCs w:val="20"/>
              </w:rPr>
              <w:t xml:space="preserve">Prompt shape:</w:t>
            </w:r>
          </w:p>
          <w:p>
            <w:pPr>
              <w:pStyle w:val="ListParagraph"/>
              <w:numPr>
                <w:ilvl w:val="0"/>
                <w:numId w:val="2"/>
              </w:numPr>
              <w:spacing w:after="30"/>
            </w:pPr>
            <w:r>
              <w:rPr>
                <w:b/>
                <w:bCs/>
                <w:sz w:val="20"/>
                <w:szCs w:val="20"/>
              </w:rPr>
              <w:t xml:space="preserve">System context: </w:t>
            </w:r>
            <w:r>
              <w:rPr>
                <w:sz w:val="20"/>
                <w:szCs w:val="20"/>
              </w:rPr>
              <w:t xml:space="preserve">the five Payment Nature definitions and the inherent risk attached to each (C→C and I→C are High; C→I and I→I are Medium; Supplier/Employee is Low).</w:t>
            </w:r>
          </w:p>
          <w:p>
            <w:pPr>
              <w:pStyle w:val="ListParagraph"/>
              <w:numPr>
                <w:ilvl w:val="0"/>
                <w:numId w:val="2"/>
              </w:numPr>
              <w:spacing w:after="30"/>
            </w:pPr>
            <w:r>
              <w:rPr>
                <w:b/>
                <w:bCs/>
                <w:sz w:val="20"/>
                <w:szCs w:val="20"/>
              </w:rPr>
              <w:t xml:space="preserve">Per-process input: </w:t>
            </w:r>
            <w:r>
              <w:rPr>
                <w:sz w:val="20"/>
                <w:szCs w:val="20"/>
              </w:rPr>
              <w:t xml:space="preserve">process name, step descriptions, value stream, applications used.</w:t>
            </w:r>
          </w:p>
          <w:p>
            <w:pPr>
              <w:pStyle w:val="ListParagraph"/>
              <w:numPr>
                <w:ilvl w:val="0"/>
                <w:numId w:val="2"/>
              </w:numPr>
              <w:spacing w:after="30"/>
            </w:pPr>
            <w:r>
              <w:rPr>
                <w:b/>
                <w:bCs/>
                <w:sz w:val="20"/>
                <w:szCs w:val="20"/>
              </w:rPr>
              <w:t xml:space="preserve">Per-process output: </w:t>
            </w:r>
            <w:r>
              <w:rPr>
                <w:sz w:val="20"/>
                <w:szCs w:val="20"/>
              </w:rPr>
              <w:t xml:space="preserve">list of applicable Payment Natures, per-nature confidence (H/M/L), 1–2 sentence rationale citing source text, requires-SME flag if any confidence is Low.</w:t>
            </w:r>
          </w:p>
          <w:p>
            <w:pPr>
              <w:spacing w:after="100" w:before="80"/>
              <w:jc w:val="left"/>
            </w:pPr>
            <w:r>
              <w:rPr>
                <w:sz w:val="20"/>
                <w:szCs w:val="20"/>
              </w:rPr>
              <w:t xml:space="preserve">Single-process calls. Structured JSON output, schema-enforced. Provenance captured per result.</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Process × Payment Nature mapping (one row per process per applicable nature)</w:t>
            </w:r>
          </w:p>
          <w:p>
            <w:pPr>
              <w:spacing w:after="20"/>
            </w:pPr>
            <w:r>
              <w:rPr>
                <w:sz w:val="20"/>
                <w:szCs w:val="20"/>
              </w:rPr>
              <w:t xml:space="preserve">•  SME queue for Low-confidence assignments and multi-nature edge cases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LLM workflow.</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process in the register has at least one Payment Nature assigned, and Low-confidence cases are routed to SME with rationale.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~30 processes (clear-in single-nature, multi-nature, ambiguous). Target: per-nature precision ≥0.85, recall ≥0.80.</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4</w:t>
            </w:r>
            <w:r>
              <w:rPr>
                <w:sz w:val="22"/>
                <w:szCs w:val="22"/>
              </w:rPr>
              <w:t xml:space="preserve">    </w:t>
            </w:r>
            <w:r>
              <w:rPr>
                <w:b/>
                <w:bCs/>
                <w:color w:val="8C0E08"/>
                <w:sz w:val="28"/>
                <w:szCs w:val="28"/>
              </w:rPr>
              <w:t xml:space="preserve">Find the JUNO payment controls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Build a defensible JUNO control population. The 7.4.x tag alone is unsound: payment controls also exist under other libraries, owned by non-Payments BUs, or registered before the current taxonomy.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control universe (Teradata)</w:t>
            </w:r>
          </w:p>
          <w:p>
            <w:pPr>
              <w:spacing w:after="20"/>
            </w:pPr>
            <w:r>
              <w:rPr>
                <w:sz w:val="20"/>
                <w:szCs w:val="20"/>
              </w:rPr>
              <w:t xml:space="preserve">•  Linkage tables (Teradata)</w:t>
            </w:r>
          </w:p>
          <w:p>
            <w:pPr>
              <w:spacing w:after="20"/>
            </w:pPr>
            <w:r>
              <w:rPr>
                <w:sz w:val="20"/>
                <w:szCs w:val="20"/>
              </w:rPr>
              <w:t xml:space="preserve">•  Payment process register (SAS, from step 2), used by P2 in Pass 2+</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Run six independent inclusion paths in PARALLEL over the full JUNO control universe. A control is included if any one path fires. Symmetric to step 2. Same parallel-OR logic and same confidence rollup.</w:t>
            </w:r>
          </w:p>
          <w:p>
            <w:pPr>
              <w:spacing w:after="40" w:before="80"/>
            </w:pPr>
            <w:r>
              <w:rPr>
                <w:b/>
                <w:bCs/>
                <w:sz w:val="20"/>
                <w:szCs w:val="20"/>
              </w:rPr>
              <w:t xml:space="preserve">Inclusion paths (parallel evaluation):</w:t>
            </w:r>
          </w:p>
          <w:p>
            <w:pPr>
              <w:pStyle w:val="ListParagraph"/>
              <w:numPr>
                <w:ilvl w:val="0"/>
                <w:numId w:val="2"/>
              </w:numPr>
              <w:spacing w:after="30"/>
            </w:pPr>
            <w:r>
              <w:rPr>
                <w:b/>
                <w:bCs/>
                <w:sz w:val="20"/>
                <w:szCs w:val="20"/>
              </w:rPr>
              <w:t xml:space="preserve">P1 Taxonomy tag. </w:t>
            </w:r>
            <w:r>
              <w:rPr>
                <w:sz w:val="20"/>
                <w:szCs w:val="20"/>
              </w:rPr>
              <w:t xml:space="preserve">Control's risk_library_id is in the 7.4.x Payments family.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P2 Process linkage. </w:t>
            </w:r>
            <w:r>
              <w:rPr>
                <w:sz w:val="20"/>
                <w:szCs w:val="20"/>
              </w:rPr>
              <w:t xml:space="preserve">Control linked to a process classified as payment in step 2. Populated in Pass 2+ of step 6.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P3 Obligation linkage. </w:t>
            </w:r>
            <w:r>
              <w:rPr>
                <w:sz w:val="20"/>
                <w:szCs w:val="20"/>
              </w:rPr>
              <w:t xml:space="preserve">Control linked to an obligation derived from payments regulation (NPP, BECS, RBA, ePayments Code, AUSTRAC). </w:t>
            </w:r>
            <w:r>
              <w:rPr>
                <w:b/>
                <w:bCs/>
                <w:color w:val="8C0E08"/>
                <w:sz w:val="20"/>
                <w:szCs w:val="20"/>
              </w:rPr>
              <w:t xml:space="preserve">High</w:t>
            </w:r>
            <w:r>
              <w:rPr>
                <w:sz w:val="20"/>
                <w:szCs w:val="20"/>
              </w:rPr>
              <w:t xml:space="preserve">.</w:t>
            </w:r>
          </w:p>
          <w:p>
            <w:pPr>
              <w:pStyle w:val="ListParagraph"/>
              <w:numPr>
                <w:ilvl w:val="0"/>
                <w:numId w:val="2"/>
              </w:numPr>
              <w:spacing w:after="30"/>
            </w:pPr>
            <w:r>
              <w:rPr>
                <w:b/>
                <w:bCs/>
                <w:sz w:val="20"/>
                <w:szCs w:val="20"/>
              </w:rPr>
              <w:t xml:space="preserve">P4 Incident / issue linkage. </w:t>
            </w:r>
            <w:r>
              <w:rPr>
                <w:sz w:val="20"/>
                <w:szCs w:val="20"/>
              </w:rPr>
              <w:t xml:space="preserve">Control linked to a payments-classified incident or issue. </w:t>
            </w:r>
            <w:r>
              <w:rPr>
                <w:b/>
                <w:bCs/>
                <w:color w:val="3A3A3A"/>
                <w:sz w:val="20"/>
                <w:szCs w:val="20"/>
              </w:rPr>
              <w:t xml:space="preserve">Medium</w:t>
            </w:r>
            <w:r>
              <w:rPr>
                <w:sz w:val="20"/>
                <w:szCs w:val="20"/>
              </w:rPr>
              <w:t xml:space="preserve">.</w:t>
            </w:r>
          </w:p>
          <w:p>
            <w:pPr>
              <w:pStyle w:val="ListParagraph"/>
              <w:numPr>
                <w:ilvl w:val="0"/>
                <w:numId w:val="2"/>
              </w:numPr>
              <w:spacing w:after="30"/>
            </w:pPr>
            <w:r>
              <w:rPr>
                <w:b/>
                <w:bCs/>
                <w:sz w:val="20"/>
                <w:szCs w:val="20"/>
              </w:rPr>
              <w:t xml:space="preserve">P5 Keyword. </w:t>
            </w:r>
            <w:r>
              <w:rPr>
                <w:sz w:val="20"/>
                <w:szCs w:val="20"/>
              </w:rPr>
              <w:t xml:space="preserve">Control name/description contains controlled payment terms. </w:t>
            </w:r>
            <w:r>
              <w:rPr>
                <w:b/>
                <w:bCs/>
                <w:color w:val="C00000"/>
                <w:sz w:val="20"/>
                <w:szCs w:val="20"/>
              </w:rPr>
              <w:t xml:space="preserve">Low → SME queue</w:t>
            </w:r>
            <w:r>
              <w:rPr>
                <w:sz w:val="20"/>
                <w:szCs w:val="20"/>
              </w:rPr>
              <w:t xml:space="preserve">.</w:t>
            </w:r>
          </w:p>
          <w:p>
            <w:pPr>
              <w:pStyle w:val="ListParagraph"/>
              <w:numPr>
                <w:ilvl w:val="0"/>
                <w:numId w:val="2"/>
              </w:numPr>
              <w:spacing w:after="30"/>
            </w:pPr>
            <w:r>
              <w:rPr>
                <w:b/>
                <w:bCs/>
                <w:sz w:val="20"/>
                <w:szCs w:val="20"/>
              </w:rPr>
              <w:t xml:space="preserve">P6 Embedding similarity. </w:t>
            </w:r>
            <w:r>
              <w:rPr>
                <w:sz w:val="20"/>
                <w:szCs w:val="20"/>
              </w:rPr>
              <w:t xml:space="preserve">Control embedding within calibrated cosine distance of the high-confidence core (controls firing P1–P3). </w:t>
            </w:r>
            <w:r>
              <w:rPr>
                <w:b/>
                <w:bCs/>
                <w:color w:val="C00000"/>
                <w:sz w:val="20"/>
                <w:szCs w:val="20"/>
              </w:rPr>
              <w:t xml:space="preserve">Low / Medium → SME queue</w:t>
            </w:r>
            <w:r>
              <w:rPr>
                <w:sz w:val="20"/>
                <w:szCs w:val="20"/>
              </w:rPr>
              <w:t xml:space="preserve">.</w:t>
            </w:r>
          </w:p>
          <w:p>
            <w:pPr>
              <w:spacing w:after="40" w:before="100"/>
            </w:pPr>
            <w:r>
              <w:rPr>
                <w:b/>
                <w:bCs/>
                <w:sz w:val="20"/>
                <w:szCs w:val="20"/>
              </w:rPr>
              <w:t xml:space="preserve">Inclusion confidence rollup:</w:t>
            </w:r>
          </w:p>
          <w:p>
            <w:pPr>
              <w:pStyle w:val="ListParagraph"/>
              <w:numPr>
                <w:ilvl w:val="0"/>
                <w:numId w:val="2"/>
              </w:numPr>
              <w:spacing w:after="30"/>
            </w:pPr>
            <w:r>
              <w:rPr>
                <w:b/>
                <w:bCs/>
                <w:color w:val="8C0E08"/>
                <w:sz w:val="20"/>
                <w:szCs w:val="20"/>
              </w:rPr>
              <w:t xml:space="preserve">High: </w:t>
            </w:r>
            <w:r>
              <w:rPr>
                <w:sz w:val="20"/>
                <w:szCs w:val="20"/>
              </w:rPr>
              <w:t xml:space="preserve">≥2 paths fire including ≥1 of P1, P2, P3.</w:t>
            </w:r>
          </w:p>
          <w:p>
            <w:pPr>
              <w:pStyle w:val="ListParagraph"/>
              <w:numPr>
                <w:ilvl w:val="0"/>
                <w:numId w:val="2"/>
              </w:numPr>
              <w:spacing w:after="30"/>
            </w:pPr>
            <w:r>
              <w:rPr>
                <w:b/>
                <w:bCs/>
                <w:color w:val="3A3A3A"/>
                <w:sz w:val="20"/>
                <w:szCs w:val="20"/>
              </w:rPr>
              <w:t xml:space="preserve">Medium: </w:t>
            </w:r>
            <w:r>
              <w:rPr>
                <w:sz w:val="20"/>
                <w:szCs w:val="20"/>
              </w:rPr>
              <w:t xml:space="preserve">exactly one of P1, P2, P3 fires, or P4 fires alone.</w:t>
            </w:r>
          </w:p>
          <w:p>
            <w:pPr>
              <w:pStyle w:val="ListParagraph"/>
              <w:numPr>
                <w:ilvl w:val="0"/>
                <w:numId w:val="2"/>
              </w:numPr>
              <w:spacing w:after="30"/>
            </w:pPr>
            <w:r>
              <w:rPr>
                <w:b/>
                <w:bCs/>
                <w:color w:val="C00000"/>
                <w:sz w:val="20"/>
                <w:szCs w:val="20"/>
              </w:rPr>
              <w:t xml:space="preserve">Low: </w:t>
            </w:r>
            <w:r>
              <w:rPr>
                <w:sz w:val="20"/>
                <w:szCs w:val="20"/>
              </w:rPr>
              <w:t xml:space="preserve">only P5 or P6 fires. Quarantined to SME queue; does not auto-include.</w:t>
            </w:r>
          </w:p>
          <w:p>
            <w:pPr>
              <w:spacing w:after="40" w:before="140"/>
            </w:pPr>
            <w:r>
              <w:rPr>
                <w:b/>
                <w:bCs/>
                <w:color w:val="8C0E08"/>
                <w:sz w:val="20"/>
                <w:szCs w:val="20"/>
              </w:rPr>
              <w:t xml:space="preserve">Enrichment signals (prioritise the SME queue ONLY; do not trigger inclusion):</w:t>
            </w:r>
          </w:p>
          <w:p>
            <w:pPr>
              <w:pStyle w:val="ListParagraph"/>
              <w:numPr>
                <w:ilvl w:val="0"/>
                <w:numId w:val="2"/>
              </w:numPr>
              <w:spacing w:after="30"/>
            </w:pPr>
            <w:r>
              <w:rPr>
                <w:b/>
                <w:bCs/>
                <w:sz w:val="20"/>
                <w:szCs w:val="20"/>
              </w:rPr>
              <w:t xml:space="preserve">Owner clustering. </w:t>
            </w:r>
            <w:r>
              <w:rPr>
                <w:sz w:val="20"/>
                <w:szCs w:val="20"/>
              </w:rPr>
              <w:t xml:space="preserve">If a business unit has ≥80% of its controls included via P1–P3, that BU's remaining controls receive a higher SME-review priority.</w:t>
            </w:r>
          </w:p>
          <w:p>
            <w:pPr>
              <w:pStyle w:val="ListParagraph"/>
              <w:numPr>
                <w:ilvl w:val="0"/>
                <w:numId w:val="2"/>
              </w:numPr>
              <w:spacing w:after="30"/>
            </w:pPr>
            <w:r>
              <w:rPr>
                <w:b/>
                <w:bCs/>
                <w:sz w:val="20"/>
                <w:szCs w:val="20"/>
              </w:rPr>
              <w:t xml:space="preserve">Process-adjacency. </w:t>
            </w:r>
            <w:r>
              <w:rPr>
                <w:sz w:val="20"/>
                <w:szCs w:val="20"/>
              </w:rPr>
              <w:t xml:space="preserve">Controls owned by the same BU or operating on the same system as already-linked controls, but not themselves linked, receive higher SME-review priority.</w:t>
            </w:r>
          </w:p>
          <w:p>
            <w:pPr>
              <w:spacing w:after="100" w:before="0"/>
            </w:pPr>
            <w:r>
              <w:rPr>
                <w:i/>
                <w:iCs/>
                <w:color w:val="5C5C5C"/>
                <w:sz w:val="20"/>
                <w:szCs w:val="20"/>
              </w:rPr>
              <w:t xml:space="preserve">Role of enrichment signals is solely to order the SME queue. </w:t>
            </w:r>
            <w:r>
              <w:rPr>
                <w:sz w:val="20"/>
                <w:szCs w:val="20"/>
              </w:rPr>
              <w:t xml:space="preserve">They do not cause inclusion. A control firing zero inclusion paths but matching both enrichment signals is still excluded from the population. It is simply prioritised first when SMEs work the queue.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JUNO payment control population (Teradata staging table)</w:t>
            </w:r>
          </w:p>
          <w:p>
            <w:pPr>
              <w:spacing w:after="20"/>
            </w:pPr>
            <w:r>
              <w:rPr>
                <w:sz w:val="20"/>
                <w:szCs w:val="20"/>
              </w:rPr>
              <w:t xml:space="preserve">•  SME queue (Low-confidence inclusions, ordered by enrichment-signal score)</w:t>
            </w:r>
          </w:p>
          <w:p>
            <w:pPr>
              <w:spacing w:after="20"/>
            </w:pPr>
            <w:r>
              <w:rPr>
                <w:sz w:val="20"/>
                <w:szCs w:val="20"/>
              </w:rPr>
              <w:t xml:space="preserve">•  Audit log: every JUNO control with paths evaluated and decision</w:t>
            </w:r>
          </w:p>
          <w:p>
            <w:pPr>
              <w:spacing w:after="20"/>
            </w:pPr>
            <w:r>
              <w:rPr>
                <w:sz w:val="20"/>
                <w:szCs w:val="20"/>
              </w:rPr>
              <w:t xml:space="preserve">•  Taxonomy hygiene finding: proportion of payment controls included via paths other than P1, a reportable result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P1–P5 (linkage joins are heavy and warehouse-resident). SAS for P6 (LLM embedding workflow) and enrichment-signal scoring.</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six paths have run, the SME queue is ordered by enrichment score, and the audit log accounts for every CTRL_ID in JUNO.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for P6 must pass step 12 thresholds before P6 scales.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5</w:t>
            </w:r>
            <w:r>
              <w:rPr>
                <w:sz w:val="22"/>
                <w:szCs w:val="22"/>
              </w:rPr>
              <w:t xml:space="preserve">    </w:t>
            </w:r>
            <w:r>
              <w:rPr>
                <w:b/>
                <w:bCs/>
                <w:color w:val="8C0E08"/>
                <w:sz w:val="28"/>
                <w:szCs w:val="28"/>
              </w:rPr>
              <w:t xml:space="preserve">Discover bespoke (unregistered) controls</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Find controls that exist in practice but are not registered in JUNO. The PoC assesses the effective environment; controls that mitigate risk but are not formally registered must be surfaced (and become the JUNO registration backlog).</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Payment process register (from step 2)</w:t>
            </w:r>
          </w:p>
          <w:p>
            <w:pPr>
              <w:spacing w:after="20"/>
            </w:pPr>
            <w:r>
              <w:rPr>
                <w:sz w:val="20"/>
                <w:szCs w:val="20"/>
              </w:rPr>
              <w:t xml:space="preserve">•  JUNO control population (from step 4) for fuzzy matching</w:t>
            </w:r>
          </w:p>
          <w:p>
            <w:pPr>
              <w:spacing w:after="20"/>
            </w:pPr>
            <w:r>
              <w:rPr>
                <w:sz w:val="20"/>
                <w:szCs w:val="20"/>
              </w:rPr>
              <w:t xml:space="preserve">•  ALEX/Alfabet (conditional)</w:t>
            </w:r>
          </w:p>
          <w:p>
            <w:pPr>
              <w:spacing w:after="20"/>
            </w:pPr>
            <w:r>
              <w:rPr>
                <w:sz w:val="20"/>
                <w:szCs w:val="20"/>
              </w:rPr>
              <w:t xml:space="preserve">•  Incidents and issues with remediation/action text (Teradata)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Three streams of bespoke control discovery, each LLM-driven. Output is a single unified bespoke control register.</w:t>
            </w:r>
          </w:p>
          <w:p>
            <w:pPr>
              <w:spacing w:after="40" w:before="100"/>
            </w:pPr>
            <w:r>
              <w:rPr>
                <w:b/>
                <w:bCs/>
                <w:color w:val="8C0E08"/>
                <w:sz w:val="20"/>
                <w:szCs w:val="20"/>
              </w:rPr>
              <w:t xml:space="preserve">Stream A. Holocentric process-step controls.</w:t>
            </w:r>
          </w:p>
          <w:p>
            <w:pPr>
              <w:pStyle w:val="ListParagraph"/>
              <w:numPr>
                <w:ilvl w:val="0"/>
                <w:numId w:val="2"/>
              </w:numPr>
              <w:spacing w:after="30"/>
            </w:pPr>
            <w:r>
              <w:rPr>
                <w:sz w:val="20"/>
                <w:szCs w:val="20"/>
              </w:rPr>
              <w:t xml:space="preserve">Scope: every process in the payment process register (step 2 output).</w:t>
            </w:r>
          </w:p>
          <w:p>
            <w:pPr>
              <w:pStyle w:val="ListParagraph"/>
              <w:numPr>
                <w:ilvl w:val="0"/>
                <w:numId w:val="2"/>
              </w:numPr>
              <w:spacing w:after="30"/>
            </w:pPr>
            <w:r>
              <w:rPr>
                <w:sz w:val="20"/>
                <w:szCs w:val="20"/>
              </w:rPr>
              <w:t xml:space="preserve">LLM classifies each step: "does this step perform a control function?" Categories defined in prompt: check, approval, validation, reconciliation, segregation, threshold enforcement, dual control, monitoring.</w:t>
            </w:r>
          </w:p>
          <w:p>
            <w:pPr>
              <w:pStyle w:val="ListParagraph"/>
              <w:numPr>
                <w:ilvl w:val="0"/>
                <w:numId w:val="2"/>
              </w:numPr>
              <w:spacing w:after="30"/>
            </w:pPr>
            <w:r>
              <w:rPr>
                <w:sz w:val="20"/>
                <w:szCs w:val="20"/>
              </w:rPr>
              <w:t xml:space="preserve">Positive classifications fuzzy-matched against JUNO controls linked to the process. Matched → already registered. Unmatched → candidate bespoke control.</w:t>
            </w:r>
          </w:p>
          <w:p>
            <w:pPr>
              <w:spacing w:after="40" w:before="100"/>
            </w:pPr>
            <w:r>
              <w:rPr>
                <w:b/>
                <w:bCs/>
                <w:color w:val="8C0E08"/>
                <w:sz w:val="20"/>
                <w:szCs w:val="20"/>
              </w:rPr>
              <w:t xml:space="preserve">Stream B. ALEX / Alfabet system-enforced controls.</w:t>
            </w:r>
          </w:p>
          <w:p>
            <w:pPr>
              <w:pStyle w:val="ListParagraph"/>
              <w:numPr>
                <w:ilvl w:val="0"/>
                <w:numId w:val="2"/>
              </w:numPr>
              <w:spacing w:after="30"/>
            </w:pPr>
            <w:r>
              <w:rPr>
                <w:sz w:val="20"/>
                <w:szCs w:val="20"/>
              </w:rPr>
              <w:t xml:space="preserve">Scope: payment-relevant applications identified via Holocentric → Application.</w:t>
            </w:r>
          </w:p>
          <w:p>
            <w:pPr>
              <w:pStyle w:val="ListParagraph"/>
              <w:numPr>
                <w:ilvl w:val="0"/>
                <w:numId w:val="2"/>
              </w:numPr>
              <w:spacing w:after="30"/>
            </w:pPr>
            <w:r>
              <w:rPr>
                <w:sz w:val="20"/>
                <w:szCs w:val="20"/>
              </w:rPr>
              <w:t xml:space="preserve">LLM classification of configuration items, role definitions, enforcement rules.</w:t>
            </w:r>
          </w:p>
          <w:p>
            <w:pPr>
              <w:pStyle w:val="ListParagraph"/>
              <w:numPr>
                <w:ilvl w:val="0"/>
                <w:numId w:val="2"/>
              </w:numPr>
              <w:spacing w:after="30"/>
            </w:pPr>
            <w:r>
              <w:rPr>
                <w:sz w:val="20"/>
                <w:szCs w:val="20"/>
              </w:rPr>
              <w:t xml:space="preserve">Cross-check against JUNO automated controls for the same application.</w:t>
            </w:r>
          </w:p>
          <w:p>
            <w:pPr>
              <w:spacing w:after="100" w:before="0"/>
            </w:pPr>
            <w:r>
              <w:rPr>
                <w:b/>
                <w:bCs/>
                <w:color w:val="B07A00"/>
                <w:sz w:val="20"/>
                <w:szCs w:val="20"/>
              </w:rPr>
              <w:t xml:space="preserve">Conditional on ALEX data. </w:t>
            </w:r>
            <w:r>
              <w:rPr>
                <w:sz w:val="20"/>
                <w:szCs w:val="20"/>
              </w:rPr>
              <w:t xml:space="preserve">If configuration metadata is not present in ALEX/Alfabet, stream B is deferred to a subsequent phase.</w:t>
            </w:r>
          </w:p>
          <w:p>
            <w:pPr>
              <w:spacing w:after="40" w:before="100"/>
            </w:pPr>
            <w:r>
              <w:rPr>
                <w:b/>
                <w:bCs/>
                <w:color w:val="8C0E08"/>
                <w:sz w:val="20"/>
                <w:szCs w:val="20"/>
              </w:rPr>
              <w:t xml:space="preserve">Stream C. Implicit controls in incident remediation and issue closure text.</w:t>
            </w:r>
          </w:p>
          <w:p>
            <w:pPr>
              <w:pStyle w:val="ListParagraph"/>
              <w:numPr>
                <w:ilvl w:val="0"/>
                <w:numId w:val="2"/>
              </w:numPr>
              <w:spacing w:after="30"/>
            </w:pPr>
            <w:r>
              <w:rPr>
                <w:sz w:val="20"/>
                <w:szCs w:val="20"/>
              </w:rPr>
              <w:t xml:space="preserve">Scope: remediation / action text on payments-classified incidents and issues.</w:t>
            </w:r>
          </w:p>
          <w:p>
            <w:pPr>
              <w:pStyle w:val="ListParagraph"/>
              <w:numPr>
                <w:ilvl w:val="0"/>
                <w:numId w:val="2"/>
              </w:numPr>
              <w:spacing w:after="30"/>
            </w:pPr>
            <w:r>
              <w:rPr>
                <w:sz w:val="20"/>
                <w:szCs w:val="20"/>
              </w:rPr>
              <w:t xml:space="preserve">LLM extracts control-like statements: checks, approvals, validations, monitoring activities, systemic enforcement put in place after a known failure.</w:t>
            </w:r>
          </w:p>
          <w:p>
            <w:pPr>
              <w:pStyle w:val="ListParagraph"/>
              <w:numPr>
                <w:ilvl w:val="0"/>
                <w:numId w:val="2"/>
              </w:numPr>
              <w:spacing w:after="30"/>
            </w:pPr>
            <w:r>
              <w:rPr>
                <w:sz w:val="20"/>
                <w:szCs w:val="20"/>
              </w:rPr>
              <w:t xml:space="preserve">Fuzzy-match each extracted statement against JUNO. Unmatched → candidate bespoke control.</w:t>
            </w:r>
          </w:p>
          <w:p>
            <w:pPr>
              <w:spacing w:after="40" w:before="100"/>
            </w:pPr>
            <w:r>
              <w:rPr>
                <w:b/>
                <w:bCs/>
                <w:color w:val="8C0E08"/>
                <w:sz w:val="20"/>
                <w:szCs w:val="20"/>
              </w:rPr>
              <w:t xml:space="preserve">Deduplication.</w:t>
            </w:r>
          </w:p>
          <w:p>
            <w:pPr>
              <w:pStyle w:val="ListParagraph"/>
              <w:numPr>
                <w:ilvl w:val="0"/>
                <w:numId w:val="2"/>
              </w:numPr>
              <w:spacing w:after="30"/>
            </w:pPr>
            <w:r>
              <w:rPr>
                <w:sz w:val="20"/>
                <w:szCs w:val="20"/>
              </w:rPr>
              <w:t xml:space="preserve">After all three streams complete, fuzzy-match across the bespoke register itself. Collapse duplicates preserving all source references.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Bespoke control register</w:t>
            </w:r>
          </w:p>
          <w:p>
            <w:pPr>
              <w:spacing w:after="20"/>
            </w:pPr>
            <w:r>
              <w:rPr>
                <w:sz w:val="20"/>
                <w:szCs w:val="20"/>
              </w:rPr>
              <w:t xml:space="preserve">•  JUNO registration backlog (SME-confirmed bespoke controls that should be registered)</w:t>
            </w:r>
          </w:p>
          <w:p>
            <w:pPr>
              <w:spacing w:after="20"/>
            </w:pPr>
            <w:r>
              <w:rPr>
                <w:sz w:val="20"/>
                <w:szCs w:val="20"/>
              </w:rPr>
              <w:t xml:space="preserve">•  Reclassification candidates</w:t>
            </w:r>
          </w:p>
          <w:p>
            <w:pPr>
              <w:spacing w:after="20"/>
            </w:pPr>
            <w:r>
              <w:rPr>
                <w:sz w:val="20"/>
                <w:szCs w:val="20"/>
              </w:rPr>
              <w:t xml:space="preserve">•  Registration completeness finding: proportion of effective control behaviour currently registered in JUNO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Teradata SQL pass-through for sourcing incident / issue remediation text. SAS LLM workflow for extraction and classification. SAS for fuzzy-matching against JUNO.</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three streams executed, deduplicated, and SME has confirmed the registration backlog.</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~20 process steps + ~10 configs + ~10 remediation texts. Target precision ≥0.75.</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6</w:t>
            </w:r>
            <w:r>
              <w:rPr>
                <w:sz w:val="22"/>
                <w:szCs w:val="22"/>
              </w:rPr>
              <w:t xml:space="preserve">    </w:t>
            </w:r>
            <w:r>
              <w:rPr>
                <w:b/>
                <w:bCs/>
                <w:color w:val="8C0E08"/>
                <w:sz w:val="28"/>
                <w:szCs w:val="28"/>
              </w:rPr>
              <w:t xml:space="preserve">Convergence loop between steps 2 and 4</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Resolve the mutual dependency between the process and control populations. Iterate until they stop growing. Safeguard against low-confidence noise propagation.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Pass 1 outputs of steps 2 and 4</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8C0E08" w:sz="16"/>
                    <w:left w:val="single" w:color="8C0E08" w:sz="16"/>
                    <w:bottom w:val="single" w:color="8C0E08" w:sz="4"/>
                    <w:right w:val="single" w:color="8C0E08" w:sz="4"/>
                  </w:tcBorders>
                  <w:shd w:fill="EEF2F7" w:color="auto" w:val="clear"/>
                  <w:tcMar>
                    <w:top w:type="dxa" w:w="180"/>
                    <w:left w:type="dxa" w:w="220"/>
                    <w:bottom w:type="dxa" w:w="180"/>
                    <w:right w:type="dxa" w:w="220"/>
                  </w:tcMar>
                </w:tcPr>
                <w:p>
                  <w:pPr>
                    <w:spacing w:after="0"/>
                  </w:pPr>
                  <w:r>
                    <w:rPr>
                      <w:b/>
                      <w:bCs/>
                      <w:color w:val="8C0E08"/>
                      <w:sz w:val="20"/>
                      <w:szCs w:val="20"/>
                    </w:rPr>
                    <w:t xml:space="preserve">Convergence safeguard (critical). </w:t>
                  </w:r>
                  <w:r>
                    <w:rPr>
                      <w:sz w:val="20"/>
                      <w:szCs w:val="20"/>
                    </w:rPr>
                    <w:t xml:space="preserve">Only High-confidence inclusions propagate via PP4 and P2. Medium-confidence may propagate but with a confidence ceiling (the inherited inclusion cannot be rated higher than its source). Low-confidence (PP5/P5 keyword-only, PP6/P6 embedding-only) </w:t>
                  </w:r>
                  <w:r>
                    <w:rPr>
                      <w:b/>
                      <w:bCs/>
                      <w:sz w:val="20"/>
                      <w:szCs w:val="20"/>
                    </w:rPr>
                    <w:t xml:space="preserve">does not propagate at all</w:t>
                  </w:r>
                  <w:r>
                    <w:rPr>
                      <w:sz w:val="20"/>
                      <w:szCs w:val="20"/>
                    </w:rPr>
                    <w:t xml:space="preserve"> until cleared from the Requires Human Review queue. This prevents the loop from amplifying low-confidence noise across iterations.</w:t>
                  </w:r>
                </w:p>
              </w:tc>
            </w:tr>
          </w:tbl>
          <w:p>
            <w:pPr>
              <w:spacing w:after="100" w:before="0"/>
              <w:jc w:val="left"/>
            </w:pPr>
            <w:r>
              <w:rPr>
                <w:sz w:val="20"/>
                <w:szCs w:val="20"/>
              </w:rPr>
              <w:t xml:space="preserve">Steps 2 and 4 reference each other (PP4 reads step 4; P2 reads step 2). Iterate until both populations stabilise. Convergence is guaranteed because each pass only adds, never removes.</w:t>
            </w:r>
          </w:p>
          <w:p>
            <w:pPr>
              <w:spacing w:after="40" w:before="80"/>
            </w:pPr>
            <w:r>
              <w:rPr>
                <w:b/>
                <w:bCs/>
                <w:sz w:val="20"/>
                <w:szCs w:val="20"/>
              </w:rPr>
              <w:t xml:space="preserve">Loop logic:</w:t>
            </w:r>
          </w:p>
          <w:p>
            <w:pPr>
              <w:spacing w:after="60"/>
              <w:ind w:left="280"/>
            </w:pPr>
            <w:r>
              <w:rPr>
                <w:rFonts w:ascii="Consolas" w:cs="Consolas" w:eastAsia="Consolas" w:hAnsi="Consolas"/>
                <w:color w:val="333333"/>
                <w:sz w:val="18"/>
                <w:szCs w:val="18"/>
              </w:rPr>
              <w:t xml:space="preserve">Pass 1:   Step 2 runs PP1–PP3, PP5, PP6   (no PP4 yet)</w:t>
            </w:r>
          </w:p>
          <w:p>
            <w:pPr>
              <w:spacing w:after="60"/>
              <w:ind w:left="280"/>
            </w:pPr>
            <w:r>
              <w:rPr>
                <w:rFonts w:ascii="Consolas" w:cs="Consolas" w:eastAsia="Consolas" w:hAnsi="Consolas"/>
                <w:color w:val="333333"/>
                <w:sz w:val="18"/>
                <w:szCs w:val="18"/>
              </w:rPr>
              <w:t xml:space="preserve">          Step 4 runs P1, P3–P6           (no P2 yet)</w:t>
            </w:r>
          </w:p>
          <w:p>
            <w:pPr>
              <w:spacing w:after="60"/>
              <w:ind w:left="280"/>
            </w:pPr>
            <w:r>
              <w:rPr>
                <w:rFonts w:ascii="Consolas" w:cs="Consolas" w:eastAsia="Consolas" w:hAnsi="Consolas"/>
                <w:color w:val="333333"/>
                <w:sz w:val="18"/>
                <w:szCs w:val="18"/>
              </w:rPr>
              <w:t xml:space="preserve">Pass 2:   Step 2 re-runs adding PP4 (High-conf inclusions from step 4 Pass 1)</w:t>
            </w:r>
          </w:p>
          <w:p>
            <w:pPr>
              <w:spacing w:after="60"/>
              <w:ind w:left="280"/>
            </w:pPr>
            <w:r>
              <w:rPr>
                <w:rFonts w:ascii="Consolas" w:cs="Consolas" w:eastAsia="Consolas" w:hAnsi="Consolas"/>
                <w:color w:val="333333"/>
                <w:sz w:val="18"/>
                <w:szCs w:val="18"/>
              </w:rPr>
              <w:t xml:space="preserve">          Step 4 re-runs adding P2  (High-conf inclusions from step 2 Pass 2)</w:t>
            </w:r>
          </w:p>
          <w:p>
            <w:pPr>
              <w:spacing w:after="60"/>
              <w:ind w:left="280"/>
            </w:pPr>
            <w:r>
              <w:rPr>
                <w:rFonts w:ascii="Consolas" w:cs="Consolas" w:eastAsia="Consolas" w:hAnsi="Consolas"/>
                <w:color w:val="333333"/>
                <w:sz w:val="18"/>
                <w:szCs w:val="18"/>
              </w:rPr>
              <w:t xml:space="preserve">Pass N:   continue until neither step adds new H/M confidence items</w:t>
            </w:r>
          </w:p>
          <w:p>
            <w:pPr>
              <w:spacing w:after="100" w:before="80"/>
              <w:jc w:val="left"/>
            </w:pPr>
            <w:r>
              <w:rPr>
                <w:sz w:val="20"/>
                <w:szCs w:val="20"/>
              </w:rPr>
              <w:t xml:space="preserve">Typical convergence: 2–3 passes. Hard cap at 5; residual flagged for manual review if not stabilised by then.</w:t>
            </w:r>
          </w:p>
          <w:p>
            <w:pPr>
              <w:spacing w:after="100" w:before="40"/>
              <w:jc w:val="left"/>
            </w:pPr>
            <w:r>
              <w:rPr>
                <w:i/>
                <w:iCs/>
                <w:color w:val="5C5C5C"/>
                <w:sz w:val="20"/>
                <w:szCs w:val="20"/>
              </w:rPr>
              <w:t xml:space="preserve">Pass-by-pass deltas logged. They show how much each step contributes to the other's population, itself a quality signal.</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Stabilised payment process register</w:t>
            </w:r>
          </w:p>
          <w:p>
            <w:pPr>
              <w:spacing w:after="20"/>
            </w:pPr>
            <w:r>
              <w:rPr>
                <w:sz w:val="20"/>
                <w:szCs w:val="20"/>
              </w:rPr>
              <w:t xml:space="preserve">•  Stabilised JUNO payment control population</w:t>
            </w:r>
          </w:p>
          <w:p>
            <w:pPr>
              <w:spacing w:after="20"/>
            </w:pPr>
            <w:r>
              <w:rPr>
                <w:sz w:val="20"/>
                <w:szCs w:val="20"/>
              </w:rPr>
              <w:t xml:space="preserve">•  Pass-by-pass delta log (items added per pass per step, with confidence breakdown)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orchestration driving steps 2 and 4 alternately. Pass-through queries re-issued to Teradata each pass.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Two consecutive passes add zero new H/M confidence items in both steps. Or hard cap of 5 passes reached, in which case residual deltas are logged for manual review.</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7</w:t>
            </w:r>
            <w:r>
              <w:rPr>
                <w:sz w:val="22"/>
                <w:szCs w:val="22"/>
              </w:rPr>
              <w:t xml:space="preserve">    </w:t>
            </w:r>
            <w:r>
              <w:rPr>
                <w:b/>
                <w:bCs/>
                <w:color w:val="8C0E08"/>
                <w:sz w:val="28"/>
                <w:szCs w:val="28"/>
              </w:rPr>
              <w:t xml:space="preserve">Assign Payment Nature to each control</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Every control needs a Payment Nature for coverage assessment. Inheritance is primary, LLM fills gaps, LLM sanity check catches upstream errors.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Stabilised control population (JUNO from step 4 + bespoke from step 5, after step 6)</w:t>
            </w:r>
          </w:p>
          <w:p>
            <w:pPr>
              <w:spacing w:after="20"/>
            </w:pPr>
            <w:r>
              <w:rPr>
                <w:sz w:val="20"/>
                <w:szCs w:val="20"/>
              </w:rPr>
              <w:t xml:space="preserve">•  Process × Payment Nature mapping (from step 3)</w:t>
            </w:r>
          </w:p>
          <w:p>
            <w:pPr>
              <w:spacing w:after="20"/>
            </w:pPr>
            <w:r>
              <w:rPr>
                <w:sz w:val="20"/>
                <w:szCs w:val="20"/>
              </w:rPr>
              <w:t xml:space="preserve">•  Linkage table (Control↔Process)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Three paths in sequence: deterministic inheritance first; LLM fallback where inheritance cannot fire; LLM sanity check on a sample of inherited assignments.</w:t>
            </w:r>
          </w:p>
          <w:p>
            <w:pPr>
              <w:spacing w:after="40" w:before="80"/>
            </w:pPr>
            <w:r>
              <w:rPr>
                <w:b/>
                <w:bCs/>
                <w:color w:val="8C0E08"/>
                <w:sz w:val="20"/>
                <w:szCs w:val="20"/>
              </w:rPr>
              <w:t xml:space="preserve">7a. Primary path. Inheritance (deterministic).</w:t>
            </w:r>
          </w:p>
          <w:p>
            <w:pPr>
              <w:pStyle w:val="ListParagraph"/>
              <w:numPr>
                <w:ilvl w:val="0"/>
                <w:numId w:val="2"/>
              </w:numPr>
              <w:spacing w:after="30"/>
            </w:pPr>
            <w:r>
              <w:rPr>
                <w:sz w:val="20"/>
                <w:szCs w:val="20"/>
              </w:rPr>
              <w:t xml:space="preserve">For every control with ≥1 process linkage, inherit the UNION of Payment Natures of the linked processes.</w:t>
            </w:r>
          </w:p>
          <w:p>
            <w:pPr>
              <w:pStyle w:val="ListParagraph"/>
              <w:numPr>
                <w:ilvl w:val="0"/>
                <w:numId w:val="2"/>
              </w:numPr>
              <w:spacing w:after="30"/>
            </w:pPr>
            <w:r>
              <w:rPr>
                <w:sz w:val="20"/>
                <w:szCs w:val="20"/>
              </w:rPr>
              <w:t xml:space="preserve">Example: control linked to process A (C→C) and process B (Supplier/Employee) receives both natures.</w:t>
            </w:r>
          </w:p>
          <w:p>
            <w:pPr>
              <w:pStyle w:val="ListParagraph"/>
              <w:numPr>
                <w:ilvl w:val="0"/>
                <w:numId w:val="2"/>
              </w:numPr>
              <w:spacing w:after="30"/>
            </w:pPr>
            <w:r>
              <w:rPr>
                <w:sz w:val="20"/>
                <w:szCs w:val="20"/>
              </w:rPr>
              <w:t xml:space="preserve">Confidence: High.</w:t>
            </w:r>
          </w:p>
          <w:p>
            <w:pPr>
              <w:spacing w:after="40" w:before="80"/>
            </w:pPr>
            <w:r>
              <w:rPr>
                <w:b/>
                <w:bCs/>
                <w:color w:val="8C0E08"/>
                <w:sz w:val="20"/>
                <w:szCs w:val="20"/>
              </w:rPr>
              <w:t xml:space="preserve">7b. Fallback. LLM classification for unlinked controls.</w:t>
            </w:r>
          </w:p>
          <w:p>
            <w:pPr>
              <w:pStyle w:val="ListParagraph"/>
              <w:numPr>
                <w:ilvl w:val="0"/>
                <w:numId w:val="2"/>
              </w:numPr>
              <w:spacing w:after="30"/>
            </w:pPr>
            <w:r>
              <w:rPr>
                <w:sz w:val="20"/>
                <w:szCs w:val="20"/>
              </w:rPr>
              <w:t xml:space="preserve">Scope: controls with no process linkage (includes most stream-C bespoke controls from step 5).</w:t>
            </w:r>
          </w:p>
          <w:p>
            <w:pPr>
              <w:pStyle w:val="ListParagraph"/>
              <w:numPr>
                <w:ilvl w:val="0"/>
                <w:numId w:val="2"/>
              </w:numPr>
              <w:spacing w:after="30"/>
            </w:pPr>
            <w:r>
              <w:rPr>
                <w:sz w:val="20"/>
                <w:szCs w:val="20"/>
              </w:rPr>
              <w:t xml:space="preserve">LLM input: control description + any linked obligation/incident text + owner BU. LLM output: applicable Payment Natures + confidence + rationale.</w:t>
            </w:r>
          </w:p>
          <w:p>
            <w:pPr>
              <w:pStyle w:val="ListParagraph"/>
              <w:numPr>
                <w:ilvl w:val="0"/>
                <w:numId w:val="2"/>
              </w:numPr>
              <w:spacing w:after="30"/>
            </w:pPr>
            <w:r>
              <w:rPr>
                <w:sz w:val="20"/>
                <w:szCs w:val="20"/>
              </w:rPr>
              <w:t xml:space="preserve">Confidence: Medium at best.</w:t>
            </w:r>
          </w:p>
          <w:p>
            <w:pPr>
              <w:spacing w:after="40" w:before="80"/>
            </w:pPr>
            <w:r>
              <w:rPr>
                <w:b/>
                <w:bCs/>
                <w:color w:val="8C0E08"/>
                <w:sz w:val="20"/>
                <w:szCs w:val="20"/>
              </w:rPr>
              <w:t xml:space="preserve">7c. Sanity check. LLM audit on inherited sample.</w:t>
            </w:r>
          </w:p>
          <w:p>
            <w:pPr>
              <w:pStyle w:val="ListParagraph"/>
              <w:numPr>
                <w:ilvl w:val="0"/>
                <w:numId w:val="2"/>
              </w:numPr>
              <w:spacing w:after="30"/>
            </w:pPr>
            <w:r>
              <w:rPr>
                <w:sz w:val="20"/>
                <w:szCs w:val="20"/>
              </w:rPr>
              <w:t xml:space="preserve">Stratified ~10% sample of High-confidence inherited classifications. LLM is asked to classify the control directly; result compared to inherited assignment.</w:t>
            </w:r>
          </w:p>
          <w:p>
            <w:pPr>
              <w:pStyle w:val="ListParagraph"/>
              <w:numPr>
                <w:ilvl w:val="0"/>
                <w:numId w:val="2"/>
              </w:numPr>
              <w:spacing w:after="30"/>
            </w:pPr>
            <w:r>
              <w:rPr>
                <w:sz w:val="20"/>
                <w:szCs w:val="20"/>
              </w:rPr>
              <w:t xml:space="preserve">Disagreement flags one of three real findings: wrong process linkage in the source data; wrong nature assignment on the linked process in step 3; or a control that operates differently than its linked process suggests.</w:t>
            </w:r>
          </w:p>
          <w:p>
            <w:pPr>
              <w:pStyle w:val="ListParagraph"/>
              <w:numPr>
                <w:ilvl w:val="0"/>
                <w:numId w:val="2"/>
              </w:numPr>
              <w:spacing w:after="30"/>
            </w:pPr>
            <w:r>
              <w:rPr>
                <w:sz w:val="20"/>
                <w:szCs w:val="20"/>
              </w:rPr>
              <w:t xml:space="preserve">Disagreement rate &gt;15% triggers expanded SME review and a re-audit of step 3 outputs.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Payment Nature mapping (one row per control per applicable nature)</w:t>
            </w:r>
          </w:p>
          <w:p>
            <w:pPr>
              <w:spacing w:after="20"/>
            </w:pPr>
            <w:r>
              <w:rPr>
                <w:sz w:val="20"/>
                <w:szCs w:val="20"/>
              </w:rPr>
              <w:t xml:space="preserve">•  Sanity-check disagreement log</w:t>
            </w:r>
          </w:p>
          <w:p>
            <w:pPr>
              <w:spacing w:after="20"/>
            </w:pPr>
            <w:r>
              <w:rPr>
                <w:sz w:val="20"/>
                <w:szCs w:val="20"/>
              </w:rPr>
              <w:t xml:space="preserve">•  SME queue for Medium-confidence LLM fallback classifications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inheritance (joins from process register + linkage table). SAS LLM workflow for fallback and sanity check.</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in the unified population has ≥1 Payment Nature, disagreement rate measured, and step 3 re-validated if needed.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Disagreement rate ≤15% on the inherited sanity-check sample. Above threshold halts the step until step 3 is re-validated.</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8</w:t>
            </w:r>
            <w:r>
              <w:rPr>
                <w:sz w:val="22"/>
                <w:szCs w:val="22"/>
              </w:rPr>
              <w:t xml:space="preserve">    </w:t>
            </w:r>
            <w:r>
              <w:rPr>
                <w:b/>
                <w:bCs/>
                <w:color w:val="8C0E08"/>
                <w:sz w:val="28"/>
                <w:szCs w:val="28"/>
              </w:rPr>
              <w:t xml:space="preserve">Map each control to the 28 Master Controls (CT1 to CT28)</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The CT taxonomy is the yardstick for sufficiency. Map every control, JUNO or bespoke, to the CT outcomes it actually delivers.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Unified control population with Payment Nature (from step 7)</w:t>
            </w:r>
          </w:p>
          <w:p>
            <w:pPr>
              <w:spacing w:after="20"/>
            </w:pPr>
            <w:r>
              <w:rPr>
                <w:sz w:val="20"/>
                <w:szCs w:val="20"/>
              </w:rPr>
              <w:t xml:space="preserve">•  CT1–CT28 definitions</w:t>
            </w:r>
          </w:p>
          <w:p>
            <w:pPr>
              <w:spacing w:after="20"/>
            </w:pPr>
            <w:r>
              <w:rPr>
                <w:sz w:val="20"/>
                <w:szCs w:val="20"/>
              </w:rPr>
              <w:t xml:space="preserve">•  Linkage data for conditioning context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Every control in the unified population runs through the LLM. CT mapping is one-to-many: a single control can satisfy multiple CT outcomes.</w:t>
            </w:r>
          </w:p>
          <w:p>
            <w:pPr>
              <w:spacing w:after="40" w:before="80"/>
            </w:pPr>
            <w:r>
              <w:rPr>
                <w:b/>
                <w:bCs/>
                <w:sz w:val="20"/>
                <w:szCs w:val="20"/>
              </w:rPr>
              <w:t xml:space="preserve">Prompt design (deliberate choices):</w:t>
            </w:r>
          </w:p>
          <w:p>
            <w:pPr>
              <w:pStyle w:val="ListParagraph"/>
              <w:numPr>
                <w:ilvl w:val="0"/>
                <w:numId w:val="2"/>
              </w:numPr>
              <w:spacing w:after="30"/>
            </w:pPr>
            <w:r>
              <w:rPr>
                <w:b/>
                <w:bCs/>
                <w:sz w:val="20"/>
                <w:szCs w:val="20"/>
              </w:rPr>
              <w:t xml:space="preserve">Single-control calls, not batched. </w:t>
            </w:r>
            <w:r>
              <w:rPr>
                <w:sz w:val="20"/>
                <w:szCs w:val="20"/>
              </w:rPr>
              <w:t xml:space="preserve">Higher token cost; cleaner auditability and retry handling.</w:t>
            </w:r>
          </w:p>
          <w:p>
            <w:pPr>
              <w:pStyle w:val="ListParagraph"/>
              <w:numPr>
                <w:ilvl w:val="0"/>
                <w:numId w:val="2"/>
              </w:numPr>
              <w:spacing w:after="30"/>
            </w:pPr>
            <w:r>
              <w:rPr>
                <w:b/>
                <w:bCs/>
                <w:sz w:val="20"/>
                <w:szCs w:val="20"/>
              </w:rPr>
              <w:t xml:space="preserve">Model-agnostic. </w:t>
            </w:r>
            <w:r>
              <w:rPr>
                <w:sz w:val="20"/>
                <w:szCs w:val="20"/>
              </w:rPr>
              <w:t xml:space="preserve">Primary model runs all controls; secondary model re-runs Low-confidence subset. Inter-model agreement = confidence signal.</w:t>
            </w:r>
          </w:p>
          <w:p>
            <w:pPr>
              <w:pStyle w:val="ListParagraph"/>
              <w:numPr>
                <w:ilvl w:val="0"/>
                <w:numId w:val="2"/>
              </w:numPr>
              <w:spacing w:after="30"/>
            </w:pPr>
            <w:r>
              <w:rPr>
                <w:b/>
                <w:bCs/>
                <w:sz w:val="20"/>
                <w:szCs w:val="20"/>
              </w:rPr>
              <w:t xml:space="preserve">Structured JSON output. </w:t>
            </w:r>
            <w:r>
              <w:rPr>
                <w:sz w:val="20"/>
                <w:szCs w:val="20"/>
              </w:rPr>
              <w:t xml:space="preserve">Schema-enforced enum of CT1–CT28. Invalid CTs rejected at parse time.</w:t>
            </w:r>
          </w:p>
          <w:p>
            <w:pPr>
              <w:pStyle w:val="ListParagraph"/>
              <w:numPr>
                <w:ilvl w:val="0"/>
                <w:numId w:val="2"/>
              </w:numPr>
              <w:spacing w:after="30"/>
            </w:pPr>
            <w:r>
              <w:rPr>
                <w:b/>
                <w:bCs/>
                <w:sz w:val="20"/>
                <w:szCs w:val="20"/>
              </w:rPr>
              <w:t xml:space="preserve">Conditioning, not classification. </w:t>
            </w:r>
            <w:r>
              <w:rPr>
                <w:sz w:val="20"/>
                <w:szCs w:val="20"/>
              </w:rPr>
              <w:t xml:space="preserve">Structured fields (automation, control type, owner, source type, Payment Nature) are passed as context.</w:t>
            </w:r>
          </w:p>
          <w:p>
            <w:pPr>
              <w:pStyle w:val="ListParagraph"/>
              <w:numPr>
                <w:ilvl w:val="0"/>
                <w:numId w:val="2"/>
              </w:numPr>
              <w:spacing w:after="30"/>
            </w:pPr>
            <w:r>
              <w:rPr>
                <w:b/>
                <w:bCs/>
                <w:sz w:val="20"/>
                <w:szCs w:val="20"/>
              </w:rPr>
              <w:t xml:space="preserve">Rationale grounded in source text. </w:t>
            </w:r>
            <w:r>
              <w:rPr>
                <w:sz w:val="20"/>
                <w:szCs w:val="20"/>
              </w:rPr>
              <w:t xml:space="preserve">Every CT assignment cites the source phrase justifying it. Ungrounded mappings rejected.</w:t>
            </w:r>
          </w:p>
          <w:p>
            <w:pPr>
              <w:spacing w:after="40" w:before="80"/>
            </w:pPr>
            <w:r>
              <w:rPr>
                <w:b/>
                <w:bCs/>
                <w:sz w:val="20"/>
                <w:szCs w:val="20"/>
              </w:rPr>
              <w:t xml:space="preserve">Per-control input:</w:t>
            </w:r>
          </w:p>
          <w:p>
            <w:pPr>
              <w:pStyle w:val="ListParagraph"/>
              <w:numPr>
                <w:ilvl w:val="0"/>
                <w:numId w:val="2"/>
              </w:numPr>
              <w:spacing w:after="30"/>
            </w:pPr>
            <w:r>
              <w:rPr>
                <w:sz w:val="20"/>
                <w:szCs w:val="20"/>
              </w:rPr>
              <w:t xml:space="preserve">Source type (JUNO / Holocentric step / ALEX config / remediation) and primary text</w:t>
            </w:r>
          </w:p>
          <w:p>
            <w:pPr>
              <w:pStyle w:val="ListParagraph"/>
              <w:numPr>
                <w:ilvl w:val="0"/>
                <w:numId w:val="2"/>
              </w:numPr>
              <w:spacing w:after="30"/>
            </w:pPr>
            <w:r>
              <w:rPr>
                <w:sz w:val="20"/>
                <w:szCs w:val="20"/>
              </w:rPr>
              <w:t xml:space="preserve">Conditioning: control type, automation level, key control flag, owner BU</w:t>
            </w:r>
          </w:p>
          <w:p>
            <w:pPr>
              <w:pStyle w:val="ListParagraph"/>
              <w:numPr>
                <w:ilvl w:val="0"/>
                <w:numId w:val="2"/>
              </w:numPr>
              <w:spacing w:after="30"/>
            </w:pPr>
            <w:r>
              <w:rPr>
                <w:sz w:val="20"/>
                <w:szCs w:val="20"/>
              </w:rPr>
              <w:t xml:space="preserve">Linked process names, Payment Nature(s) from step 7</w:t>
            </w:r>
          </w:p>
          <w:p>
            <w:pPr>
              <w:spacing w:after="40" w:before="80"/>
            </w:pPr>
            <w:r>
              <w:rPr>
                <w:b/>
                <w:bCs/>
                <w:sz w:val="20"/>
                <w:szCs w:val="20"/>
              </w:rPr>
              <w:t xml:space="preserve">Per-control output:</w:t>
            </w:r>
          </w:p>
          <w:p>
            <w:pPr>
              <w:pStyle w:val="ListParagraph"/>
              <w:numPr>
                <w:ilvl w:val="0"/>
                <w:numId w:val="2"/>
              </w:numPr>
              <w:spacing w:after="30"/>
            </w:pPr>
            <w:r>
              <w:rPr>
                <w:sz w:val="20"/>
                <w:szCs w:val="20"/>
              </w:rPr>
              <w:t xml:space="preserve">List of applicable CTs (1–N), each with confidence (H/M/L) and rationale</w:t>
            </w:r>
          </w:p>
          <w:p>
            <w:pPr>
              <w:pStyle w:val="ListParagraph"/>
              <w:numPr>
                <w:ilvl w:val="0"/>
                <w:numId w:val="2"/>
              </w:numPr>
              <w:spacing w:after="30"/>
            </w:pPr>
            <w:r>
              <w:rPr>
                <w:sz w:val="20"/>
                <w:szCs w:val="20"/>
              </w:rPr>
              <w:t xml:space="preserve">Match type per CT: Direct / Partial / Adjacent / No-Match</w:t>
            </w:r>
          </w:p>
          <w:p>
            <w:pPr>
              <w:pStyle w:val="ListParagraph"/>
              <w:numPr>
                <w:ilvl w:val="0"/>
                <w:numId w:val="2"/>
              </w:numPr>
              <w:spacing w:after="30"/>
            </w:pPr>
            <w:r>
              <w:rPr>
                <w:sz w:val="20"/>
                <w:szCs w:val="20"/>
              </w:rPr>
              <w:t xml:space="preserve">Control category: Process / System and Third Party / Pervasive (change, resilience, third party governance)</w:t>
            </w:r>
          </w:p>
          <w:p>
            <w:pPr>
              <w:pStyle w:val="ListParagraph"/>
              <w:numPr>
                <w:ilvl w:val="0"/>
                <w:numId w:val="2"/>
              </w:numPr>
              <w:spacing w:after="30"/>
            </w:pPr>
            <w:r>
              <w:rPr>
                <w:sz w:val="20"/>
                <w:szCs w:val="20"/>
              </w:rPr>
              <w:t xml:space="preserve">Control nature: Preventative / Detective / Corrective (with confidence)</w:t>
            </w:r>
          </w:p>
          <w:p>
            <w:pPr>
              <w:pStyle w:val="ListParagraph"/>
              <w:numPr>
                <w:ilvl w:val="0"/>
                <w:numId w:val="2"/>
              </w:numPr>
              <w:spacing w:after="30"/>
            </w:pPr>
            <w:r>
              <w:rPr>
                <w:sz w:val="20"/>
                <w:szCs w:val="20"/>
              </w:rPr>
              <w:t xml:space="preserve">Framework alignment flag: Payments / Governance (set to Governance where the control is really a governance or framework control and does not belong in the Payments Risk framework)</w:t>
            </w:r>
          </w:p>
          <w:p>
            <w:pPr>
              <w:pStyle w:val="ListParagraph"/>
              <w:numPr>
                <w:ilvl w:val="0"/>
                <w:numId w:val="2"/>
              </w:numPr>
              <w:spacing w:after="30"/>
            </w:pPr>
            <w:r>
              <w:rPr>
                <w:sz w:val="20"/>
                <w:szCs w:val="20"/>
              </w:rPr>
              <w:t xml:space="preserve">Requires-SME flag with reason if any confidence is Low</w:t>
            </w:r>
          </w:p>
          <w:p>
            <w:pPr>
              <w:pStyle w:val="ListParagraph"/>
              <w:numPr>
                <w:ilvl w:val="0"/>
                <w:numId w:val="2"/>
              </w:numPr>
              <w:spacing w:after="30"/>
            </w:pPr>
            <w:r>
              <w:rPr>
                <w:sz w:val="20"/>
                <w:szCs w:val="20"/>
              </w:rPr>
              <w:t xml:space="preserve">Provenance: model ID, prompt version, run timestamp</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CT mapping (one row per control per CT)</w:t>
            </w:r>
          </w:p>
          <w:p>
            <w:pPr>
              <w:spacing w:after="20"/>
            </w:pPr>
            <w:r>
              <w:rPr>
                <w:sz w:val="20"/>
                <w:szCs w:val="20"/>
              </w:rPr>
              <w:t xml:space="preserve">•  Control category (Process / System and Third Party / Pervasive)</w:t>
            </w:r>
          </w:p>
          <w:p>
            <w:pPr>
              <w:spacing w:after="20"/>
            </w:pPr>
            <w:r>
              <w:rPr>
                <w:sz w:val="20"/>
                <w:szCs w:val="20"/>
              </w:rPr>
              <w:t xml:space="preserve">•  Control nature (Preventative / Detective / Corrective)</w:t>
            </w:r>
          </w:p>
          <w:p>
            <w:pPr>
              <w:spacing w:after="20"/>
            </w:pPr>
            <w:r>
              <w:rPr>
                <w:sz w:val="20"/>
                <w:szCs w:val="20"/>
              </w:rPr>
              <w:t xml:space="preserve">•  Framework alignment flag (Payments / Governance), where Governance controls are surfaced for removal from the framework</w:t>
            </w:r>
          </w:p>
          <w:p>
            <w:pPr>
              <w:spacing w:after="20"/>
            </w:pPr>
            <w:r>
              <w:rPr>
                <w:sz w:val="20"/>
                <w:szCs w:val="20"/>
              </w:rPr>
              <w:t xml:space="preserve">•  Per-mapping rationale and confidence</w:t>
            </w:r>
          </w:p>
          <w:p>
            <w:pPr>
              <w:spacing w:after="20"/>
            </w:pPr>
            <w:r>
              <w:rPr>
                <w:sz w:val="20"/>
                <w:szCs w:val="20"/>
              </w:rPr>
              <w:t xml:space="preserve">•  Inter-model disagreement log</w:t>
            </w:r>
          </w:p>
          <w:p>
            <w:pPr>
              <w:spacing w:after="20"/>
            </w:pPr>
            <w:r>
              <w:rPr>
                <w:sz w:val="20"/>
                <w:szCs w:val="20"/>
              </w:rPr>
              <w:t xml:space="preserve">•  SME queue for Low-confidence and disagreement cases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LLM workflow. Provenance written to SAS dataset; results joined back to JUNO context via pass-through where needed.</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has ≥1 CT mapping or a Requires-SME flag with reason. Inter-model agreement measured on a sample.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Golden set: ~50 controls stratified by CT, automation, key flag, source type. Targets: CT precision ≥0.85, recall ≥0.80.</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3A3A3A"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9</w:t>
            </w:r>
            <w:r>
              <w:rPr>
                <w:sz w:val="22"/>
                <w:szCs w:val="22"/>
              </w:rPr>
              <w:t xml:space="preserve">    </w:t>
            </w:r>
            <w:r>
              <w:rPr>
                <w:b/>
                <w:bCs/>
                <w:color w:val="8C0E08"/>
                <w:sz w:val="28"/>
                <w:szCs w:val="28"/>
              </w:rPr>
              <w:t xml:space="preserve">Place controls in the payment lifecycle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Place every control at its lifecycle stage. Detect misplacement objectively where structural evidence permits.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population with CT mapping (from step 8)</w:t>
            </w:r>
          </w:p>
          <w:p>
            <w:pPr>
              <w:spacing w:after="20"/>
            </w:pPr>
            <w:r>
              <w:rPr>
                <w:sz w:val="20"/>
                <w:szCs w:val="20"/>
              </w:rPr>
              <w:t xml:space="preserve">•  Holocentric process step labels where available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Hybrid method. Structural placement where derivable; LLM placement primary otherwise; misplacement detection only where both can be compared.</w:t>
            </w:r>
          </w:p>
          <w:p>
            <w:pPr>
              <w:spacing w:after="40" w:before="80"/>
            </w:pPr>
            <w:r>
              <w:rPr>
                <w:b/>
                <w:bCs/>
                <w:color w:val="8C0E08"/>
                <w:sz w:val="20"/>
                <w:szCs w:val="20"/>
              </w:rPr>
              <w:t xml:space="preserve">9a. Structural placement (deterministic where possible).</w:t>
            </w:r>
          </w:p>
          <w:p>
            <w:pPr>
              <w:pStyle w:val="ListParagraph"/>
              <w:numPr>
                <w:ilvl w:val="0"/>
                <w:numId w:val="2"/>
              </w:numPr>
              <w:spacing w:after="30"/>
            </w:pPr>
            <w:r>
              <w:rPr>
                <w:sz w:val="20"/>
                <w:szCs w:val="20"/>
              </w:rPr>
              <w:t xml:space="preserve">Where Holocentric process steps carry explicit stage labels (Validation, Authorisation, Settlement, Reconciliation, Notification, Returns/Recovery), map directly to lifecycle stages A–G.</w:t>
            </w:r>
          </w:p>
          <w:p>
            <w:pPr>
              <w:pStyle w:val="ListParagraph"/>
              <w:numPr>
                <w:ilvl w:val="0"/>
                <w:numId w:val="2"/>
              </w:numPr>
              <w:spacing w:after="30"/>
            </w:pPr>
            <w:r>
              <w:rPr>
                <w:sz w:val="20"/>
                <w:szCs w:val="20"/>
              </w:rPr>
              <w:t xml:space="preserve">For controls linked to a labelled step, the structural-expected stage is derived.</w:t>
            </w:r>
          </w:p>
          <w:p>
            <w:pPr>
              <w:pStyle w:val="ListParagraph"/>
              <w:numPr>
                <w:ilvl w:val="0"/>
                <w:numId w:val="2"/>
              </w:numPr>
              <w:spacing w:after="30"/>
            </w:pPr>
            <w:r>
              <w:rPr>
                <w:sz w:val="20"/>
                <w:szCs w:val="20"/>
              </w:rPr>
              <w:t xml:space="preserve">Coverage of this path depends on Holocentric labelling consistency. Expected coverage: 30–60% of controls. Measured during step 1 profiling.</w:t>
            </w:r>
          </w:p>
          <w:p>
            <w:pPr>
              <w:spacing w:after="40" w:before="80"/>
            </w:pPr>
            <w:r>
              <w:rPr>
                <w:b/>
                <w:bCs/>
                <w:color w:val="8C0E08"/>
                <w:sz w:val="20"/>
                <w:szCs w:val="20"/>
              </w:rPr>
              <w:t xml:space="preserve">9b. LLM placement (covers everything).</w:t>
            </w:r>
          </w:p>
          <w:p>
            <w:pPr>
              <w:pStyle w:val="ListParagraph"/>
              <w:numPr>
                <w:ilvl w:val="0"/>
                <w:numId w:val="2"/>
              </w:numPr>
              <w:spacing w:after="30"/>
            </w:pPr>
            <w:r>
              <w:rPr>
                <w:sz w:val="20"/>
                <w:szCs w:val="20"/>
              </w:rPr>
              <w:t xml:space="preserve">Same LLM call as step 8, extended to emit lifecycle stage alongside CT. Combined call by default; split if validation reveals interference.</w:t>
            </w:r>
          </w:p>
          <w:p>
            <w:pPr>
              <w:pStyle w:val="ListParagraph"/>
              <w:numPr>
                <w:ilvl w:val="0"/>
                <w:numId w:val="2"/>
              </w:numPr>
              <w:spacing w:after="30"/>
            </w:pPr>
            <w:r>
              <w:rPr>
                <w:sz w:val="20"/>
                <w:szCs w:val="20"/>
              </w:rPr>
              <w:t xml:space="preserve">For controls with a structural-expected stage (9a), the LLM placement is compared to the structural expectation.</w:t>
            </w:r>
          </w:p>
          <w:p>
            <w:pPr>
              <w:pStyle w:val="ListParagraph"/>
              <w:numPr>
                <w:ilvl w:val="0"/>
                <w:numId w:val="2"/>
              </w:numPr>
              <w:spacing w:after="30"/>
            </w:pPr>
            <w:r>
              <w:rPr>
                <w:sz w:val="20"/>
                <w:szCs w:val="20"/>
              </w:rPr>
              <w:t xml:space="preserve">Disagreement is a quality signal: LLM wrong, step mislabelled in Holocentric, OR control operates at a different stage than its linked step (the third is a misplacement finding for step 11).</w:t>
            </w:r>
          </w:p>
          <w:p>
            <w:pPr>
              <w:spacing w:after="40" w:before="80"/>
            </w:pPr>
            <w:r>
              <w:rPr>
                <w:b/>
                <w:bCs/>
                <w:sz w:val="20"/>
                <w:szCs w:val="20"/>
              </w:rPr>
              <w:t xml:space="preserve">When misplacement detection is possible:</w:t>
            </w:r>
          </w:p>
          <w:p>
            <w:pPr>
              <w:pStyle w:val="ListParagraph"/>
              <w:numPr>
                <w:ilvl w:val="0"/>
                <w:numId w:val="2"/>
              </w:numPr>
              <w:spacing w:after="30"/>
            </w:pPr>
            <w:r>
              <w:rPr>
                <w:sz w:val="20"/>
                <w:szCs w:val="20"/>
              </w:rPr>
              <w:t xml:space="preserve">Structural-expected exists AND LLM placement differs → misplacement candidate.</w:t>
            </w:r>
          </w:p>
          <w:p>
            <w:pPr>
              <w:pStyle w:val="ListParagraph"/>
              <w:numPr>
                <w:ilvl w:val="0"/>
                <w:numId w:val="2"/>
              </w:numPr>
              <w:spacing w:after="30"/>
            </w:pPr>
            <w:r>
              <w:rPr>
                <w:sz w:val="20"/>
                <w:szCs w:val="20"/>
              </w:rPr>
              <w:t xml:space="preserve">Structural-expected does not exist → LLM placement recorded but no misplacement assertion can be made.</w:t>
            </w:r>
          </w:p>
          <w:p>
            <w:pPr>
              <w:pStyle w:val="ListParagraph"/>
              <w:numPr>
                <w:ilvl w:val="0"/>
                <w:numId w:val="2"/>
              </w:numPr>
              <w:spacing w:after="30"/>
            </w:pPr>
            <w:r>
              <w:rPr>
                <w:sz w:val="20"/>
                <w:szCs w:val="20"/>
              </w:rPr>
              <w:t xml:space="preserve">This honest scoping prevents false-positive misplacement findings.</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Control × lifecycle stage mapping</w:t>
            </w:r>
          </w:p>
          <w:p>
            <w:pPr>
              <w:spacing w:after="20"/>
            </w:pPr>
            <w:r>
              <w:rPr>
                <w:sz w:val="20"/>
                <w:szCs w:val="20"/>
              </w:rPr>
              <w:t xml:space="preserve">•  Misplacement candidates (structural-expected exists AND differs from LLM placement)</w:t>
            </w:r>
          </w:p>
          <w:p>
            <w:pPr>
              <w:spacing w:after="20"/>
            </w:pPr>
            <w:r>
              <w:rPr>
                <w:sz w:val="20"/>
                <w:szCs w:val="20"/>
              </w:rPr>
              <w:t xml:space="preserve">•  SME queue for misplacement adjudication</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for structural derivation (CSV-based). SAS LLM workflow for placement (combined with step 8).</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control has a stage assignment, misplacement candidates are surfaced, and structural coverage of Holocentric step labels is documented.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Gate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C00000"/>
                <w:sz w:val="20"/>
                <w:szCs w:val="20"/>
              </w:rPr>
              <w:t xml:space="preserve">Lifecycle stage exact-match accuracy ≥0.80 on the ~50-control golden set used for step 8.</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10</w:t>
            </w:r>
            <w:r>
              <w:rPr>
                <w:sz w:val="22"/>
                <w:szCs w:val="22"/>
              </w:rPr>
              <w:t xml:space="preserve">    </w:t>
            </w:r>
            <w:r>
              <w:rPr>
                <w:b/>
                <w:bCs/>
                <w:color w:val="8C0E08"/>
                <w:sz w:val="28"/>
                <w:szCs w:val="28"/>
              </w:rPr>
              <w:t xml:space="preserve">Build the bridge table</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Compose all upstream outputs into a single analytical table that every output in step 11 queries. The bridge is the data model that makes coverage, gap, and duplicate queries possible.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Outputs of steps 2, 3, 4, 5, 6, 7, 8, 9 + linkage tables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The bridge is the master analytical table. Pure SAS, no LLM at this step. Joins are deterministic.</w:t>
            </w:r>
          </w:p>
          <w:p>
            <w:pPr>
              <w:spacing w:after="40" w:before="80"/>
            </w:pPr>
            <w:r>
              <w:rPr>
                <w:b/>
                <w:bCs/>
                <w:sz w:val="20"/>
                <w:szCs w:val="20"/>
              </w:rPr>
              <w:t xml:space="preserve">Join logic:</w:t>
            </w:r>
          </w:p>
          <w:p>
            <w:pPr>
              <w:spacing w:after="60"/>
              <w:ind w:left="280"/>
            </w:pPr>
            <w:r>
              <w:rPr>
                <w:rFonts w:ascii="Consolas" w:cs="Consolas" w:eastAsia="Consolas" w:hAnsi="Consolas"/>
                <w:color w:val="333333"/>
                <w:sz w:val="18"/>
                <w:szCs w:val="18"/>
              </w:rPr>
              <w:t xml:space="preserve">Linkage.CTRL_ID            →  Controls.CTRL_ID                  (TD or SAS staging)</w:t>
            </w:r>
          </w:p>
          <w:p>
            <w:pPr>
              <w:spacing w:after="60"/>
              <w:ind w:left="280"/>
            </w:pPr>
            <w:r>
              <w:rPr>
                <w:rFonts w:ascii="Consolas" w:cs="Consolas" w:eastAsia="Consolas" w:hAnsi="Consolas"/>
                <w:color w:val="333333"/>
                <w:sz w:val="18"/>
                <w:szCs w:val="18"/>
              </w:rPr>
              <w:t xml:space="preserve">Linkage.BUS_UNIT_BCRM_ID   →  Holocentric.l3_activity_id        (fallback l2_process_id)</w:t>
            </w:r>
          </w:p>
          <w:p>
            <w:pPr>
              <w:spacing w:after="60"/>
              <w:ind w:left="280"/>
            </w:pPr>
            <w:r>
              <w:rPr>
                <w:rFonts w:ascii="Consolas" w:cs="Consolas" w:eastAsia="Consolas" w:hAnsi="Consolas"/>
                <w:color w:val="333333"/>
                <w:sz w:val="18"/>
                <w:szCs w:val="18"/>
              </w:rPr>
              <w:t xml:space="preserve">BespokeControl.process_id  →  Holocentric.l3_activity_id        (step 5 internal)</w:t>
            </w:r>
          </w:p>
          <w:p>
            <w:pPr>
              <w:spacing w:after="60"/>
              <w:ind w:left="280"/>
            </w:pPr>
            <w:r>
              <w:rPr>
                <w:rFonts w:ascii="Consolas" w:cs="Consolas" w:eastAsia="Consolas" w:hAnsi="Consolas"/>
                <w:color w:val="333333"/>
                <w:sz w:val="18"/>
                <w:szCs w:val="18"/>
              </w:rPr>
              <w:t xml:space="preserve">Holocentric.applications   →  Alfabet.application_id            (enrichment)</w:t>
            </w:r>
          </w:p>
          <w:p>
            <w:pPr>
              <w:spacing w:after="40" w:before="100"/>
            </w:pPr>
            <w:r>
              <w:rPr>
                <w:b/>
                <w:bCs/>
                <w:sz w:val="20"/>
                <w:szCs w:val="20"/>
              </w:rPr>
              <w:t xml:space="preserve">Bridge row schema (one row per intersection):</w:t>
            </w:r>
          </w:p>
          <w:p>
            <w:pPr>
              <w:pStyle w:val="ListParagraph"/>
              <w:numPr>
                <w:ilvl w:val="0"/>
                <w:numId w:val="2"/>
              </w:numPr>
              <w:spacing w:after="30"/>
            </w:pPr>
            <w:r>
              <w:rPr>
                <w:sz w:val="20"/>
                <w:szCs w:val="20"/>
              </w:rPr>
              <w:t xml:space="preserve">process_id, process_name, process_value_stream, process_applications</w:t>
            </w:r>
          </w:p>
          <w:p>
            <w:pPr>
              <w:pStyle w:val="ListParagraph"/>
              <w:numPr>
                <w:ilvl w:val="0"/>
                <w:numId w:val="2"/>
              </w:numPr>
              <w:spacing w:after="30"/>
            </w:pPr>
            <w:r>
              <w:rPr>
                <w:sz w:val="20"/>
                <w:szCs w:val="20"/>
              </w:rPr>
              <w:t xml:space="preserve">control_id, control_name, control_description</w:t>
            </w:r>
          </w:p>
          <w:p>
            <w:pPr>
              <w:pStyle w:val="ListParagraph"/>
              <w:numPr>
                <w:ilvl w:val="0"/>
                <w:numId w:val="2"/>
              </w:numPr>
              <w:spacing w:after="30"/>
            </w:pPr>
            <w:r>
              <w:rPr>
                <w:sz w:val="20"/>
                <w:szCs w:val="20"/>
              </w:rPr>
              <w:t xml:space="preserve">control_source (JUNO / bespoke-Holocentric / bespoke-ALEX / bespoke-remediation)</w:t>
            </w:r>
          </w:p>
          <w:p>
            <w:pPr>
              <w:pStyle w:val="ListParagraph"/>
              <w:numPr>
                <w:ilvl w:val="0"/>
                <w:numId w:val="2"/>
              </w:numPr>
              <w:spacing w:after="30"/>
            </w:pPr>
            <w:r>
              <w:rPr>
                <w:sz w:val="20"/>
                <w:szCs w:val="20"/>
              </w:rPr>
              <w:t xml:space="preserve">registration_status (Registered / Candidate / Confirmed unregistered)</w:t>
            </w:r>
          </w:p>
          <w:p>
            <w:pPr>
              <w:pStyle w:val="ListParagraph"/>
              <w:numPr>
                <w:ilvl w:val="0"/>
                <w:numId w:val="2"/>
              </w:numPr>
              <w:spacing w:after="30"/>
            </w:pPr>
            <w:r>
              <w:rPr>
                <w:sz w:val="20"/>
                <w:szCs w:val="20"/>
              </w:rPr>
              <w:t xml:space="preserve">ct_outcome (CT1–CT28), ct_confidence, ct_rationale, ct_match_type</w:t>
            </w:r>
          </w:p>
          <w:p>
            <w:pPr>
              <w:pStyle w:val="ListParagraph"/>
              <w:numPr>
                <w:ilvl w:val="0"/>
                <w:numId w:val="2"/>
              </w:numPr>
              <w:spacing w:after="30"/>
            </w:pPr>
            <w:r>
              <w:rPr>
                <w:sz w:val="20"/>
                <w:szCs w:val="20"/>
              </w:rPr>
              <w:t xml:space="preserve">control_category (Process / System and Third Party / Pervasive)</w:t>
            </w:r>
          </w:p>
          <w:p>
            <w:pPr>
              <w:pStyle w:val="ListParagraph"/>
              <w:numPr>
                <w:ilvl w:val="0"/>
                <w:numId w:val="2"/>
              </w:numPr>
              <w:spacing w:after="30"/>
            </w:pPr>
            <w:r>
              <w:rPr>
                <w:sz w:val="20"/>
                <w:szCs w:val="20"/>
              </w:rPr>
              <w:t xml:space="preserve">control_nature (Preventative / Detective / Corrective)</w:t>
            </w:r>
          </w:p>
          <w:p>
            <w:pPr>
              <w:pStyle w:val="ListParagraph"/>
              <w:numPr>
                <w:ilvl w:val="0"/>
                <w:numId w:val="2"/>
              </w:numPr>
              <w:spacing w:after="30"/>
            </w:pPr>
            <w:r>
              <w:rPr>
                <w:sz w:val="20"/>
                <w:szCs w:val="20"/>
              </w:rPr>
              <w:t xml:space="preserve">framework_alignment (Payments / Governance)</w:t>
            </w:r>
          </w:p>
          <w:p>
            <w:pPr>
              <w:pStyle w:val="ListParagraph"/>
              <w:numPr>
                <w:ilvl w:val="0"/>
                <w:numId w:val="2"/>
              </w:numPr>
              <w:spacing w:after="30"/>
            </w:pPr>
            <w:r>
              <w:rPr>
                <w:sz w:val="20"/>
                <w:szCs w:val="20"/>
              </w:rPr>
              <w:t xml:space="preserve">payment_nature (one row per applicable nature), nature_inherent_risk</w:t>
            </w:r>
          </w:p>
          <w:p>
            <w:pPr>
              <w:pStyle w:val="ListParagraph"/>
              <w:numPr>
                <w:ilvl w:val="0"/>
                <w:numId w:val="2"/>
              </w:numPr>
              <w:spacing w:after="30"/>
            </w:pPr>
            <w:r>
              <w:rPr>
                <w:sz w:val="20"/>
                <w:szCs w:val="20"/>
              </w:rPr>
              <w:t xml:space="preserve">lifecycle_stage, lifecycle_confidence, lifecycle_structural_check (Match / Mismatch / Not-derivable)</w:t>
            </w:r>
          </w:p>
          <w:p>
            <w:pPr>
              <w:pStyle w:val="ListParagraph"/>
              <w:numPr>
                <w:ilvl w:val="0"/>
                <w:numId w:val="2"/>
              </w:numPr>
              <w:spacing w:after="30"/>
            </w:pPr>
            <w:r>
              <w:rPr>
                <w:sz w:val="20"/>
                <w:szCs w:val="20"/>
              </w:rPr>
              <w:t xml:space="preserve">design_effectiveness, operating_effectiveness, overall_effectiveness</w:t>
            </w:r>
          </w:p>
          <w:p>
            <w:pPr>
              <w:pStyle w:val="ListParagraph"/>
              <w:numPr>
                <w:ilvl w:val="0"/>
                <w:numId w:val="2"/>
              </w:numPr>
              <w:spacing w:after="30"/>
            </w:pPr>
            <w:r>
              <w:rPr>
                <w:sz w:val="20"/>
                <w:szCs w:val="20"/>
              </w:rPr>
              <w:t xml:space="preserve">incident_count_linked, issue_count_linked, latest_incident_severity</w:t>
            </w:r>
          </w:p>
          <w:p>
            <w:pPr>
              <w:pStyle w:val="ListParagraph"/>
              <w:numPr>
                <w:ilvl w:val="0"/>
                <w:numId w:val="2"/>
              </w:numPr>
              <w:spacing w:after="30"/>
            </w:pPr>
            <w:r>
              <w:rPr>
                <w:sz w:val="20"/>
                <w:szCs w:val="20"/>
              </w:rPr>
              <w:t xml:space="preserve">provenance: prompt_version, model_id, run_timestamp</w:t>
            </w:r>
          </w:p>
          <w:p>
            <w:pPr>
              <w:spacing w:after="100" w:before="100"/>
              <w:jc w:val="left"/>
            </w:pPr>
            <w:r>
              <w:rPr>
                <w:i/>
                <w:iCs/>
                <w:color w:val="5C5C5C"/>
                <w:sz w:val="20"/>
                <w:szCs w:val="20"/>
              </w:rPr>
              <w:t xml:space="preserve">Every analytical output in step 11 is a query over this table. The bridge is what makes the PoC answerable.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Master bridge table (one row per process × control × CT × nature × stage intersection)</w:t>
            </w:r>
          </w:p>
          <w:p>
            <w:pPr>
              <w:spacing w:after="20"/>
            </w:pPr>
            <w:r>
              <w:rPr>
                <w:sz w:val="20"/>
                <w:szCs w:val="20"/>
              </w:rPr>
              <w:t xml:space="preserve">•  Indexed for query performance on the five filter dimensions</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Final analytical table built in SAS; pulled from TD staging where source data is warehouse-resident.</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Bridge table compiles successfully, row counts reconcile to upstream populations, and every column has a documented source.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11</w:t>
            </w:r>
            <w:r>
              <w:rPr>
                <w:sz w:val="22"/>
                <w:szCs w:val="22"/>
              </w:rPr>
              <w:t xml:space="preserve">    </w:t>
            </w:r>
            <w:r>
              <w:rPr>
                <w:b/>
                <w:bCs/>
                <w:color w:val="8C0E08"/>
                <w:sz w:val="28"/>
                <w:szCs w:val="28"/>
              </w:rPr>
              <w:t xml:space="preserve">Produce the analytical outputs</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Generate the outputs that answer the sufficiency question, organised into the three findings buckets from the deck (Strengthen, Rationalise, Gaps) plus the monitoring baseline. Each output is a query over the bridge table.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Bridge table (from step 10)</w:t>
            </w:r>
          </w:p>
          <w:p>
            <w:pPr>
              <w:spacing w:after="20"/>
            </w:pPr>
            <w:r>
              <w:rPr>
                <w:sz w:val="20"/>
                <w:szCs w:val="20"/>
              </w:rPr>
              <w:t xml:space="preserve">•  Control ratings, incident/issue counts, application criticality</w:t>
            </w:r>
          </w:p>
          <w:p>
            <w:pPr>
              <w:spacing w:after="20"/>
            </w:pPr>
            <w:r>
              <w:rPr>
                <w:sz w:val="20"/>
                <w:szCs w:val="20"/>
              </w:rPr>
              <w:t xml:space="preserve">•  Standard pattern library (small catalogue, maintained by the team)</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Each output is a SAS query (or query set) over the bridge table. No LLM at this step. The outputs are organised into the three findings buckets from the deck (Strengthen, Rationalise, Gaps), plus the monitoring baseline.</w:t>
            </w:r>
          </w:p>
          <w:p>
            <w:pPr>
              <w:spacing w:after="40" w:before="100"/>
            </w:pPr>
            <w:r>
              <w:rPr>
                <w:b/>
                <w:bCs/>
                <w:color w:val="8C0E08"/>
                <w:sz w:val="22"/>
                <w:szCs w:val="22"/>
              </w:rPr>
              <w:t xml:space="preserve">STRENGTHEN.</w:t>
            </w:r>
          </w:p>
          <w:p>
            <w:pPr>
              <w:spacing w:after="40" w:before="80"/>
            </w:pPr>
            <w:r>
              <w:rPr>
                <w:b/>
                <w:bCs/>
                <w:color w:val="8C0E08"/>
                <w:sz w:val="20"/>
                <w:szCs w:val="20"/>
              </w:rPr>
              <w:t xml:space="preserve">11a. Coverage heatmaps (three coverage constructs per cell).</w:t>
            </w:r>
          </w:p>
          <w:p>
            <w:pPr>
              <w:pStyle w:val="ListParagraph"/>
              <w:numPr>
                <w:ilvl w:val="0"/>
                <w:numId w:val="2"/>
              </w:numPr>
              <w:spacing w:after="30"/>
            </w:pPr>
            <w:r>
              <w:rPr>
                <w:sz w:val="20"/>
                <w:szCs w:val="20"/>
              </w:rPr>
              <w:t xml:space="preserve">Payment Nature × CT: cell shows three numbers: Structural / Effective / Failing control count.</w:t>
            </w:r>
          </w:p>
          <w:p>
            <w:pPr>
              <w:pStyle w:val="ListParagraph"/>
              <w:numPr>
                <w:ilvl w:val="0"/>
                <w:numId w:val="2"/>
              </w:numPr>
              <w:spacing w:after="30"/>
            </w:pPr>
            <w:r>
              <w:rPr>
                <w:sz w:val="20"/>
                <w:szCs w:val="20"/>
              </w:rPr>
              <w:t xml:space="preserve">Value Stream × CT: alternative cut for value-chain owners.</w:t>
            </w:r>
          </w:p>
          <w:p>
            <w:pPr>
              <w:pStyle w:val="ListParagraph"/>
              <w:numPr>
                <w:ilvl w:val="0"/>
                <w:numId w:val="2"/>
              </w:numPr>
              <w:spacing w:after="30"/>
            </w:pPr>
            <w:r>
              <w:rPr>
                <w:sz w:val="20"/>
                <w:szCs w:val="20"/>
              </w:rPr>
              <w:t xml:space="preserve">Process × CT: granular cut for control owners working a specific process.</w:t>
            </w:r>
          </w:p>
          <w:p>
            <w:pPr>
              <w:pStyle w:val="ListParagraph"/>
              <w:numPr>
                <w:ilvl w:val="0"/>
                <w:numId w:val="2"/>
              </w:numPr>
              <w:spacing w:after="30"/>
            </w:pPr>
            <w:r>
              <w:rPr>
                <w:sz w:val="20"/>
                <w:szCs w:val="20"/>
              </w:rPr>
              <w:t xml:space="preserve">A cell with 5 structural / 4 effective / 1 failing is a different story than 1 structural / 1 effective / 0 failing. The three numbers preserve that distinction.</w:t>
            </w:r>
          </w:p>
          <w:p>
            <w:pPr>
              <w:spacing w:after="40" w:before="80"/>
            </w:pPr>
            <w:r>
              <w:rPr>
                <w:b/>
                <w:bCs/>
                <w:color w:val="8C0E08"/>
                <w:sz w:val="20"/>
                <w:szCs w:val="20"/>
              </w:rPr>
              <w:t xml:space="preserve">11b. Strengthen view.</w:t>
            </w:r>
          </w:p>
          <w:p>
            <w:pPr>
              <w:pStyle w:val="ListParagraph"/>
              <w:numPr>
                <w:ilvl w:val="0"/>
                <w:numId w:val="2"/>
              </w:numPr>
              <w:spacing w:after="30"/>
            </w:pPr>
            <w:r>
              <w:rPr>
                <w:sz w:val="20"/>
                <w:szCs w:val="20"/>
              </w:rPr>
              <w:t xml:space="preserve">Highlight automated controls in High inherent risk Payment Natures.</w:t>
            </w:r>
          </w:p>
          <w:p>
            <w:pPr>
              <w:pStyle w:val="ListParagraph"/>
              <w:numPr>
                <w:ilvl w:val="0"/>
                <w:numId w:val="2"/>
              </w:numPr>
              <w:spacing w:after="30"/>
            </w:pPr>
            <w:r>
              <w:rPr>
                <w:sz w:val="20"/>
                <w:szCs w:val="20"/>
              </w:rPr>
              <w:t xml:space="preserve">Highlight Preventative controls (from step 8 classification) at the Initiation, Validation, and Authorisation lifecycle stages where prevention is most valuable.</w:t>
            </w:r>
          </w:p>
          <w:p>
            <w:pPr>
              <w:pStyle w:val="ListParagraph"/>
              <w:numPr>
                <w:ilvl w:val="0"/>
                <w:numId w:val="2"/>
              </w:numPr>
              <w:spacing w:after="30"/>
            </w:pPr>
            <w:r>
              <w:rPr>
                <w:sz w:val="20"/>
                <w:szCs w:val="20"/>
              </w:rPr>
              <w:t xml:space="preserve">Surface controls rated Effective with no incidents linked over the last 24 months as candidate exemplars.</w:t>
            </w:r>
          </w:p>
          <w:p>
            <w:pPr>
              <w:spacing w:after="40" w:before="100"/>
            </w:pPr>
            <w:r>
              <w:rPr>
                <w:b/>
                <w:bCs/>
                <w:color w:val="8C0E08"/>
                <w:sz w:val="22"/>
                <w:szCs w:val="22"/>
              </w:rPr>
              <w:t xml:space="preserve">RATIONALISE.</w:t>
            </w:r>
          </w:p>
          <w:p>
            <w:pPr>
              <w:spacing w:after="40" w:before="80"/>
            </w:pPr>
            <w:r>
              <w:rPr>
                <w:b/>
                <w:bCs/>
                <w:color w:val="8C0E08"/>
                <w:sz w:val="20"/>
                <w:szCs w:val="20"/>
              </w:rPr>
              <w:t xml:space="preserve">11c. Duplicate clusters and best of breed.</w:t>
            </w:r>
          </w:p>
          <w:p>
            <w:pPr>
              <w:spacing w:after="100" w:before="0"/>
            </w:pPr>
            <w:r>
              <w:rPr>
                <w:b/>
                <w:bCs/>
                <w:sz w:val="20"/>
                <w:szCs w:val="20"/>
              </w:rPr>
              <w:t xml:space="preserve">Duplicate definition (deterministic): </w:t>
            </w:r>
            <w:r>
              <w:rPr>
                <w:sz w:val="20"/>
                <w:szCs w:val="20"/>
              </w:rPr>
              <w:t xml:space="preserve">two controls are duplicates if they share (CT outcome AND Payment Nature AND lifecycle stage AND process scope) AND their mechanism-similarity score ≥0.75.</w:t>
            </w:r>
          </w:p>
          <w:p>
            <w:pPr>
              <w:spacing w:after="100" w:before="0"/>
            </w:pPr>
            <w:r>
              <w:rPr>
                <w:b/>
                <w:bCs/>
                <w:sz w:val="20"/>
                <w:szCs w:val="20"/>
              </w:rPr>
              <w:t xml:space="preserve">Mechanism similarity: </w:t>
            </w:r>
            <w:r>
              <w:rPr>
                <w:sz w:val="20"/>
                <w:szCs w:val="20"/>
              </w:rPr>
              <w:t xml:space="preserve">cosine similarity of (control description + automation level + control type) embeddings. The automation level matters: an automated system check and a manual reconciliation covering the same CT/Nature/Stage are NOT duplicates. They are defence-in-depth.</w:t>
            </w:r>
          </w:p>
          <w:p>
            <w:pPr>
              <w:spacing w:after="100" w:before="0"/>
            </w:pPr>
            <w:r>
              <w:rPr>
                <w:b/>
                <w:bCs/>
                <w:sz w:val="20"/>
                <w:szCs w:val="20"/>
              </w:rPr>
              <w:t xml:space="preserve">Best of breed scoring (within each cluster): </w:t>
            </w:r>
            <w:r>
              <w:rPr>
                <w:sz w:val="20"/>
                <w:szCs w:val="20"/>
              </w:rPr>
              <w:t xml:space="preserve">weighted sum, normalised 0–100.</w:t>
            </w:r>
          </w:p>
          <w:p>
            <w:pPr>
              <w:spacing w:after="60"/>
              <w:ind w:left="280"/>
            </w:pPr>
            <w:r>
              <w:rPr>
                <w:rFonts w:ascii="Consolas" w:cs="Consolas" w:eastAsia="Consolas" w:hAnsi="Consolas"/>
                <w:color w:val="333333"/>
                <w:sz w:val="18"/>
                <w:szCs w:val="18"/>
              </w:rPr>
              <w:t xml:space="preserve">score = 0.40 * effectiveness_rating_score</w:t>
            </w:r>
          </w:p>
          <w:p>
            <w:pPr>
              <w:spacing w:after="60"/>
              <w:ind w:left="280"/>
            </w:pPr>
            <w:r>
              <w:rPr>
                <w:rFonts w:ascii="Consolas" w:cs="Consolas" w:eastAsia="Consolas" w:hAnsi="Consolas"/>
                <w:color w:val="333333"/>
                <w:sz w:val="18"/>
                <w:szCs w:val="18"/>
              </w:rPr>
              <w:t xml:space="preserve">      + 0.25 * automation_score</w:t>
            </w:r>
          </w:p>
          <w:p>
            <w:pPr>
              <w:spacing w:after="60"/>
              <w:ind w:left="280"/>
            </w:pPr>
            <w:r>
              <w:rPr>
                <w:rFonts w:ascii="Consolas" w:cs="Consolas" w:eastAsia="Consolas" w:hAnsi="Consolas"/>
                <w:color w:val="333333"/>
                <w:sz w:val="18"/>
                <w:szCs w:val="18"/>
              </w:rPr>
              <w:t xml:space="preserve">      + 0.20 * incident_free_history_score</w:t>
            </w:r>
          </w:p>
          <w:p>
            <w:pPr>
              <w:spacing w:after="60"/>
              <w:ind w:left="280"/>
            </w:pPr>
            <w:r>
              <w:rPr>
                <w:rFonts w:ascii="Consolas" w:cs="Consolas" w:eastAsia="Consolas" w:hAnsi="Consolas"/>
                <w:color w:val="333333"/>
                <w:sz w:val="18"/>
                <w:szCs w:val="18"/>
              </w:rPr>
              <w:t xml:space="preserve">      + 0.10 * design_clarity_score</w:t>
            </w:r>
          </w:p>
          <w:p>
            <w:pPr>
              <w:spacing w:after="60"/>
              <w:ind w:left="280"/>
            </w:pPr>
            <w:r>
              <w:rPr>
                <w:rFonts w:ascii="Consolas" w:cs="Consolas" w:eastAsia="Consolas" w:hAnsi="Consolas"/>
                <w:color w:val="333333"/>
                <w:sz w:val="18"/>
                <w:szCs w:val="18"/>
              </w:rPr>
              <w:t xml:space="preserve">      + 0.05 * coverage_breadth_score</w:t>
            </w:r>
          </w:p>
          <w:p>
            <w:pPr>
              <w:pStyle w:val="ListParagraph"/>
              <w:numPr>
                <w:ilvl w:val="0"/>
                <w:numId w:val="2"/>
              </w:numPr>
              <w:spacing w:after="30"/>
            </w:pPr>
            <w:r>
              <w:rPr>
                <w:sz w:val="20"/>
                <w:szCs w:val="20"/>
              </w:rPr>
              <w:t xml:space="preserve">Effectiveness: Effective=100, Largely Effective=75, Requires Improvement=40, Ineffective=0.</w:t>
            </w:r>
          </w:p>
          <w:p>
            <w:pPr>
              <w:pStyle w:val="ListParagraph"/>
              <w:numPr>
                <w:ilvl w:val="0"/>
                <w:numId w:val="2"/>
              </w:numPr>
              <w:spacing w:after="30"/>
            </w:pPr>
            <w:r>
              <w:rPr>
                <w:sz w:val="20"/>
                <w:szCs w:val="20"/>
              </w:rPr>
              <w:t xml:space="preserve">Automation: Automated=100, Hybrid=60, Manual=30, Unknown=0.</w:t>
            </w:r>
          </w:p>
          <w:p>
            <w:pPr>
              <w:pStyle w:val="ListParagraph"/>
              <w:numPr>
                <w:ilvl w:val="0"/>
                <w:numId w:val="2"/>
              </w:numPr>
              <w:spacing w:after="30"/>
            </w:pPr>
            <w:r>
              <w:rPr>
                <w:sz w:val="20"/>
                <w:szCs w:val="20"/>
              </w:rPr>
              <w:t xml:space="preserve">Incident-free: 100 if zero P1/P2 incidents linked in last 24 months; decreases by severity and recency.</w:t>
            </w:r>
          </w:p>
          <w:p>
            <w:pPr>
              <w:pStyle w:val="ListParagraph"/>
              <w:numPr>
                <w:ilvl w:val="0"/>
                <w:numId w:val="2"/>
              </w:numPr>
              <w:spacing w:after="30"/>
            </w:pPr>
            <w:r>
              <w:rPr>
                <w:sz w:val="20"/>
                <w:szCs w:val="20"/>
              </w:rPr>
              <w:t xml:space="preserve">Design clarity: control description token length and structural completeness (LLM-scored once).</w:t>
            </w:r>
          </w:p>
          <w:p>
            <w:pPr>
              <w:pStyle w:val="ListParagraph"/>
              <w:numPr>
                <w:ilvl w:val="0"/>
                <w:numId w:val="2"/>
              </w:numPr>
              <w:spacing w:after="30"/>
            </w:pPr>
            <w:r>
              <w:rPr>
                <w:sz w:val="20"/>
                <w:szCs w:val="20"/>
              </w:rPr>
              <w:t xml:space="preserve">Coverage breadth: proportion of in-cluster process scope covered by this control.</w:t>
            </w:r>
          </w:p>
          <w:p>
            <w:pPr>
              <w:pStyle w:val="ListParagraph"/>
              <w:numPr>
                <w:ilvl w:val="0"/>
                <w:numId w:val="2"/>
              </w:numPr>
              <w:spacing w:after="30"/>
            </w:pPr>
            <w:r>
              <w:rPr>
                <w:sz w:val="20"/>
                <w:szCs w:val="20"/>
              </w:rPr>
              <w:t xml:space="preserve">Highest score = best of breed nomination. Others = retire / merge candidates.</w:t>
            </w:r>
          </w:p>
          <w:p>
            <w:pPr>
              <w:pStyle w:val="ListParagraph"/>
              <w:numPr>
                <w:ilvl w:val="0"/>
                <w:numId w:val="2"/>
              </w:numPr>
              <w:spacing w:after="30"/>
            </w:pPr>
            <w:r>
              <w:rPr>
                <w:sz w:val="20"/>
                <w:szCs w:val="20"/>
              </w:rPr>
              <w:t xml:space="preserve">Weights are sponsor-tunable. The five-factor formula stays; the weights can be revised after first-cut results.</w:t>
            </w:r>
          </w:p>
          <w:p>
            <w:pPr>
              <w:spacing w:after="40" w:before="80"/>
            </w:pPr>
            <w:r>
              <w:rPr>
                <w:b/>
                <w:bCs/>
                <w:color w:val="8C0E08"/>
                <w:sz w:val="20"/>
                <w:szCs w:val="20"/>
              </w:rPr>
              <w:t xml:space="preserve">11d. Governance controls misclassified into the Payments framework.</w:t>
            </w:r>
          </w:p>
          <w:p>
            <w:pPr>
              <w:pStyle w:val="ListParagraph"/>
              <w:numPr>
                <w:ilvl w:val="0"/>
                <w:numId w:val="2"/>
              </w:numPr>
              <w:spacing w:after="30"/>
            </w:pPr>
            <w:r>
              <w:rPr>
                <w:sz w:val="20"/>
                <w:szCs w:val="20"/>
              </w:rPr>
              <w:t xml:space="preserve">From step 8 framework alignment flag: controls flagged as Governance rather than Payments, despite sitting in the Payments Risk framework.</w:t>
            </w:r>
          </w:p>
          <w:p>
            <w:pPr>
              <w:pStyle w:val="ListParagraph"/>
              <w:numPr>
                <w:ilvl w:val="0"/>
                <w:numId w:val="2"/>
              </w:numPr>
              <w:spacing w:after="30"/>
            </w:pPr>
            <w:r>
              <w:rPr>
                <w:sz w:val="20"/>
                <w:szCs w:val="20"/>
              </w:rPr>
              <w:t xml:space="preserve">Filter: framework_alignment = 'Governance' AND inclusion path P1 (taxonomy tag) fired.</w:t>
            </w:r>
          </w:p>
          <w:p>
            <w:pPr>
              <w:pStyle w:val="ListParagraph"/>
              <w:numPr>
                <w:ilvl w:val="0"/>
                <w:numId w:val="2"/>
              </w:numPr>
              <w:spacing w:after="30"/>
            </w:pPr>
            <w:r>
              <w:rPr>
                <w:sz w:val="20"/>
                <w:szCs w:val="20"/>
              </w:rPr>
              <w:t xml:space="preserve">Each surfaced control gets a rationale citing why it reads as governance (typically: addresses framework operation, policy authorship, committee oversight, or training rather than direct payment risk mitigation).</w:t>
            </w:r>
          </w:p>
          <w:p>
            <w:pPr>
              <w:pStyle w:val="ListParagraph"/>
              <w:numPr>
                <w:ilvl w:val="0"/>
                <w:numId w:val="2"/>
              </w:numPr>
              <w:spacing w:after="30"/>
            </w:pPr>
            <w:r>
              <w:rPr>
                <w:sz w:val="20"/>
                <w:szCs w:val="20"/>
              </w:rPr>
              <w:t xml:space="preserve">Output is a list for risk owners to consider de-scoping from the Payments framework. Specifically requested by the deck.</w:t>
            </w:r>
          </w:p>
          <w:p>
            <w:pPr>
              <w:spacing w:after="40" w:before="100"/>
            </w:pPr>
            <w:r>
              <w:rPr>
                <w:b/>
                <w:bCs/>
                <w:color w:val="8C0E08"/>
                <w:sz w:val="22"/>
                <w:szCs w:val="22"/>
              </w:rPr>
              <w:t xml:space="preserve">GAPS.</w:t>
            </w:r>
          </w:p>
          <w:p>
            <w:pPr>
              <w:spacing w:after="40" w:before="80"/>
            </w:pPr>
            <w:r>
              <w:rPr>
                <w:b/>
                <w:bCs/>
                <w:color w:val="8C0E08"/>
                <w:sz w:val="20"/>
                <w:szCs w:val="20"/>
              </w:rPr>
              <w:t xml:space="preserve">11e. Gap register (six types).</w:t>
            </w:r>
          </w:p>
          <w:p>
            <w:pPr>
              <w:pStyle w:val="ListParagraph"/>
              <w:numPr>
                <w:ilvl w:val="0"/>
                <w:numId w:val="2"/>
              </w:numPr>
              <w:spacing w:after="30"/>
            </w:pPr>
            <w:r>
              <w:rPr>
                <w:b/>
                <w:bCs/>
                <w:sz w:val="20"/>
                <w:szCs w:val="20"/>
              </w:rPr>
              <w:t xml:space="preserve">Type A No coverage. </w:t>
            </w:r>
            <w:r>
              <w:rPr>
                <w:sz w:val="20"/>
                <w:szCs w:val="20"/>
              </w:rPr>
              <w:t xml:space="preserve">CT outcome with zero mapped controls in a given Payment Nature.</w:t>
            </w:r>
          </w:p>
          <w:p>
            <w:pPr>
              <w:pStyle w:val="ListParagraph"/>
              <w:numPr>
                <w:ilvl w:val="0"/>
                <w:numId w:val="2"/>
              </w:numPr>
              <w:spacing w:after="30"/>
            </w:pPr>
            <w:r>
              <w:rPr>
                <w:b/>
                <w:bCs/>
                <w:sz w:val="20"/>
                <w:szCs w:val="20"/>
              </w:rPr>
              <w:t xml:space="preserve">Type B Rated insufficient. </w:t>
            </w:r>
            <w:r>
              <w:rPr>
                <w:sz w:val="20"/>
                <w:szCs w:val="20"/>
              </w:rPr>
              <w:t xml:space="preserve">All mapped controls rated Requires Improvement / Ineffective.</w:t>
            </w:r>
          </w:p>
          <w:p>
            <w:pPr>
              <w:pStyle w:val="ListParagraph"/>
              <w:numPr>
                <w:ilvl w:val="0"/>
                <w:numId w:val="2"/>
              </w:numPr>
              <w:spacing w:after="30"/>
            </w:pPr>
            <w:r>
              <w:rPr>
                <w:b/>
                <w:bCs/>
                <w:sz w:val="20"/>
                <w:szCs w:val="20"/>
              </w:rPr>
              <w:t xml:space="preserve">Type C Unverified coverage. </w:t>
            </w:r>
            <w:r>
              <w:rPr>
                <w:sz w:val="20"/>
                <w:szCs w:val="20"/>
              </w:rPr>
              <w:t xml:space="preserve">Controls unrated or assessments stale.</w:t>
            </w:r>
          </w:p>
          <w:p>
            <w:pPr>
              <w:pStyle w:val="ListParagraph"/>
              <w:numPr>
                <w:ilvl w:val="0"/>
                <w:numId w:val="2"/>
              </w:numPr>
              <w:spacing w:after="30"/>
            </w:pPr>
            <w:r>
              <w:rPr>
                <w:b/>
                <w:bCs/>
                <w:sz w:val="20"/>
                <w:szCs w:val="20"/>
              </w:rPr>
              <w:t xml:space="preserve">Type D Failing despite Strong rating. </w:t>
            </w:r>
            <w:r>
              <w:rPr>
                <w:sz w:val="20"/>
                <w:szCs w:val="20"/>
              </w:rPr>
              <w:t xml:space="preserve">Strong-rated controls with recurring P1/P2 incidents or open issues linked.</w:t>
            </w:r>
          </w:p>
          <w:p>
            <w:pPr>
              <w:pStyle w:val="ListParagraph"/>
              <w:numPr>
                <w:ilvl w:val="0"/>
                <w:numId w:val="2"/>
              </w:numPr>
              <w:spacing w:after="30"/>
            </w:pPr>
            <w:r>
              <w:rPr>
                <w:b/>
                <w:bCs/>
                <w:sz w:val="20"/>
                <w:szCs w:val="20"/>
              </w:rPr>
              <w:t xml:space="preserve">Type E Misplacement. </w:t>
            </w:r>
            <w:r>
              <w:rPr>
                <w:sz w:val="20"/>
                <w:szCs w:val="20"/>
              </w:rPr>
              <w:t xml:space="preserve">Control at wrong lifecycle stage (from step 9 structural-vs-LLM disagreement, only where structural-expected exists).</w:t>
            </w:r>
          </w:p>
          <w:p>
            <w:pPr>
              <w:pStyle w:val="ListParagraph"/>
              <w:numPr>
                <w:ilvl w:val="0"/>
                <w:numId w:val="2"/>
              </w:numPr>
              <w:spacing w:after="30"/>
            </w:pPr>
            <w:r>
              <w:rPr>
                <w:b/>
                <w:bCs/>
                <w:sz w:val="20"/>
                <w:szCs w:val="20"/>
              </w:rPr>
              <w:t xml:space="preserve">Type F Process gap. </w:t>
            </w:r>
            <w:r>
              <w:rPr>
                <w:sz w:val="20"/>
                <w:szCs w:val="20"/>
              </w:rPr>
              <w:t xml:space="preserve">Payment process with zero linked controls.</w:t>
            </w:r>
          </w:p>
          <w:p>
            <w:pPr>
              <w:spacing w:after="40" w:before="80"/>
            </w:pPr>
            <w:r>
              <w:rPr>
                <w:b/>
                <w:bCs/>
                <w:color w:val="8C0E08"/>
                <w:sz w:val="20"/>
                <w:szCs w:val="20"/>
              </w:rPr>
              <w:t xml:space="preserve">11f. Standard pattern naming for P0 gaps.</w:t>
            </w:r>
          </w:p>
          <w:p>
            <w:pPr>
              <w:pStyle w:val="ListParagraph"/>
              <w:numPr>
                <w:ilvl w:val="0"/>
                <w:numId w:val="2"/>
              </w:numPr>
              <w:spacing w:after="30"/>
            </w:pPr>
            <w:r>
              <w:rPr>
                <w:sz w:val="20"/>
                <w:szCs w:val="20"/>
              </w:rPr>
              <w:t xml:space="preserve">Where a P0 gap matches a known standardised control pattern, the pattern is named alongside the gap.</w:t>
            </w:r>
          </w:p>
          <w:p>
            <w:pPr>
              <w:pStyle w:val="ListParagraph"/>
              <w:numPr>
                <w:ilvl w:val="0"/>
                <w:numId w:val="2"/>
              </w:numPr>
              <w:spacing w:after="30"/>
            </w:pPr>
            <w:r>
              <w:rPr>
                <w:sz w:val="20"/>
                <w:szCs w:val="20"/>
              </w:rPr>
              <w:t xml:space="preserve">Pattern library is a small catalogue maintained by the team (typical entries: four-eyes approval, threshold block, automated reconciliation, dual factor authorisation, daily exception report, end-to-end trace ID enforcement).</w:t>
            </w:r>
          </w:p>
          <w:p>
            <w:pPr>
              <w:pStyle w:val="ListParagraph"/>
              <w:numPr>
                <w:ilvl w:val="0"/>
                <w:numId w:val="2"/>
              </w:numPr>
              <w:spacing w:after="30"/>
            </w:pPr>
            <w:r>
              <w:rPr>
                <w:sz w:val="20"/>
                <w:szCs w:val="20"/>
              </w:rPr>
              <w:t xml:space="preserve">The PoC identifies and recommends. Control design and implementation work follows the PoC.</w:t>
            </w:r>
          </w:p>
          <w:p>
            <w:pPr>
              <w:pStyle w:val="ListParagraph"/>
              <w:numPr>
                <w:ilvl w:val="0"/>
                <w:numId w:val="2"/>
              </w:numPr>
              <w:spacing w:after="30"/>
            </w:pPr>
            <w:r>
              <w:rPr>
                <w:sz w:val="20"/>
                <w:szCs w:val="20"/>
              </w:rPr>
              <w:t xml:space="preserve">If no standard pattern fits, the gap is recorded without a pattern name and routed to control owners for design work.</w:t>
            </w:r>
          </w:p>
          <w:p>
            <w:pPr>
              <w:spacing w:after="40" w:before="80"/>
            </w:pPr>
            <w:r>
              <w:rPr>
                <w:b/>
                <w:bCs/>
                <w:color w:val="8C0E08"/>
                <w:sz w:val="20"/>
                <w:szCs w:val="20"/>
              </w:rPr>
              <w:t xml:space="preserve">11g. JUNO registration backlog.</w:t>
            </w:r>
          </w:p>
          <w:p>
            <w:pPr>
              <w:pStyle w:val="ListParagraph"/>
              <w:numPr>
                <w:ilvl w:val="0"/>
                <w:numId w:val="2"/>
              </w:numPr>
              <w:spacing w:after="30"/>
            </w:pPr>
            <w:r>
              <w:rPr>
                <w:sz w:val="20"/>
                <w:szCs w:val="20"/>
              </w:rPr>
              <w:t xml:space="preserve">Bespoke controls SME-confirmed as genuine controls.</w:t>
            </w:r>
          </w:p>
          <w:p>
            <w:pPr>
              <w:pStyle w:val="ListParagraph"/>
              <w:numPr>
                <w:ilvl w:val="0"/>
                <w:numId w:val="2"/>
              </w:numPr>
              <w:spacing w:after="30"/>
            </w:pPr>
            <w:r>
              <w:rPr>
                <w:sz w:val="20"/>
                <w:szCs w:val="20"/>
              </w:rPr>
              <w:t xml:space="preserve">Ranked by Payment Nature inherent risk + CT criticality (CT22 Mistaken Internet Payments has high regulatory recognisability; CT5 Incident Response has cross-cutting impact).</w:t>
            </w:r>
          </w:p>
          <w:p>
            <w:pPr>
              <w:spacing w:after="40" w:before="80"/>
            </w:pPr>
            <w:r>
              <w:rPr>
                <w:b/>
                <w:bCs/>
                <w:color w:val="8C0E08"/>
                <w:sz w:val="20"/>
                <w:szCs w:val="20"/>
              </w:rPr>
              <w:t xml:space="preserve">11h. Obligations coverage view.</w:t>
            </w:r>
          </w:p>
          <w:p>
            <w:pPr>
              <w:pStyle w:val="ListParagraph"/>
              <w:numPr>
                <w:ilvl w:val="0"/>
                <w:numId w:val="2"/>
              </w:numPr>
              <w:spacing w:after="30"/>
            </w:pPr>
            <w:r>
              <w:rPr>
                <w:sz w:val="20"/>
                <w:szCs w:val="20"/>
              </w:rPr>
              <w:t xml:space="preserve">For each Payments obligation linked via P3, list the controls that cover it (via Control ↔ Obligation linkage in the bridge).</w:t>
            </w:r>
          </w:p>
          <w:p>
            <w:pPr>
              <w:pStyle w:val="ListParagraph"/>
              <w:numPr>
                <w:ilvl w:val="0"/>
                <w:numId w:val="2"/>
              </w:numPr>
              <w:spacing w:after="30"/>
            </w:pPr>
            <w:r>
              <w:rPr>
                <w:sz w:val="20"/>
                <w:szCs w:val="20"/>
              </w:rPr>
              <w:t xml:space="preserve">Derive coverage rating per obligation: Strong / Moderate / Weak / None, using the same constructs as the CT heatmap.</w:t>
            </w:r>
          </w:p>
          <w:p>
            <w:pPr>
              <w:pStyle w:val="ListParagraph"/>
              <w:numPr>
                <w:ilvl w:val="0"/>
                <w:numId w:val="2"/>
              </w:numPr>
              <w:spacing w:after="30"/>
            </w:pPr>
            <w:r>
              <w:rPr>
                <w:sz w:val="20"/>
                <w:szCs w:val="20"/>
              </w:rPr>
              <w:t xml:space="preserve">Surface obligations with zero linked controls or only weak-rated controls as a separate finding for compliance owners.</w:t>
            </w:r>
          </w:p>
          <w:p>
            <w:pPr>
              <w:pStyle w:val="ListParagraph"/>
              <w:numPr>
                <w:ilvl w:val="0"/>
                <w:numId w:val="2"/>
              </w:numPr>
              <w:spacing w:after="30"/>
            </w:pPr>
            <w:r>
              <w:rPr>
                <w:sz w:val="20"/>
                <w:szCs w:val="20"/>
              </w:rPr>
              <w:t xml:space="preserve">Pure SAS query over the bridge table; no LLM workload (the underlying Control ↔ Obligation linkage already exists from step 4).</w:t>
            </w:r>
          </w:p>
          <w:p>
            <w:pPr>
              <w:spacing w:after="40" w:before="100"/>
            </w:pPr>
            <w:r>
              <w:rPr>
                <w:b/>
                <w:bCs/>
                <w:color w:val="8C0E08"/>
                <w:sz w:val="22"/>
                <w:szCs w:val="22"/>
              </w:rPr>
              <w:t xml:space="preserve">MONITORING.</w:t>
            </w:r>
          </w:p>
          <w:p>
            <w:pPr>
              <w:spacing w:after="40" w:before="80"/>
            </w:pPr>
            <w:r>
              <w:rPr>
                <w:b/>
                <w:bCs/>
                <w:color w:val="8C0E08"/>
                <w:sz w:val="20"/>
                <w:szCs w:val="20"/>
              </w:rPr>
              <w:t xml:space="preserve">11i. Monitoring baseline.</w:t>
            </w:r>
          </w:p>
          <w:p>
            <w:pPr>
              <w:pStyle w:val="ListParagraph"/>
              <w:numPr>
                <w:ilvl w:val="0"/>
                <w:numId w:val="2"/>
              </w:numPr>
              <w:spacing w:after="30"/>
            </w:pPr>
            <w:r>
              <w:rPr>
                <w:sz w:val="20"/>
                <w:szCs w:val="20"/>
              </w:rPr>
              <w:t xml:space="preserve">For each Master Control: list key controls, recommended monitoring intensity proportional to inherent risk and incident history.</w:t>
            </w:r>
          </w:p>
          <w:p>
            <w:pPr>
              <w:pStyle w:val="ListParagraph"/>
              <w:numPr>
                <w:ilvl w:val="0"/>
                <w:numId w:val="2"/>
              </w:numPr>
              <w:spacing w:after="30"/>
            </w:pPr>
            <w:r>
              <w:rPr>
                <w:sz w:val="20"/>
                <w:szCs w:val="20"/>
              </w:rPr>
              <w:t xml:space="preserve">Identify what monitoring evidence already exists (control assessments, KRIs) vs what is missing.</w:t>
            </w:r>
          </w:p>
          <w:p>
            <w:pPr>
              <w:pStyle w:val="ListParagraph"/>
              <w:numPr>
                <w:ilvl w:val="0"/>
                <w:numId w:val="2"/>
              </w:numPr>
              <w:spacing w:after="30"/>
            </w:pPr>
            <w:r>
              <w:rPr>
                <w:sz w:val="20"/>
                <w:szCs w:val="20"/>
              </w:rPr>
              <w:t xml:space="preserve">Note: this is what monitoring should look like, not the platform that delivers it. Remediation is owner-driven.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Coverage heatmap (three cuts, three coverage constructs per cell)</w:t>
            </w:r>
          </w:p>
          <w:p>
            <w:pPr>
              <w:spacing w:after="20"/>
            </w:pPr>
            <w:r>
              <w:rPr>
                <w:sz w:val="20"/>
                <w:szCs w:val="20"/>
              </w:rPr>
              <w:t xml:space="preserve">•  Strengthen view (automated controls in High risk Natures, preventative controls at key stages, exemplar candidates)</w:t>
            </w:r>
          </w:p>
          <w:p>
            <w:pPr>
              <w:spacing w:after="20"/>
            </w:pPr>
            <w:r>
              <w:rPr>
                <w:sz w:val="20"/>
                <w:szCs w:val="20"/>
              </w:rPr>
              <w:t xml:space="preserve">•  Duplicate cluster register with best of breed nominations</w:t>
            </w:r>
          </w:p>
          <w:p>
            <w:pPr>
              <w:spacing w:after="20"/>
            </w:pPr>
            <w:r>
              <w:rPr>
                <w:sz w:val="20"/>
                <w:szCs w:val="20"/>
              </w:rPr>
              <w:t xml:space="preserve">•  Governance controls misclassified into the Payments framework</w:t>
            </w:r>
          </w:p>
          <w:p>
            <w:pPr>
              <w:spacing w:after="20"/>
            </w:pPr>
            <w:r>
              <w:rPr>
                <w:sz w:val="20"/>
                <w:szCs w:val="20"/>
              </w:rPr>
              <w:t xml:space="preserve">•  Gap register (six types, P0/P1/P2)</w:t>
            </w:r>
          </w:p>
          <w:p>
            <w:pPr>
              <w:spacing w:after="20"/>
            </w:pPr>
            <w:r>
              <w:rPr>
                <w:sz w:val="20"/>
                <w:szCs w:val="20"/>
              </w:rPr>
              <w:t xml:space="preserve">•  Standard pattern recommendations for P0 gaps</w:t>
            </w:r>
          </w:p>
          <w:p>
            <w:pPr>
              <w:spacing w:after="20"/>
            </w:pPr>
            <w:r>
              <w:rPr>
                <w:sz w:val="20"/>
                <w:szCs w:val="20"/>
              </w:rPr>
              <w:t xml:space="preserve">•  JUNO registration backlog (SME-confirmed)</w:t>
            </w:r>
          </w:p>
          <w:p>
            <w:pPr>
              <w:spacing w:after="20"/>
            </w:pPr>
            <w:r>
              <w:rPr>
                <w:sz w:val="20"/>
                <w:szCs w:val="20"/>
              </w:rPr>
              <w:t xml:space="preserve">•  Obligations coverage view</w:t>
            </w:r>
          </w:p>
          <w:p>
            <w:pPr>
              <w:spacing w:after="20"/>
            </w:pPr>
            <w:r>
              <w:rPr>
                <w:sz w:val="20"/>
                <w:szCs w:val="20"/>
              </w:rPr>
              <w:t xml:space="preserve">•  Monitoring baseline</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Export to Power BI / Excel for stakeholder consumption.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All outputs produced, reviewed by lead engineer, and any P0 gap or best of breed nomination has been spot-checked against source.</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none" w:color="FFFFFF" w:sz="0"/>
              <w:left w:val="none" w:color="FFFFFF" w:sz="0"/>
              <w:bottom w:val="single" w:color="DA1710" w:sz="12"/>
              <w:right w:val="none" w:color="FFFFFF" w:sz="0"/>
            </w:tcBorders>
            <w:tcMar>
              <w:top w:type="dxa" w:w="320"/>
              <w:left w:type="dxa" w:w="0"/>
              <w:bottom w:type="dxa" w:w="80"/>
              <w:right w:type="dxa" w:w="0"/>
            </w:tcMar>
          </w:tcPr>
          <w:p>
            <w:pPr>
              <w:spacing w:after="0"/>
            </w:pPr>
            <w:r>
              <w:rPr>
                <w:b/>
                <w:bCs/>
                <w:color w:val="5C5C5C"/>
                <w:spacing w:val="60"/>
                <w:sz w:val="18"/>
                <w:szCs w:val="18"/>
              </w:rPr>
              <w:t xml:space="preserve">STEP 12</w:t>
            </w:r>
            <w:r>
              <w:rPr>
                <w:sz w:val="22"/>
                <w:szCs w:val="22"/>
              </w:rPr>
              <w:t xml:space="preserve">    </w:t>
            </w:r>
            <w:r>
              <w:rPr>
                <w:b/>
                <w:bCs/>
                <w:color w:val="8C0E08"/>
                <w:sz w:val="28"/>
                <w:szCs w:val="28"/>
              </w:rPr>
              <w:t xml:space="preserve">Validate via independent LRM (gates 2, 3, 5, 7, 8, 9)</w:t>
            </w:r>
            <w:r>
              <w:rPr>
                <w:sz w:val="22"/>
                <w:szCs w:val="22"/>
              </w:rPr>
              <w:t xml:space="preserve">    </w:t>
            </w:r>
            <w:r>
              <w:rPr>
                <w:b/>
                <w:bCs/>
                <w:color w:val="FFFFFF"/>
                <w:sz w:val="16"/>
                <w:szCs w:val="16"/>
                <w:shd w:fill="DA1710" w:color="auto" w:val="clear"/>
              </w:rPr>
              <w:t xml:space="preserve">  MVP  </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8200"/>
      </w:tblGrid>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Purpose</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sz w:val="20"/>
                <w:szCs w:val="20"/>
              </w:rPr>
              <w:t xml:space="preserve">Prove every LLM-driven step performs above an agreed threshold before scaling to the full population. With no dedicated subject matter expert, validation is provided by a deliberately independent LRM operating blind to the primary model, with disagreements queued for human review when capacity becomes available.</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Inputs</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Production prompts for each gated step (primary)</w:t>
            </w:r>
          </w:p>
          <w:p>
            <w:pPr>
              <w:spacing w:after="20"/>
            </w:pPr>
            <w:r>
              <w:rPr>
                <w:sz w:val="20"/>
                <w:szCs w:val="20"/>
              </w:rPr>
              <w:t xml:space="preserve">•  Independent classification prompts for each gated step (different model family, blind to primary)</w:t>
            </w:r>
          </w:p>
          <w:p>
            <w:pPr>
              <w:spacing w:after="20"/>
            </w:pPr>
            <w:r>
              <w:rPr>
                <w:sz w:val="20"/>
                <w:szCs w:val="20"/>
              </w:rPr>
              <w:t xml:space="preserve">•  Stratified sample of items per gated step</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Action</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100" w:before="0"/>
              <w:jc w:val="left"/>
            </w:pPr>
            <w:r>
              <w:rPr>
                <w:sz w:val="20"/>
                <w:szCs w:val="20"/>
              </w:rPr>
              <w:t xml:space="preserve">Validation is a gate that sits over every LLM-driven step (2, 3, 5, 7, 8, 9), not a step that runs at the end. Each gate must pass before its step scales to the full population. With no dedicated subject matter expert, validation is performed by an independent LRM under the constraints set out in the Validation Model section earlier in this document.</w:t>
            </w:r>
          </w:p>
          <w:p>
            <w:pPr>
              <w:spacing w:after="40" w:before="80"/>
            </w:pPr>
            <w:r>
              <w:rPr>
                <w:b/>
                <w:bCs/>
                <w:sz w:val="20"/>
                <w:szCs w:val="20"/>
              </w:rPr>
              <w:t xml:space="preserve">Gate logic per step:</w:t>
            </w:r>
          </w:p>
          <w:p>
            <w:pPr>
              <w:pStyle w:val="ListParagraph"/>
              <w:numPr>
                <w:ilvl w:val="0"/>
                <w:numId w:val="2"/>
              </w:numPr>
              <w:spacing w:after="30"/>
            </w:pPr>
            <w:r>
              <w:rPr>
                <w:sz w:val="20"/>
                <w:szCs w:val="20"/>
              </w:rPr>
              <w:t xml:space="preserve">Independent LRM constructs a stratified reference set (size and stratification per step shown below). Different model family from the primary, no exposure to the primary's prompts.</w:t>
            </w:r>
          </w:p>
          <w:p>
            <w:pPr>
              <w:pStyle w:val="ListParagraph"/>
              <w:numPr>
                <w:ilvl w:val="0"/>
                <w:numId w:val="2"/>
              </w:numPr>
              <w:spacing w:after="30"/>
            </w:pPr>
            <w:r>
              <w:rPr>
                <w:sz w:val="20"/>
                <w:szCs w:val="20"/>
              </w:rPr>
              <w:t xml:space="preserve">Primary LRM runs the production prompt on the same set, blind to the reference labels.</w:t>
            </w:r>
          </w:p>
          <w:p>
            <w:pPr>
              <w:pStyle w:val="ListParagraph"/>
              <w:numPr>
                <w:ilvl w:val="0"/>
                <w:numId w:val="2"/>
              </w:numPr>
              <w:spacing w:after="30"/>
            </w:pPr>
            <w:r>
              <w:rPr>
                <w:sz w:val="20"/>
                <w:szCs w:val="20"/>
              </w:rPr>
              <w:t xml:space="preserve">Compare answers. Measure precision / recall / accuracy as appropriate.</w:t>
            </w:r>
          </w:p>
          <w:p>
            <w:pPr>
              <w:pStyle w:val="ListParagraph"/>
              <w:numPr>
                <w:ilvl w:val="0"/>
                <w:numId w:val="2"/>
              </w:numPr>
              <w:spacing w:after="30"/>
            </w:pPr>
            <w:r>
              <w:rPr>
                <w:sz w:val="20"/>
                <w:szCs w:val="20"/>
              </w:rPr>
              <w:t xml:space="preserve">Cases where the two models disagree are tagged Requires Human Review and added to the queue.</w:t>
            </w:r>
          </w:p>
          <w:p>
            <w:pPr>
              <w:pStyle w:val="ListParagraph"/>
              <w:numPr>
                <w:ilvl w:val="0"/>
                <w:numId w:val="2"/>
              </w:numPr>
              <w:spacing w:after="30"/>
            </w:pPr>
            <w:r>
              <w:rPr>
                <w:sz w:val="20"/>
                <w:szCs w:val="20"/>
              </w:rPr>
              <w:t xml:space="preserve">Targets hit means proceed to scale. Targets missed means iterate the prompt and re-run; do not scale.</w:t>
            </w:r>
          </w:p>
          <w:p>
            <w:pPr>
              <w:spacing w:after="40" w:before="100"/>
            </w:pPr>
            <w:r>
              <w:rPr>
                <w:b/>
                <w:bCs/>
                <w:sz w:val="20"/>
                <w:szCs w:val="20"/>
              </w:rPr>
              <w:t xml:space="preserve">Reference set construction by the independent LRM:</w:t>
            </w:r>
          </w:p>
          <w:p>
            <w:pPr>
              <w:pStyle w:val="ListParagraph"/>
              <w:numPr>
                <w:ilvl w:val="0"/>
                <w:numId w:val="2"/>
              </w:numPr>
              <w:spacing w:after="30"/>
            </w:pPr>
            <w:r>
              <w:rPr>
                <w:sz w:val="20"/>
                <w:szCs w:val="20"/>
              </w:rPr>
              <w:t xml:space="preserve">The independent LRM is asked to classify a stratified sample of items from scratch, with the taxonomy and source text only. It does not see the primary model's answer or prompt.</w:t>
            </w:r>
          </w:p>
          <w:p>
            <w:pPr>
              <w:pStyle w:val="ListParagraph"/>
              <w:numPr>
                <w:ilvl w:val="0"/>
                <w:numId w:val="2"/>
              </w:numPr>
              <w:spacing w:after="30"/>
            </w:pPr>
            <w:r>
              <w:rPr>
                <w:sz w:val="20"/>
                <w:szCs w:val="20"/>
              </w:rPr>
              <w:t xml:space="preserve">The set is stratified deliberately: edge cases, multi-class items, items with sparse source text, items from each business unit owner.</w:t>
            </w:r>
          </w:p>
          <w:p>
            <w:pPr>
              <w:pStyle w:val="ListParagraph"/>
              <w:numPr>
                <w:ilvl w:val="0"/>
                <w:numId w:val="2"/>
              </w:numPr>
              <w:spacing w:after="30"/>
            </w:pPr>
            <w:r>
              <w:rPr>
                <w:sz w:val="20"/>
                <w:szCs w:val="20"/>
              </w:rPr>
              <w:t xml:space="preserve">The independent LRM's classifications form the reference. The primary's classifications are then measured against the reference.</w:t>
            </w:r>
          </w:p>
          <w:p>
            <w:pPr>
              <w:pStyle w:val="ListParagraph"/>
              <w:numPr>
                <w:ilvl w:val="0"/>
                <w:numId w:val="2"/>
              </w:numPr>
              <w:spacing w:after="30"/>
            </w:pPr>
            <w:r>
              <w:rPr>
                <w:sz w:val="20"/>
                <w:szCs w:val="20"/>
              </w:rPr>
              <w:t xml:space="preserve">This is not the same as asking the same model to grade its own output. Different model family, blind operation, fresh classification.</w:t>
            </w:r>
          </w:p>
          <w:p>
            <w:pPr>
              <w:spacing w:after="40" w:before="100"/>
            </w:pPr>
            <w:r>
              <w:rPr>
                <w:b/>
                <w:bCs/>
                <w:sz w:val="20"/>
                <w:szCs w:val="20"/>
              </w:rPr>
              <w:t xml:space="preserve">Reference set sizes and targets:</w:t>
            </w:r>
          </w:p>
          <w:p>
            <w:pPr>
              <w:pStyle w:val="ListParagraph"/>
              <w:numPr>
                <w:ilvl w:val="0"/>
                <w:numId w:val="2"/>
              </w:numPr>
              <w:spacing w:after="30"/>
            </w:pPr>
            <w:r>
              <w:rPr>
                <w:b/>
                <w:bCs/>
                <w:sz w:val="20"/>
                <w:szCs w:val="20"/>
              </w:rPr>
              <w:t xml:space="preserve">Step 2 (PP6 embedding): </w:t>
            </w:r>
            <w:r>
              <w:rPr>
                <w:sz w:val="20"/>
                <w:szCs w:val="20"/>
              </w:rPr>
              <w:t xml:space="preserve">~30 processes (clear-in, clear-out, payment-in-non-payment-value-chain). Target: false-negative rate ≤0.10.</w:t>
            </w:r>
          </w:p>
          <w:p>
            <w:pPr>
              <w:pStyle w:val="ListParagraph"/>
              <w:numPr>
                <w:ilvl w:val="0"/>
                <w:numId w:val="2"/>
              </w:numPr>
              <w:spacing w:after="30"/>
            </w:pPr>
            <w:r>
              <w:rPr>
                <w:b/>
                <w:bCs/>
                <w:sz w:val="20"/>
                <w:szCs w:val="20"/>
              </w:rPr>
              <w:t xml:space="preserve">Step 3 (Payment Nature): </w:t>
            </w:r>
            <w:r>
              <w:rPr>
                <w:sz w:val="20"/>
                <w:szCs w:val="20"/>
              </w:rPr>
              <w:t xml:space="preserve">~30 processes (clear single-nature, multi-nature, ambiguous). Target: per-nature precision ≥0.85, recall ≥0.80.</w:t>
            </w:r>
          </w:p>
          <w:p>
            <w:pPr>
              <w:pStyle w:val="ListParagraph"/>
              <w:numPr>
                <w:ilvl w:val="0"/>
                <w:numId w:val="2"/>
              </w:numPr>
              <w:spacing w:after="30"/>
            </w:pPr>
            <w:r>
              <w:rPr>
                <w:b/>
                <w:bCs/>
                <w:sz w:val="20"/>
                <w:szCs w:val="20"/>
              </w:rPr>
              <w:t xml:space="preserve">Step 5 (bespoke discovery): </w:t>
            </w:r>
            <w:r>
              <w:rPr>
                <w:sz w:val="20"/>
                <w:szCs w:val="20"/>
              </w:rPr>
              <w:t xml:space="preserve">~20 process steps + ~10 configs + ~10 remediation texts. Target: precision ≥0.75.</w:t>
            </w:r>
          </w:p>
          <w:p>
            <w:pPr>
              <w:pStyle w:val="ListParagraph"/>
              <w:numPr>
                <w:ilvl w:val="0"/>
                <w:numId w:val="2"/>
              </w:numPr>
              <w:spacing w:after="30"/>
            </w:pPr>
            <w:r>
              <w:rPr>
                <w:b/>
                <w:bCs/>
                <w:sz w:val="20"/>
                <w:szCs w:val="20"/>
              </w:rPr>
              <w:t xml:space="preserve">Step 7 (Payment Nature on controls): </w:t>
            </w:r>
            <w:r>
              <w:rPr>
                <w:sz w:val="20"/>
                <w:szCs w:val="20"/>
              </w:rPr>
              <w:t xml:space="preserve">Sanity-check disagreement rate on inherited classifications ≤15%.</w:t>
            </w:r>
          </w:p>
          <w:p>
            <w:pPr>
              <w:pStyle w:val="ListParagraph"/>
              <w:numPr>
                <w:ilvl w:val="0"/>
                <w:numId w:val="2"/>
              </w:numPr>
              <w:spacing w:after="30"/>
            </w:pPr>
            <w:r>
              <w:rPr>
                <w:b/>
                <w:bCs/>
                <w:sz w:val="20"/>
                <w:szCs w:val="20"/>
              </w:rPr>
              <w:t xml:space="preserve">Step 8 (Master Control mapping): </w:t>
            </w:r>
            <w:r>
              <w:rPr>
                <w:sz w:val="20"/>
                <w:szCs w:val="20"/>
              </w:rPr>
              <w:t xml:space="preserve">~50 controls stratified by Master Control, automation, key flag, source type. Target: precision ≥0.85, recall ≥0.80.</w:t>
            </w:r>
          </w:p>
          <w:p>
            <w:pPr>
              <w:pStyle w:val="ListParagraph"/>
              <w:numPr>
                <w:ilvl w:val="0"/>
                <w:numId w:val="2"/>
              </w:numPr>
              <w:spacing w:after="30"/>
            </w:pPr>
            <w:r>
              <w:rPr>
                <w:b/>
                <w:bCs/>
                <w:sz w:val="20"/>
                <w:szCs w:val="20"/>
              </w:rPr>
              <w:t xml:space="preserve">Step 9 (lifecycle placement): </w:t>
            </w:r>
            <w:r>
              <w:rPr>
                <w:sz w:val="20"/>
                <w:szCs w:val="20"/>
              </w:rPr>
              <w:t xml:space="preserve">Same ~50 controls. Target: exact-match accuracy ≥0.80.</w:t>
            </w:r>
          </w:p>
          <w:p>
            <w:pPr>
              <w:spacing w:after="100" w:before="100"/>
              <w:jc w:val="left"/>
            </w:pPr>
            <w:r>
              <w:rPr>
                <w:i/>
                <w:iCs/>
                <w:color w:val="5C5C5C"/>
                <w:sz w:val="20"/>
                <w:szCs w:val="20"/>
              </w:rPr>
              <w:t xml:space="preserve">Ongoing: every classification is verified by the independent LRM in production, not just at gate time. Disagreements queue automatically.</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Output</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20"/>
            </w:pPr>
            <w:r>
              <w:rPr>
                <w:sz w:val="20"/>
                <w:szCs w:val="20"/>
              </w:rPr>
              <w:t xml:space="preserve">•  Six reference sets (one per gated step) built by the independent LRM</w:t>
            </w:r>
          </w:p>
          <w:p>
            <w:pPr>
              <w:spacing w:after="20"/>
            </w:pPr>
            <w:r>
              <w:rPr>
                <w:sz w:val="20"/>
                <w:szCs w:val="20"/>
              </w:rPr>
              <w:t xml:space="preserve">•  Pre-scale validation report per step (agreement rate, precision, recall, accuracy)</w:t>
            </w:r>
          </w:p>
          <w:p>
            <w:pPr>
              <w:spacing w:after="20"/>
            </w:pPr>
            <w:r>
              <w:rPr>
                <w:sz w:val="20"/>
                <w:szCs w:val="20"/>
              </w:rPr>
              <w:t xml:space="preserve">•  Requires Human Review queue, growing as production runs proceed</w:t>
            </w:r>
          </w:p>
          <w:p>
            <w:pPr>
              <w:spacing w:after="20"/>
            </w:pPr>
            <w:r>
              <w:rPr>
                <w:sz w:val="20"/>
                <w:szCs w:val="20"/>
              </w:rPr>
              <w:t xml:space="preserve">•  Ongoing agreement-rate monitoring; alerts when drift exceeds threshold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b/>
                <w:bCs/>
                <w:color w:val="8C0E08"/>
                <w:sz w:val="20"/>
                <w:szCs w:val="20"/>
              </w:rPr>
              <w:t xml:space="preserve">Platform</w:t>
            </w:r>
          </w:p>
        </w:tc>
        <w:tc>
          <w:tcPr>
            <w:tcW w:type="dxa" w:w="8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spacing w:after="0"/>
            </w:pPr>
            <w:r>
              <w:rPr>
                <w:i/>
                <w:iCs/>
                <w:color w:val="5C5C5C"/>
                <w:sz w:val="20"/>
                <w:szCs w:val="20"/>
              </w:rPr>
              <w:t xml:space="preserve">SAS orchestration. Primary LRM (one Amp Code model family) for production work. Independent LRM (different Amp Code model family) for reference and verification.</w:t>
            </w:r>
          </w:p>
        </w:tc>
      </w:tr>
      <w:tr>
        <w:tc>
          <w:tcPr>
            <w:tcW w:type="dxa" w:w="1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b/>
                <w:bCs/>
                <w:color w:val="8C0E08"/>
                <w:sz w:val="20"/>
                <w:szCs w:val="20"/>
              </w:rPr>
              <w:t xml:space="preserve">Done when</w:t>
            </w:r>
          </w:p>
        </w:tc>
        <w:tc>
          <w:tcPr>
            <w:tcW w:type="dxa" w:w="8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vAlign w:val="center"/>
          </w:tcPr>
          <w:p>
            <w:pPr>
              <w:spacing w:after="0"/>
            </w:pPr>
            <w:r>
              <w:rPr>
                <w:i/>
                <w:iCs/>
                <w:color w:val="2E7D32"/>
                <w:sz w:val="20"/>
                <w:szCs w:val="20"/>
              </w:rPr>
              <w:t xml:space="preserve">Every gated step has a passing validation result on record, the Requires Human Review queue is populated and persistent, and the agreement-rate monitoring is live.</w:t>
            </w:r>
          </w:p>
        </w:tc>
      </w:tr>
    </w:tbl>
    <w:p>
      <w:pPr>
        <w:spacing w:after="140" w:before="280"/>
      </w:pPr>
      <w:r>
        <w:rPr>
          <w:b/>
          <w:bCs/>
          <w:color w:val="8C0E08"/>
          <w:sz w:val="26"/>
          <w:szCs w:val="26"/>
        </w:rPr>
        <w:t xml:space="preserve">Provenance and failure modes</w:t>
      </w:r>
    </w:p>
    <w:p>
      <w:pPr>
        <w:spacing w:after="100" w:before="0"/>
        <w:jc w:val="left"/>
      </w:pPr>
      <w:r>
        <w:rPr>
          <w:sz w:val="20"/>
          <w:szCs w:val="20"/>
        </w:rPr>
        <w:t xml:space="preserve">Every LLM decision (inclusion, classification, extraction, mapping) is captured with full provenance.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Captured per decision</w:t>
            </w:r>
          </w:p>
        </w:tc>
        <w:tc>
          <w:tcPr>
            <w:tcW w:type="dxa" w:w="67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Why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Prompt version hash</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Result is bound to the exact prompt that produced it. Any prompt change forces re-validation.</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Model ID and version</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Different models produce different outputs. Model identity is part of the result.</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Run timestamp</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Anchors the decision to a point in time. Re-runs create new records.</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Input snapshot hash</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Detects whether source data changed between runs.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Raw model response</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Stored verbatim before parsing. Lets us re-process if the parser changes.</w:t>
            </w:r>
          </w:p>
        </w:tc>
      </w:tr>
      <w:tr>
        <w:tc>
          <w:tcPr>
            <w:tcW w:type="dxa" w:w="30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Pass number (steps 2 &amp; 4 only)</w:t>
            </w:r>
          </w:p>
        </w:tc>
        <w:tc>
          <w:tcPr>
            <w:tcW w:type="dxa" w:w="67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Which convergence pass produced the inclusion. Lets us reconstruct the loop.</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SME override (if any)</w:t>
            </w:r>
          </w:p>
        </w:tc>
        <w:tc>
          <w:tcPr>
            <w:tcW w:type="dxa" w:w="6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If an SME revises an LLM decision, the override is recorded against the original, not as a replacement.</w:t>
            </w:r>
          </w:p>
        </w:tc>
      </w:tr>
    </w:tbl>
    <w:p>
      <w:pPr>
        <w:spacing w:after="80" w:before="200"/>
      </w:pPr>
      <w:r>
        <w:rPr>
          <w:b/>
          <w:bCs/>
          <w:color w:val="3A3A3A"/>
          <w:sz w:val="22"/>
          <w:szCs w:val="22"/>
        </w:rPr>
        <w:t xml:space="preserve">Known failure modes and mitigations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Failure mode</w:t>
            </w:r>
          </w:p>
        </w:tc>
        <w:tc>
          <w:tcPr>
            <w:tcW w:type="dxa" w:w="6500"/>
            <w:tcBorders>
              <w:top w:val="single" w:color="BFBFBF" w:sz="4"/>
              <w:left w:val="single" w:color="BFBFBF" w:sz="4"/>
              <w:bottom w:val="single" w:color="BFBFBF" w:sz="4"/>
              <w:right w:val="single" w:color="BFBFBF" w:sz="4"/>
            </w:tcBorders>
            <w:shd w:fill="8C0E08" w:color="auto" w:val="clear"/>
            <w:tcMar>
              <w:top w:type="dxa" w:w="90"/>
              <w:left w:type="dxa" w:w="130"/>
              <w:bottom w:type="dxa" w:w="90"/>
              <w:right w:type="dxa" w:w="130"/>
            </w:tcMar>
          </w:tcPr>
          <w:p>
            <w:pPr>
              <w:spacing w:after="0"/>
            </w:pPr>
            <w:r>
              <w:rPr>
                <w:b/>
                <w:bCs/>
                <w:color w:val="FFFFFF"/>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Payment process wrongly excluded</w:t>
            </w:r>
          </w:p>
        </w:tc>
        <w:tc>
          <w:tcPr>
            <w:tcW w:type="dxa" w:w="6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PP4 reverse linkage + PP6 embedding + independent LRM verification on the excluded set. Disagreements queue for human review.</w:t>
            </w:r>
          </w:p>
        </w:tc>
      </w:tr>
      <w:tr>
        <w:tc>
          <w:tcPr>
            <w:tcW w:type="dxa" w:w="3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Payment control wrongly excluded</w:t>
            </w:r>
          </w:p>
        </w:tc>
        <w:tc>
          <w:tcPr>
            <w:tcW w:type="dxa" w:w="6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P6 embedding + owner-clustering enrichment + sample audit. False-negative gated at ≤0.10.</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Convergence loop amplifies noise</w:t>
            </w:r>
          </w:p>
        </w:tc>
        <w:tc>
          <w:tcPr>
            <w:tcW w:type="dxa" w:w="6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Only High-confidence inclusions propagate via PP4/P2. Medium-confidence inherits with a confidence ceiling. Low-confidence does not propagate without SME confirmation.</w:t>
            </w:r>
          </w:p>
        </w:tc>
      </w:tr>
      <w:tr>
        <w:tc>
          <w:tcPr>
            <w:tcW w:type="dxa" w:w="3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Convergence loop does not stabilise</w:t>
            </w:r>
          </w:p>
        </w:tc>
        <w:tc>
          <w:tcPr>
            <w:tcW w:type="dxa" w:w="6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Hard cap at 5 passes. Residual flagged for manual review.</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Bespoke 'control' is actually just a process step</w:t>
            </w:r>
          </w:p>
        </w:tc>
        <w:tc>
          <w:tcPr>
            <w:tcW w:type="dxa" w:w="6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Tight control-function definition in prompt with examples/non-examples. SME confirmation before population.</w:t>
            </w:r>
          </w:p>
        </w:tc>
      </w:tr>
      <w:tr>
        <w:tc>
          <w:tcPr>
            <w:tcW w:type="dxa" w:w="3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LLM hallucinates CT not in taxonomy</w:t>
            </w:r>
          </w:p>
        </w:tc>
        <w:tc>
          <w:tcPr>
            <w:tcW w:type="dxa" w:w="6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Output schema enforces enum of CT1–CT28.</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Two models disagree</w:t>
            </w:r>
          </w:p>
        </w:tc>
        <w:tc>
          <w:tcPr>
            <w:tcW w:type="dxa" w:w="6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Medium confidence by default. SME route. Inter-model agreement tracked as KPI.</w:t>
            </w:r>
          </w:p>
        </w:tc>
      </w:tr>
      <w:tr>
        <w:tc>
          <w:tcPr>
            <w:tcW w:type="dxa" w:w="3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Same control re-run produces different CTs</w:t>
            </w:r>
          </w:p>
        </w:tc>
        <w:tc>
          <w:tcPr>
            <w:tcW w:type="dxa" w:w="6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Temperature pinned at 0. Variance measured on golden set; majority-vote N=3 if needed.</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b/>
                <w:bCs/>
                <w:sz w:val="20"/>
                <w:szCs w:val="20"/>
              </w:rPr>
              <w:t xml:space="preserve">Source data shifts mid-PoC</w:t>
            </w:r>
          </w:p>
        </w:tc>
        <w:tc>
          <w:tcPr>
            <w:tcW w:type="dxa" w:w="6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spacing w:after="0"/>
            </w:pPr>
            <w:r>
              <w:rPr>
                <w:sz w:val="20"/>
                <w:szCs w:val="20"/>
              </w:rPr>
              <w:t xml:space="preserve">Input snapshots hashed. Drift detected automatically; affected items flagged for re-run.</w:t>
            </w:r>
          </w:p>
        </w:tc>
      </w:tr>
      <w:tr>
        <w:tc>
          <w:tcPr>
            <w:tcW w:type="dxa" w:w="32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b/>
                <w:bCs/>
                <w:sz w:val="20"/>
                <w:szCs w:val="20"/>
              </w:rPr>
              <w:t xml:space="preserve">Misplacement false-positive</w:t>
            </w:r>
          </w:p>
        </w:tc>
        <w:tc>
          <w:tcPr>
            <w:tcW w:type="dxa" w:w="6500"/>
            <w:tcBorders>
              <w:top w:val="single" w:color="BFBFBF" w:sz="4"/>
              <w:left w:val="single" w:color="BFBFBF" w:sz="4"/>
              <w:bottom w:val="single" w:color="BFBFBF" w:sz="4"/>
              <w:right w:val="single" w:color="BFBFBF" w:sz="4"/>
            </w:tcBorders>
            <w:shd w:fill="F4F4F4" w:color="auto" w:val="clear"/>
            <w:tcMar>
              <w:top w:type="dxa" w:w="90"/>
              <w:left w:type="dxa" w:w="130"/>
              <w:bottom w:type="dxa" w:w="90"/>
              <w:right w:type="dxa" w:w="130"/>
            </w:tcMar>
          </w:tcPr>
          <w:p>
            <w:pPr>
              <w:spacing w:after="0"/>
            </w:pPr>
            <w:r>
              <w:rPr>
                <w:sz w:val="20"/>
                <w:szCs w:val="20"/>
              </w:rPr>
              <w:t xml:space="preserve">Misplacement is only asserted where structural-expected stage exists AND differs from LLM placement. Where structural data is absent, LLM placement is recorded without misplacement claim.</w:t>
            </w:r>
          </w:p>
        </w:tc>
      </w:tr>
    </w:tbl>
    <w:p>
      <w:pPr>
        <w:spacing w:after="140" w:before="280"/>
      </w:pPr>
      <w:r>
        <w:rPr>
          <w:b/>
          <w:bCs/>
          <w:color w:val="8C0E08"/>
          <w:sz w:val="26"/>
          <w:szCs w:val="26"/>
        </w:rPr>
        <w:t xml:space="preserve">Why this approach holds up</w:t>
      </w:r>
    </w:p>
    <w:p>
      <w:pPr>
        <w:pStyle w:val="ListParagraph"/>
        <w:numPr>
          <w:ilvl w:val="0"/>
          <w:numId w:val="2"/>
        </w:numPr>
        <w:spacing w:after="30"/>
      </w:pPr>
      <w:r>
        <w:rPr>
          <w:b/>
          <w:bCs/>
          <w:sz w:val="20"/>
          <w:szCs w:val="20"/>
        </w:rPr>
        <w:t xml:space="preserve">Population completeness is engineered on both axes. </w:t>
      </w:r>
      <w:r>
        <w:rPr>
          <w:sz w:val="20"/>
          <w:szCs w:val="20"/>
        </w:rPr>
        <w:t xml:space="preserve">Processes and controls each get six-path parallel triangulation. Bespoke controls are actively discovered. Convergence loop with safeguards ensures the two populations co-validate without amplifying noise.</w:t>
      </w:r>
    </w:p>
    <w:p>
      <w:pPr>
        <w:pStyle w:val="ListParagraph"/>
        <w:numPr>
          <w:ilvl w:val="0"/>
          <w:numId w:val="2"/>
        </w:numPr>
        <w:spacing w:after="30"/>
      </w:pPr>
      <w:r>
        <w:rPr>
          <w:b/>
          <w:bCs/>
          <w:sz w:val="20"/>
          <w:szCs w:val="20"/>
        </w:rPr>
        <w:t xml:space="preserve">The PoC assesses the environment, not the register. </w:t>
      </w:r>
      <w:r>
        <w:rPr>
          <w:sz w:val="20"/>
          <w:szCs w:val="20"/>
        </w:rPr>
        <w:t xml:space="preserve">Sufficiency reflects what actually mitigates risk including unregistered behaviour. JUNO completeness is a measurable by-product.</w:t>
      </w:r>
    </w:p>
    <w:p>
      <w:pPr>
        <w:pStyle w:val="ListParagraph"/>
        <w:numPr>
          <w:ilvl w:val="0"/>
          <w:numId w:val="2"/>
        </w:numPr>
        <w:spacing w:after="30"/>
      </w:pPr>
      <w:r>
        <w:rPr>
          <w:b/>
          <w:bCs/>
          <w:sz w:val="20"/>
          <w:szCs w:val="20"/>
        </w:rPr>
        <w:t xml:space="preserve">Three coverage constructs preserve nuance. </w:t>
      </w:r>
      <w:r>
        <w:rPr>
          <w:sz w:val="20"/>
          <w:szCs w:val="20"/>
        </w:rPr>
        <w:t xml:space="preserve">Structural / Effective / Failing coverage are distinct. A cell with 5 controls of which 1 is failing reads very differently than a cell with 1 control that's effective.</w:t>
      </w:r>
    </w:p>
    <w:p>
      <w:pPr>
        <w:pStyle w:val="ListParagraph"/>
        <w:numPr>
          <w:ilvl w:val="0"/>
          <w:numId w:val="2"/>
        </w:numPr>
        <w:spacing w:after="30"/>
      </w:pPr>
      <w:r>
        <w:rPr>
          <w:b/>
          <w:bCs/>
          <w:sz w:val="20"/>
          <w:szCs w:val="20"/>
        </w:rPr>
        <w:t xml:space="preserve">Duplicate and best-of-breed are deterministic. </w:t>
      </w:r>
      <w:r>
        <w:rPr>
          <w:sz w:val="20"/>
          <w:szCs w:val="20"/>
        </w:rPr>
        <w:t xml:space="preserve">Concrete clustering criteria and a reproducible scoring formula. Weights are sponsor-tunable; logic is not subjective.</w:t>
      </w:r>
    </w:p>
    <w:p>
      <w:pPr>
        <w:pStyle w:val="ListParagraph"/>
        <w:numPr>
          <w:ilvl w:val="0"/>
          <w:numId w:val="2"/>
        </w:numPr>
        <w:spacing w:after="30"/>
      </w:pPr>
      <w:r>
        <w:rPr>
          <w:b/>
          <w:bCs/>
          <w:sz w:val="20"/>
          <w:szCs w:val="20"/>
        </w:rPr>
        <w:t xml:space="preserve">LRM is constrained, grounded, and falsifiable. </w:t>
      </w:r>
      <w:r>
        <w:rPr>
          <w:sz w:val="20"/>
          <w:szCs w:val="20"/>
        </w:rPr>
        <w:t xml:space="preserve">Fixed taxonomies, confidence rubric, source-text rationale, enforced schema. An independent LRM of a different model family verifies blind, with disagreements queued for human review when capacity becomes available.</w:t>
      </w:r>
    </w:p>
    <w:p>
      <w:pPr>
        <w:pStyle w:val="ListParagraph"/>
        <w:numPr>
          <w:ilvl w:val="0"/>
          <w:numId w:val="2"/>
        </w:numPr>
        <w:spacing w:after="30"/>
      </w:pPr>
      <w:r>
        <w:rPr>
          <w:b/>
          <w:bCs/>
          <w:sz w:val="20"/>
          <w:szCs w:val="20"/>
        </w:rPr>
        <w:t xml:space="preserve">Validation is upfront, not retrospective. </w:t>
      </w:r>
      <w:r>
        <w:rPr>
          <w:sz w:val="20"/>
          <w:szCs w:val="20"/>
        </w:rPr>
        <w:t xml:space="preserve">Six golden sets gate six LLM-driven steps. Measure first, then run.</w:t>
      </w:r>
    </w:p>
    <w:p>
      <w:pPr>
        <w:pStyle w:val="ListParagraph"/>
        <w:numPr>
          <w:ilvl w:val="0"/>
          <w:numId w:val="2"/>
        </w:numPr>
        <w:spacing w:after="30"/>
      </w:pPr>
      <w:r>
        <w:rPr>
          <w:b/>
          <w:bCs/>
          <w:sz w:val="20"/>
          <w:szCs w:val="20"/>
        </w:rPr>
        <w:t xml:space="preserve">Two-engine execution is documented step-by-step. </w:t>
      </w:r>
      <w:r>
        <w:rPr>
          <w:sz w:val="20"/>
          <w:szCs w:val="20"/>
        </w:rPr>
        <w:t xml:space="preserve">Push-down to Teradata where joins are heavy; SAS for orchestration, LLM workflow, and bridge assembly.</w:t>
      </w:r>
    </w:p>
    <w:p>
      <w:pPr>
        <w:pStyle w:val="ListParagraph"/>
        <w:numPr>
          <w:ilvl w:val="0"/>
          <w:numId w:val="2"/>
        </w:numPr>
        <w:spacing w:after="30"/>
      </w:pPr>
      <w:r>
        <w:rPr>
          <w:b/>
          <w:bCs/>
          <w:sz w:val="20"/>
          <w:szCs w:val="20"/>
        </w:rPr>
        <w:t xml:space="preserve">MVP path lets us demonstrate value early. </w:t>
      </w:r>
      <w:r>
        <w:rPr>
          <w:sz w:val="20"/>
          <w:szCs w:val="20"/>
        </w:rPr>
        <w:t xml:space="preserve">Eight steps deliver the headline finding. The remaining four enrich it. Sponsor demo runs on MVP only.</w:t>
      </w:r>
    </w:p>
    <w:sectPr>
      <w:headerReference w:type="default" r:id="rId7"/>
      <w:footerReference w:type="default" r:id="rId8"/>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color w:val="9CA3AF"/>
        <w:sz w:val="14"/>
        <w:szCs w:val="14"/>
      </w:rPr>
      <w:t xml:space="preserve">Page </w:t>
    </w:r>
    <w:r>
      <w:rPr>
        <w:color w:val="9CA3AF"/>
        <w:sz w:val="14"/>
        <w:szCs w:val="14"/>
      </w:rPr>
      <w:fldChar w:fldCharType="begin"/>
      <w:instrText xml:space="preserve">PAGE</w:instrText>
      <w:fldChar w:fldCharType="separate"/>
      <w:fldChar w:fldCharType="end"/>
    </w:r>
    <w:r>
      <w:rPr>
        <w:color w:val="9CA3AF"/>
        <w:sz w:val="14"/>
        <w:szCs w:val="14"/>
      </w:rPr>
      <w:t xml:space="preserve"> / </w:t>
    </w:r>
    <w:r>
      <w:rPr>
        <w:color w:val="9CA3A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9CA3AF"/>
        <w:spacing w:val="40"/>
        <w:sz w:val="14"/>
        <w:szCs w:val="14"/>
      </w:rPr>
      <w:t xml:space="preserve">PAYMENTS RISK · CONTROL SUFFICIENCY PoC · TECHNICAL RUNBOOK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C0E0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Risk Control Sufficiency PoC - Technical Runbook v1.4</dc:title>
  <dc:creator>Karan</dc:creator>
  <cp:lastModifiedBy>Un-named</cp:lastModifiedBy>
  <cp:revision>1</cp:revision>
  <dcterms:created xsi:type="dcterms:W3CDTF">2026-05-14T09:42:40.308Z</dcterms:created>
  <dcterms:modified xsi:type="dcterms:W3CDTF">2026-05-14T09:42:40.322Z</dcterms:modified>
</cp:coreProperties>
</file>

<file path=docProps/custom.xml><?xml version="1.0" encoding="utf-8"?>
<Properties xmlns="http://schemas.openxmlformats.org/officeDocument/2006/custom-properties" xmlns:vt="http://schemas.openxmlformats.org/officeDocument/2006/docPropsVTypes"/>
</file>