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rPr>
                <w:color w:val="006100"/>
              </w:rPr>
              <w:t>1</w:t>
            </w:r>
          </w:p>
        </w:tc>
        <w:tc>
          <w:tcPr>
            <w:tcW w:type="dxa" w:w="1704"/>
            <w:shd w:fill="FFEB9C" w:val="clear"/>
          </w:tcPr>
          <w:p>
            <w:r>
              <w:rPr>
                <w:color w:val="9C5700"/>
              </w:rPr>
              <w:t>6</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rPr>
                <w:color w:val="006100"/>
              </w:rPr>
              <w:t>1</w:t>
            </w:r>
          </w:p>
        </w:tc>
        <w:tc>
          <w:tcPr>
            <w:tcW w:type="dxa" w:w="1704"/>
            <w:shd w:fill="FFEB9C" w:val="clear"/>
          </w:tcPr>
          <w:p>
            <w:r>
              <w:rPr>
                <w:color w:val="9C5700"/>
              </w:rPr>
              <w:t>6</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3</w:t>
            </w:r>
          </w:p>
        </w:tc>
        <w:tc>
          <w:tcPr>
            <w:tcW w:type="dxa" w:w="1704"/>
            <w:shd w:fill="FFC7CE" w:val="clear"/>
          </w:tcPr>
          <w:p>
            <w:r>
              <w:rPr>
                <w:color w:val="9C0006"/>
              </w:rPr>
              <w:t>24</w:t>
            </w:r>
          </w:p>
        </w:tc>
        <w:tc>
          <w:tcPr>
            <w:tcW w:type="dxa" w:w="1704"/>
            <w:shd w:fill="D9D9D9" w:val="clear"/>
          </w:tcPr>
          <w:p>
            <w:r>
              <w:rPr>
                <w:color w:val="595959"/>
              </w:rP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151</w:t>
            </w:r>
          </w:p>
        </w:tc>
        <w:tc>
          <w:tcPr>
            <w:tcW w:type="dxa" w:w="1704"/>
            <w:shd w:fill="FFEB9C" w:val="clear"/>
          </w:tcPr>
          <w:p>
            <w:r>
              <w:t>46</w:t>
            </w:r>
          </w:p>
        </w:tc>
        <w:tc>
          <w:tcPr>
            <w:tcW w:type="dxa" w:w="1704"/>
            <w:shd w:fill="FFC7CE" w:val="clear"/>
          </w:tcPr>
          <w:p>
            <w:r>
              <w:t>281</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tcPr>
          <w:p>
            <w:r>
              <w:t>Completed</w:t>
            </w:r>
          </w:p>
        </w:tc>
        <w:tc>
          <w:tcPr>
            <w:tcW w:type="dxa" w:w="3408"/>
          </w:tcPr>
          <w:p>
            <w:r>
              <w:t>Persisted on GET/POST /api/v1/front-office/student-transfers (migration 0011_front_office_records, frontoffice.*). List hydrates from the server; UI layout preserved.</w:t>
            </w:r>
          </w:p>
        </w:tc>
      </w:tr>
      <w:tr>
        <w:tc>
          <w:tcPr>
            <w:tcW w:type="dxa" w:w="3408"/>
          </w:tcPr>
          <w:p>
            <w:r>
              <w:rPr>
                <w:rFonts w:ascii="Calibri" w:hAnsi="Calibri"/>
                <w:b w:val="0"/>
                <w:sz w:val="18"/>
              </w:rPr>
              <w:t>Student Re-Enrollment</w:t>
            </w:r>
          </w:p>
        </w:tc>
        <w:tc>
          <w:tcPr>
            <w:tcW w:type="dxa" w:w="3408"/>
            <w:shd w:fill="FFC7CE" w:val="clear"/>
            <w:shd w:fill="C6EFCE" w:val="clear"/>
          </w:tcPr>
          <w:p>
            <w:r>
              <w:t>Completed</w:t>
            </w:r>
          </w:p>
        </w:tc>
        <w:tc>
          <w:tcPr>
            <w:tcW w:type="dxa" w:w="3408"/>
          </w:tcPr>
          <w:p>
            <w:r>
              <w:t>Persisted on /api/v1/front-office/student-re-enrollments (0011). studentReEnrollmentData.js uses Front Office API when signed in.</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tcPr>
          <w:p>
            <w:r>
              <w:t>Completed</w:t>
            </w:r>
          </w:p>
        </w:tc>
        <w:tc>
          <w:tcPr>
            <w:tcW w:type="dxa" w:w="3408"/>
          </w:tcPr>
          <w:p>
            <w:r>
              <w:t>Persisted on /api/v1/front-office/student-gate-passes (0011). gatePassData.js API mode; UI unchanged.</w:t>
            </w:r>
          </w:p>
        </w:tc>
      </w:tr>
      <w:tr>
        <w:tc>
          <w:tcPr>
            <w:tcW w:type="dxa" w:w="3408"/>
          </w:tcPr>
          <w:p>
            <w:r>
              <w:rPr>
                <w:rFonts w:ascii="Calibri" w:hAnsi="Calibri"/>
                <w:b w:val="0"/>
                <w:sz w:val="18"/>
              </w:rPr>
              <w:t>Gate Pass &gt; Hostel Gate Pass</w:t>
            </w:r>
          </w:p>
        </w:tc>
        <w:tc>
          <w:tcPr>
            <w:tcW w:type="dxa" w:w="3408"/>
            <w:shd w:fill="FFC7CE" w:val="clear"/>
            <w:shd w:fill="C6EFCE" w:val="clear"/>
          </w:tcPr>
          <w:p>
            <w:r>
              <w:t>Completed</w:t>
            </w:r>
          </w:p>
        </w:tc>
        <w:tc>
          <w:tcPr>
            <w:tcW w:type="dxa" w:w="3408"/>
          </w:tcPr>
          <w:p>
            <w:r>
              <w:t>Persisted on /api/v1/front-office/hostel-gate-passes (0011).</w:t>
            </w:r>
          </w:p>
        </w:tc>
      </w:tr>
      <w:tr>
        <w:tc>
          <w:tcPr>
            <w:tcW w:type="dxa" w:w="3408"/>
          </w:tcPr>
          <w:p>
            <w:r>
              <w:rPr>
                <w:rFonts w:ascii="Calibri" w:hAnsi="Calibri"/>
                <w:b w:val="0"/>
                <w:sz w:val="18"/>
              </w:rPr>
              <w:t>Gate Pass &gt; Material Gate Pass</w:t>
            </w:r>
          </w:p>
        </w:tc>
        <w:tc>
          <w:tcPr>
            <w:tcW w:type="dxa" w:w="3408"/>
            <w:shd w:fill="FFC7CE" w:val="clear"/>
            <w:shd w:fill="C6EFCE" w:val="clear"/>
          </w:tcPr>
          <w:p>
            <w:r>
              <w:t>Completed</w:t>
            </w:r>
          </w:p>
        </w:tc>
        <w:tc>
          <w:tcPr>
            <w:tcW w:type="dxa" w:w="3408"/>
          </w:tcPr>
          <w:p>
            <w:r>
              <w:t>Persisted on /api/v1/front-office/material-gate-passes (0011).</w:t>
            </w:r>
          </w:p>
        </w:tc>
      </w:tr>
      <w:tr>
        <w:tc>
          <w:tcPr>
            <w:tcW w:type="dxa" w:w="3408"/>
          </w:tcPr>
          <w:p>
            <w:r>
              <w:rPr>
                <w:rFonts w:ascii="Calibri" w:hAnsi="Calibri"/>
                <w:b w:val="0"/>
                <w:sz w:val="18"/>
              </w:rPr>
              <w:t>Gate Pass &gt; Goods Received Pass</w:t>
            </w:r>
          </w:p>
        </w:tc>
        <w:tc>
          <w:tcPr>
            <w:tcW w:type="dxa" w:w="3408"/>
            <w:shd w:fill="FFC7CE" w:val="clear"/>
            <w:shd w:fill="C6EFCE" w:val="clear"/>
          </w:tcPr>
          <w:p>
            <w:r>
              <w:t>Completed</w:t>
            </w:r>
          </w:p>
        </w:tc>
        <w:tc>
          <w:tcPr>
            <w:tcW w:type="dxa" w:w="3408"/>
          </w:tcPr>
          <w:p>
            <w:r>
              <w:t>Persisted on /api/v1/front-office/goods-received-passes (0011).</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Parent dashboard presentation; no parent dashboard API</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Performance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Fees Payment &gt; Academic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Hostel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Transport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