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222</w:t>
            </w:r>
          </w:p>
        </w:tc>
        <w:tc>
          <w:tcPr>
            <w:tcW w:type="dxa" w:w="1704"/>
            <w:shd w:fill="FFEB9C" w:val="clear"/>
          </w:tcPr>
          <w:p>
            <w:r>
              <w:t>31</w:t>
            </w:r>
          </w:p>
        </w:tc>
        <w:tc>
          <w:tcPr>
            <w:tcW w:type="dxa" w:w="1704"/>
            <w:shd w:fill="FFC7CE" w:val="clear"/>
          </w:tcPr>
          <w:p>
            <w:r>
              <w:t>225</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