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40"/>
      </w:pPr>
      <w:r>
        <w:t>Chairman Brief</w:t>
      </w:r>
    </w:p>
    <w:p>
      <w:pPr>
        <w:spacing w:after="120"/>
      </w:pPr>
      <w:r>
        <w:t>A practical growth + execution partnership (combined retainer)</w:t>
      </w:r>
    </w:p>
    <w:p>
      <w:pPr>
        <w:pBdr>
          <w:bottom w:val="single" w:sz="8" w:space="3" w:color="CBD5E1"/>
        </w:pBdr>
      </w:pPr>
    </w:p>
    <w:p>
      <w:pPr>
        <w:spacing w:after="200"/>
      </w:pPr>
      <w:r>
        <w:rPr>
          <w:b/>
        </w:rPr>
        <w:t xml:space="preserve">Prepared for: </w:t>
      </w:r>
      <w:r>
        <w:t>Mr. C.P. Bothra, Chairman, Lyrus Life Sciences</w:t>
        <w:br/>
      </w:r>
      <w:r>
        <w:rPr>
          <w:b/>
        </w:rPr>
        <w:t xml:space="preserve">Prepared by: </w:t>
      </w:r>
      <w:r>
        <w:t>Karan Chordia (Draft)</w:t>
        <w:br/>
      </w:r>
      <w:r>
        <w:rPr>
          <w:b/>
        </w:rPr>
        <w:t xml:space="preserve">Date: </w:t>
      </w:r>
      <w:r>
        <w:t>01 Jun 2026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928"/>
            <w:vAlign w:val="top"/>
            <w:shd w:val="clear" w:color="auto" w:fill="F1F5F9"/>
          </w:tcPr>
          <w:p>
            <w:pPr>
              <w:spacing w:after="40"/>
            </w:pPr>
            <w:r>
              <w:rPr>
                <w:b/>
                <w:color w:val="0B4F8C"/>
              </w:rPr>
              <w:t>The simple idea:</w:t>
            </w:r>
          </w:p>
          <w:p>
            <w:pPr>
              <w:spacing w:after="0"/>
            </w:pPr>
            <w:r>
              <w:t>Help Lyrus win more high-quality international business and execute it faster, with better documentation discipline, clearer milestone visibility, and stronger distributor-facing communication.</w:t>
            </w:r>
          </w:p>
        </w:tc>
      </w:tr>
    </w:tbl>
    <w:p/>
    <w:p>
      <w:pPr>
        <w:pStyle w:val="Heading2"/>
      </w:pPr>
      <w:r>
        <w:t>What matters at Chairman level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vAlign w:val="center"/>
            <w:shd w:val="clear" w:color="auto" w:fill="E2E8F0"/>
          </w:tcPr>
          <w:p>
            <w:r>
              <w:rPr>
                <w:b/>
              </w:rPr>
              <w:t>What We Focus On</w:t>
            </w:r>
          </w:p>
        </w:tc>
        <w:tc>
          <w:tcPr>
            <w:tcW w:type="dxa" w:w="5760"/>
            <w:vAlign w:val="center"/>
            <w:shd w:val="clear" w:color="auto" w:fill="E2E8F0"/>
          </w:tcPr>
          <w:p>
            <w:r>
              <w:rPr>
                <w:b/>
              </w:rPr>
              <w:t>What It Means for Lyrus</w:t>
            </w:r>
          </w:p>
        </w:tc>
      </w:tr>
      <w:tr>
        <w:tc>
          <w:tcPr>
            <w:tcW w:type="dxa" w:w="3168"/>
            <w:vAlign w:val="top"/>
          </w:tcPr>
          <w:p>
            <w:r>
              <w:t>Reduce concentration risk</w:t>
            </w:r>
          </w:p>
        </w:tc>
        <w:tc>
          <w:tcPr>
            <w:tcW w:type="dxa" w:w="5760"/>
            <w:vAlign w:val="top"/>
          </w:tcPr>
          <w:p>
            <w:r>
              <w:t>A stronger outbound presence that attracts more distributors / partners, so growth is not dependent on a single channel.</w:t>
            </w:r>
          </w:p>
        </w:tc>
      </w:tr>
      <w:tr>
        <w:tc>
          <w:tcPr>
            <w:tcW w:type="dxa" w:w="3168"/>
            <w:vAlign w:val="top"/>
          </w:tcPr>
          <w:p>
            <w:r>
              <w:t>Scale execution speed without risking quality</w:t>
            </w:r>
          </w:p>
        </w:tc>
        <w:tc>
          <w:tcPr>
            <w:tcW w:type="dxa" w:w="5760"/>
            <w:vAlign w:val="top"/>
          </w:tcPr>
          <w:p>
            <w:r>
              <w:t>Make day-to-day work more repeatable with clear workflows, templates, and assistive systems that reduce rework and firefighting.</w:t>
            </w:r>
          </w:p>
        </w:tc>
      </w:tr>
      <w:tr>
        <w:tc>
          <w:tcPr>
            <w:tcW w:type="dxa" w:w="3168"/>
            <w:vAlign w:val="top"/>
          </w:tcPr>
          <w:p>
            <w:r>
              <w:t>Strengthen regulated-market credibility</w:t>
            </w:r>
          </w:p>
        </w:tc>
        <w:tc>
          <w:tcPr>
            <w:tcW w:type="dxa" w:w="5760"/>
            <w:vAlign w:val="top"/>
          </w:tcPr>
          <w:p>
            <w:r>
              <w:t>Position Lyrus as a serious, high-trust partner for regulated markets with proof-driven communication and disciplined documentation.</w:t>
            </w:r>
          </w:p>
        </w:tc>
      </w:tr>
    </w:tbl>
    <w:p/>
    <w:p>
      <w:pPr>
        <w:pStyle w:val="Heading2"/>
      </w:pPr>
      <w:r>
        <w:t>What I will deliver (combined retainer)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928"/>
            <w:vAlign w:val="top"/>
            <w:shd w:val="clear" w:color="auto" w:fill="F1F5F9"/>
          </w:tcPr>
          <w:p>
            <w:pPr>
              <w:spacing w:after="40"/>
            </w:pPr>
            <w:r>
              <w:rPr>
                <w:b/>
                <w:color w:val="0284C7"/>
              </w:rPr>
              <w:t>1) Content, website, and digital presence management</w:t>
            </w:r>
          </w:p>
          <w:p>
            <w:pPr>
              <w:spacing w:after="0"/>
            </w:pPr>
            <w:r>
              <w:t>A consistent communication engine: case studies, capability deck refresh, website creation/updates, distributor-ready brochures, and ongoing communication management (LinkedIn/newsletters/PR-style updates) with a regulated-market tone.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928"/>
            <w:vAlign w:val="top"/>
            <w:shd w:val="clear" w:color="auto" w:fill="F1F5F9"/>
          </w:tcPr>
          <w:p>
            <w:pPr>
              <w:spacing w:after="40"/>
            </w:pPr>
            <w:r>
              <w:rPr>
                <w:b/>
                <w:color w:val="0E7490"/>
              </w:rPr>
              <w:t>2) Internal workflows and operating dashboards</w:t>
            </w:r>
          </w:p>
          <w:p>
            <w:pPr>
              <w:spacing w:after="0"/>
            </w:pPr>
            <w:r>
              <w:t>Simple, practical internal systems that reduce coordination overhead: milestone/stability tracking, decision logs, document status, handoffs, and partner (CMO) status tracking. Built to be used daily, not to impress in demos.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928"/>
            <w:vAlign w:val="top"/>
            <w:shd w:val="clear" w:color="auto" w:fill="F1F5F9"/>
          </w:tcPr>
          <w:p>
            <w:pPr>
              <w:spacing w:after="40"/>
            </w:pPr>
            <w:r>
              <w:rPr>
                <w:b/>
                <w:color w:val="15803D"/>
              </w:rPr>
              <w:t>3) AI agents that remove repetitive effort (controlled and auditable)</w:t>
            </w:r>
          </w:p>
          <w:p>
            <w:pPr>
              <w:spacing w:after="0"/>
            </w:pPr>
            <w:r>
              <w:t>A set of tightly-scoped AI assistants that support regulated workflows: drafting, checking, summarizing, and indexing. Deployed in a controlled manner with clear boundaries and human sign-off.</w:t>
            </w:r>
          </w:p>
        </w:tc>
      </w:tr>
    </w:tbl>
    <w:p/>
    <w:p>
      <w:pPr>
        <w:pStyle w:val="Heading2"/>
      </w:pPr>
      <w:r>
        <w:t>High-impact AI agents and workflows (examples)</w:t>
      </w:r>
    </w:p>
    <w:p>
      <w:r>
        <w:t>These are designed to improve day-to-day operations. Each one is scoped so it can be piloted safely with anonymized or dummy data first.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5760"/>
      </w:tblGrid>
      <w:tr>
        <w:tc>
          <w:tcPr>
            <w:tcW w:type="dxa" w:w="4824"/>
            <w:vAlign w:val="center"/>
            <w:shd w:val="clear" w:color="auto" w:fill="E2E8F0"/>
          </w:tcPr>
          <w:p>
            <w:r>
              <w:rPr>
                <w:b/>
              </w:rPr>
              <w:t>Agent / Workflow</w:t>
            </w:r>
          </w:p>
        </w:tc>
        <w:tc>
          <w:tcPr>
            <w:tcW w:type="dxa" w:w="4824"/>
            <w:vAlign w:val="center"/>
            <w:shd w:val="clear" w:color="auto" w:fill="E2E8F0"/>
          </w:tcPr>
          <w:p>
            <w:r>
              <w:rPr>
                <w:b/>
              </w:rPr>
              <w:t>Operational Impact</w:t>
            </w:r>
          </w:p>
        </w:tc>
      </w:tr>
      <w:tr>
        <w:tc>
          <w:tcPr>
            <w:tcW w:type="dxa" w:w="3168"/>
            <w:vAlign w:val="top"/>
          </w:tcPr>
          <w:p>
            <w:r>
              <w:t>Regulatory / Dossier Drafting Assistant</w:t>
            </w:r>
          </w:p>
        </w:tc>
        <w:tc>
          <w:tcPr>
            <w:tcW w:type="dxa" w:w="5760"/>
            <w:vAlign w:val="top"/>
          </w:tcPr>
          <w:p>
            <w:r>
              <w:t>Turns structured lab outputs into first-draft dossier sections and responses, using your templates and checklists; humans review and approve.</w:t>
            </w:r>
          </w:p>
        </w:tc>
      </w:tr>
      <w:tr>
        <w:tc>
          <w:tcPr>
            <w:tcW w:type="dxa" w:w="3168"/>
            <w:vAlign w:val="top"/>
          </w:tcPr>
          <w:p>
            <w:r>
              <w:t>QA Batch Record Checker</w:t>
            </w:r>
          </w:p>
        </w:tc>
        <w:tc>
          <w:tcPr>
            <w:tcW w:type="dxa" w:w="5760"/>
            <w:vAlign w:val="top"/>
          </w:tcPr>
          <w:p>
            <w:r>
              <w:t>Runs consistency checks on batch records, stability tables, and deviations; flags missing fields, out-of-range entries, and formatting errors before review.</w:t>
            </w:r>
          </w:p>
        </w:tc>
      </w:tr>
      <w:tr>
        <w:tc>
          <w:tcPr>
            <w:tcW w:type="dxa" w:w="3168"/>
            <w:vAlign w:val="top"/>
          </w:tcPr>
          <w:p>
            <w:r>
              <w:t>Deviation + CAPA Summarizer</w:t>
            </w:r>
          </w:p>
        </w:tc>
        <w:tc>
          <w:tcPr>
            <w:tcW w:type="dxa" w:w="5760"/>
            <w:vAlign w:val="top"/>
          </w:tcPr>
          <w:p>
            <w:r>
              <w:t>Takes investigation notes and produces a concise, standard summary and action list aligned to your internal format.</w:t>
            </w:r>
          </w:p>
        </w:tc>
      </w:tr>
      <w:tr>
        <w:tc>
          <w:tcPr>
            <w:tcW w:type="dxa" w:w="3168"/>
            <w:vAlign w:val="top"/>
          </w:tcPr>
          <w:p>
            <w:r>
              <w:t>Regulatory Intelligence Monitor</w:t>
            </w:r>
          </w:p>
        </w:tc>
        <w:tc>
          <w:tcPr>
            <w:tcW w:type="dxa" w:w="5760"/>
            <w:vAlign w:val="top"/>
          </w:tcPr>
          <w:p>
            <w:r>
              <w:t>Watches relevant updates and summarizes what changed, what it affects, and what actions are required, in a weekly brief.</w:t>
            </w:r>
          </w:p>
        </w:tc>
      </w:tr>
      <w:tr>
        <w:tc>
          <w:tcPr>
            <w:tcW w:type="dxa" w:w="3168"/>
            <w:vAlign w:val="top"/>
          </w:tcPr>
          <w:p>
            <w:r>
              <w:t>Scientific Literature + Patent Scout</w:t>
            </w:r>
          </w:p>
        </w:tc>
        <w:tc>
          <w:tcPr>
            <w:tcW w:type="dxa" w:w="5760"/>
            <w:vAlign w:val="top"/>
          </w:tcPr>
          <w:p>
            <w:r>
              <w:t>Continuously scans public sources, summarizes what matters for your focus areas, and proposes shortlists for the team to evaluate.</w:t>
            </w:r>
          </w:p>
        </w:tc>
      </w:tr>
      <w:tr>
        <w:tc>
          <w:tcPr>
            <w:tcW w:type="dxa" w:w="3168"/>
            <w:vAlign w:val="top"/>
          </w:tcPr>
          <w:p>
            <w:r>
              <w:t>Internal Knowledge Base Builder</w:t>
            </w:r>
          </w:p>
        </w:tc>
        <w:tc>
          <w:tcPr>
            <w:tcW w:type="dxa" w:w="5760"/>
            <w:vAlign w:val="top"/>
          </w:tcPr>
          <w:p>
            <w:r>
              <w:t>Organizes learnings from completed projects into a searchable, permissioned knowledge base so new teams do not repeat avoidable mistakes.</w:t>
            </w:r>
          </w:p>
        </w:tc>
      </w:tr>
    </w:tbl>
    <w:p/>
    <w:p>
      <w:pPr>
        <w:pStyle w:val="Heading2"/>
      </w:pPr>
      <w:r>
        <w:t>How we start (low-risk)</w:t>
      </w:r>
    </w:p>
    <w:p>
      <w:r>
        <w:t>We start with a 30-day pilot, then convert into a retainer only if results and working style are satisfactory.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200"/>
      </w:tblGrid>
      <w:tr>
        <w:tc>
          <w:tcPr>
            <w:tcW w:type="dxa" w:w="4824"/>
            <w:tcBorders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4824"/>
            <w:tcBorders/>
          </w:tcPr>
          <w:p>
            <w:r>
              <w:rPr>
                <w:b/>
              </w:rPr>
              <w:t>What You Get</w:t>
            </w:r>
          </w:p>
        </w:tc>
      </w:tr>
      <w:tr>
        <w:tc>
          <w:tcPr>
            <w:tcW w:type="dxa" w:w="1728"/>
            <w:vAlign w:val="top"/>
          </w:tcPr>
          <w:p>
            <w:r>
              <w:t>Week 1</w:t>
            </w:r>
          </w:p>
        </w:tc>
        <w:tc>
          <w:tcPr>
            <w:tcW w:type="dxa" w:w="7200"/>
            <w:vAlign w:val="top"/>
          </w:tcPr>
          <w:p>
            <w:r>
              <w:t>Alignment workshop + define 3–5 measurable targets + collect existing collateral and SOP templates.</w:t>
            </w:r>
          </w:p>
        </w:tc>
      </w:tr>
      <w:tr>
        <w:tc>
          <w:tcPr>
            <w:tcW w:type="dxa" w:w="1728"/>
            <w:vAlign w:val="top"/>
          </w:tcPr>
          <w:p>
            <w:r>
              <w:t>Week 2</w:t>
            </w:r>
          </w:p>
        </w:tc>
        <w:tc>
          <w:tcPr>
            <w:tcW w:type="dxa" w:w="7200"/>
            <w:vAlign w:val="top"/>
          </w:tcPr>
          <w:p>
            <w:r>
              <w:t>Ship v1 of distributor-facing collateral (1 case study + 1 brochure/deck section) and a working internal workflow dashboard prototype.</w:t>
            </w:r>
          </w:p>
        </w:tc>
      </w:tr>
      <w:tr>
        <w:tc>
          <w:tcPr>
            <w:tcW w:type="dxa" w:w="1728"/>
            <w:vAlign w:val="top"/>
          </w:tcPr>
          <w:p>
            <w:r>
              <w:t>Week 3</w:t>
            </w:r>
          </w:p>
        </w:tc>
        <w:tc>
          <w:tcPr>
            <w:tcW w:type="dxa" w:w="7200"/>
            <w:vAlign w:val="top"/>
          </w:tcPr>
          <w:p>
            <w:r>
              <w:t>Pilot 1 AI assistant on a narrow workflow (example: QA checker or dossier draft), using anonymized/dummy inputs first.</w:t>
            </w:r>
          </w:p>
        </w:tc>
      </w:tr>
      <w:tr>
        <w:tc>
          <w:tcPr>
            <w:tcW w:type="dxa" w:w="1728"/>
            <w:vAlign w:val="top"/>
          </w:tcPr>
          <w:p>
            <w:r>
              <w:t>Week 4</w:t>
            </w:r>
          </w:p>
        </w:tc>
        <w:tc>
          <w:tcPr>
            <w:tcW w:type="dxa" w:w="7200"/>
            <w:vAlign w:val="top"/>
          </w:tcPr>
          <w:p>
            <w:r>
              <w:t>Finalize deliverables + handover + propose a 90-day retainer roadmap (content + website + workflows + agents) with scope and costs.</w:t>
            </w:r>
          </w:p>
        </w:tc>
      </w:tr>
    </w:tbl>
    <w:p/>
    <w:p>
      <w:pPr>
        <w:pStyle w:val="Heading2"/>
      </w:pPr>
      <w:r>
        <w:t>What I need from Lyrus (minimal)</w:t>
      </w:r>
    </w:p>
    <w:p>
      <w:pPr>
        <w:spacing w:after="20"/>
      </w:pPr>
      <w:r>
        <w:t>• One point-of-contact for BD collateral review (1 hour/week).</w:t>
      </w:r>
    </w:p>
    <w:p>
      <w:pPr>
        <w:spacing w:after="20"/>
      </w:pPr>
      <w:r>
        <w:t>• One point-of-contact for execution workflows (R&amp;D / QA / regulatory) (1 hour/week).</w:t>
      </w:r>
    </w:p>
    <w:p>
      <w:pPr>
        <w:spacing w:after="20"/>
      </w:pPr>
      <w:r>
        <w:t>• A sample set of non-confidential documents (or anonymized samples) to build templates and demos.</w:t>
      </w:r>
    </w:p>
    <w:p>
      <w:pPr>
        <w:spacing w:after="20"/>
      </w:pPr>
      <w:r>
        <w:t>• Approval to pilot internally first (no external exposure until you sign off).</w:t>
      </w:r>
    </w:p>
    <w:p/>
    <w:p>
      <w:pPr>
        <w:pStyle w:val="Heading2"/>
      </w:pPr>
      <w:r>
        <w:t>Decision ask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928"/>
            <w:vAlign w:val="top"/>
            <w:shd w:val="clear" w:color="auto" w:fill="F1F5F9"/>
          </w:tcPr>
          <w:p>
            <w:pPr>
              <w:spacing w:after="40"/>
            </w:pPr>
            <w:r>
              <w:rPr>
                <w:b/>
                <w:color w:val="7C3AED"/>
              </w:rPr>
              <w:t>Ask:</w:t>
            </w:r>
          </w:p>
          <w:p>
            <w:pPr>
              <w:spacing w:after="0"/>
            </w:pPr>
            <w:r>
              <w:t>Approve a 30-day pilot. After the pilot, decide whether to continue as a combined retainer for business development content + execution visibility + documentation discipline.</w:t>
            </w:r>
          </w:p>
        </w:tc>
      </w:tr>
    </w:tbl>
    <w:p/>
    <w:p>
      <w:pPr>
        <w:jc w:val="center"/>
      </w:pPr>
      <w:r>
        <w:rPr>
          <w:color w:val="475569"/>
          <w:sz w:val="18"/>
        </w:rPr>
        <w:t>Confidential: For discussion with Lyrus Life Sciences leadership only.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