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FD85" w14:textId="73E34EEA" w:rsidR="007B737F" w:rsidRPr="001848B0" w:rsidRDefault="001848B0">
      <w:pPr>
        <w:rPr>
          <w:rFonts w:ascii="Calibri" w:hAnsi="Calibri" w:cs="Calibri"/>
          <w:b/>
          <w:bCs/>
        </w:rPr>
      </w:pPr>
      <w:r w:rsidRPr="001848B0">
        <w:rPr>
          <w:rFonts w:ascii="Calibri" w:hAnsi="Calibri" w:cs="Calibri"/>
          <w:b/>
          <w:bCs/>
          <w:color w:val="4472C4" w:themeColor="accent1"/>
          <w:sz w:val="52"/>
          <w:szCs w:val="52"/>
        </w:rPr>
        <w:t>Exploratory Data Analysis Insights</w:t>
      </w:r>
    </w:p>
    <w:p w14:paraId="198CDFB8" w14:textId="4C6F53F5" w:rsidR="00FE6436" w:rsidRDefault="001848B0">
      <w:pPr>
        <w:rPr>
          <w:rFonts w:cstheme="minorHAnsi"/>
          <w:b/>
          <w:bCs/>
          <w:color w:val="EE0000"/>
          <w:sz w:val="40"/>
          <w:szCs w:val="40"/>
        </w:rPr>
      </w:pPr>
      <w:r w:rsidRPr="001848B0">
        <w:rPr>
          <w:rFonts w:cstheme="minorHAnsi"/>
          <w:b/>
          <w:bCs/>
          <w:color w:val="EE0000"/>
          <w:sz w:val="40"/>
          <w:szCs w:val="40"/>
        </w:rPr>
        <w:t xml:space="preserve">Summary Statistics </w:t>
      </w:r>
    </w:p>
    <w:p w14:paraId="1A2F1104" w14:textId="6796F036" w:rsidR="001848B0" w:rsidRDefault="001848B0" w:rsidP="004F69A8">
      <w:pPr>
        <w:jc w:val="center"/>
        <w:rPr>
          <w:rFonts w:cstheme="minorHAnsi"/>
          <w:b/>
          <w:bCs/>
          <w:color w:val="EE0000"/>
          <w:sz w:val="40"/>
          <w:szCs w:val="40"/>
        </w:rPr>
      </w:pPr>
      <w:r w:rsidRPr="001848B0">
        <w:rPr>
          <w:rFonts w:cstheme="minorHAnsi"/>
          <w:b/>
          <w:bCs/>
          <w:color w:val="EE0000"/>
          <w:sz w:val="40"/>
          <w:szCs w:val="40"/>
        </w:rPr>
        <w:drawing>
          <wp:inline distT="0" distB="0" distL="0" distR="0" wp14:anchorId="248A469F" wp14:editId="5A767BEA">
            <wp:extent cx="5731510" cy="3362325"/>
            <wp:effectExtent l="0" t="0" r="2540" b="9525"/>
            <wp:docPr id="19316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25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79CB" w14:textId="77777777" w:rsidR="00FE6436" w:rsidRDefault="00FE6436">
      <w:pPr>
        <w:rPr>
          <w:rFonts w:cstheme="minorHAnsi"/>
          <w:b/>
          <w:bCs/>
          <w:color w:val="EE0000"/>
          <w:sz w:val="40"/>
          <w:szCs w:val="40"/>
        </w:rPr>
      </w:pPr>
    </w:p>
    <w:p w14:paraId="5F7710DC" w14:textId="1A5C2E28" w:rsidR="001848B0" w:rsidRDefault="001848B0" w:rsidP="004F69A8">
      <w:pPr>
        <w:jc w:val="center"/>
        <w:rPr>
          <w:rFonts w:cstheme="minorHAnsi"/>
          <w:b/>
          <w:bCs/>
          <w:color w:val="EE0000"/>
          <w:sz w:val="40"/>
          <w:szCs w:val="40"/>
        </w:rPr>
      </w:pPr>
      <w:r w:rsidRPr="001848B0">
        <w:rPr>
          <w:rFonts w:cstheme="minorHAnsi"/>
          <w:b/>
          <w:bCs/>
          <w:color w:val="EE0000"/>
          <w:sz w:val="40"/>
          <w:szCs w:val="40"/>
        </w:rPr>
        <w:drawing>
          <wp:inline distT="0" distB="0" distL="0" distR="0" wp14:anchorId="5D6369CE" wp14:editId="4FB6FCAF">
            <wp:extent cx="5731510" cy="3796665"/>
            <wp:effectExtent l="0" t="0" r="2540" b="0"/>
            <wp:docPr id="13229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2744" w14:textId="3026E528" w:rsidR="001848B0" w:rsidRPr="00FE6436" w:rsidRDefault="001848B0" w:rsidP="001848B0">
      <w:pPr>
        <w:rPr>
          <w:rFonts w:cstheme="minorHAnsi"/>
          <w:b/>
          <w:bCs/>
          <w:sz w:val="40"/>
          <w:szCs w:val="40"/>
        </w:rPr>
      </w:pPr>
      <w:r w:rsidRPr="00FE6436">
        <w:rPr>
          <w:rFonts w:cstheme="minorHAnsi"/>
          <w:b/>
          <w:bCs/>
          <w:sz w:val="40"/>
          <w:szCs w:val="40"/>
        </w:rPr>
        <w:lastRenderedPageBreak/>
        <w:t>Negative &amp; Zero Values:</w:t>
      </w:r>
    </w:p>
    <w:p w14:paraId="1A1084A8" w14:textId="5F31EC72" w:rsidR="001848B0" w:rsidRPr="00FE6436" w:rsidRDefault="001848B0" w:rsidP="00FE6436">
      <w:pPr>
        <w:jc w:val="both"/>
        <w:rPr>
          <w:rFonts w:cstheme="minorHAnsi"/>
          <w:b/>
          <w:bCs/>
          <w:sz w:val="40"/>
          <w:szCs w:val="40"/>
        </w:rPr>
      </w:pPr>
      <w:r w:rsidRPr="00FE6436">
        <w:rPr>
          <w:rFonts w:cstheme="minorHAnsi"/>
          <w:b/>
          <w:bCs/>
          <w:sz w:val="32"/>
          <w:szCs w:val="32"/>
        </w:rPr>
        <w:t xml:space="preserve">Gross Profit: </w:t>
      </w:r>
      <w:r w:rsidRPr="00FE6436">
        <w:rPr>
          <w:rFonts w:cstheme="minorHAnsi"/>
          <w:sz w:val="32"/>
          <w:szCs w:val="32"/>
        </w:rPr>
        <w:t>Minimum of 52,002.78, indicating potential losses due to high costs or heavy discounts. This could be due to selling products at lower prices than their purchase costs.</w:t>
      </w:r>
    </w:p>
    <w:p w14:paraId="3E517116" w14:textId="1948C51B" w:rsidR="001848B0" w:rsidRPr="00FE6436" w:rsidRDefault="001848B0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Profit Margin: </w:t>
      </w:r>
      <w:r w:rsidRPr="00FE6436">
        <w:rPr>
          <w:rFonts w:cstheme="minorHAnsi"/>
          <w:sz w:val="32"/>
          <w:szCs w:val="32"/>
        </w:rPr>
        <w:t>Has a minimum of ∞, which suggests instances where revenue is zero or even lower than the total cost, leading to extreme negative profit margins.</w:t>
      </w:r>
    </w:p>
    <w:p w14:paraId="07C97458" w14:textId="26E4DFFE" w:rsidR="001848B0" w:rsidRDefault="001848B0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Total Sales Quantity &amp; Sales Dollars: </w:t>
      </w:r>
      <w:r w:rsidRPr="00FE6436">
        <w:rPr>
          <w:rFonts w:cstheme="minorHAnsi"/>
          <w:sz w:val="32"/>
          <w:szCs w:val="32"/>
        </w:rPr>
        <w:t>Some products show zero sales,</w:t>
      </w:r>
      <w:r w:rsidR="00FE6436">
        <w:rPr>
          <w:rFonts w:cstheme="minorHAnsi"/>
          <w:sz w:val="32"/>
          <w:szCs w:val="32"/>
        </w:rPr>
        <w:t xml:space="preserve"> </w:t>
      </w:r>
      <w:r w:rsidRPr="00FE6436">
        <w:rPr>
          <w:rFonts w:cstheme="minorHAnsi"/>
          <w:sz w:val="32"/>
          <w:szCs w:val="32"/>
        </w:rPr>
        <w:t>indicating they were purchased but never sold. These may be slow-moving or obsolete stock, leading to inventory inefficiencies.</w:t>
      </w:r>
    </w:p>
    <w:p w14:paraId="6767F4DE" w14:textId="77777777" w:rsidR="00FE6436" w:rsidRPr="00FE6436" w:rsidRDefault="00FE6436" w:rsidP="00FE6436">
      <w:pPr>
        <w:jc w:val="both"/>
        <w:rPr>
          <w:rFonts w:cstheme="minorHAnsi"/>
          <w:sz w:val="32"/>
          <w:szCs w:val="32"/>
        </w:rPr>
      </w:pPr>
    </w:p>
    <w:p w14:paraId="764F4168" w14:textId="56810EF0" w:rsidR="001848B0" w:rsidRDefault="001848B0" w:rsidP="001848B0">
      <w:pPr>
        <w:rPr>
          <w:rFonts w:cstheme="minorHAnsi"/>
          <w:b/>
          <w:bCs/>
          <w:sz w:val="40"/>
          <w:szCs w:val="40"/>
        </w:rPr>
      </w:pPr>
      <w:r w:rsidRPr="00FE6436">
        <w:rPr>
          <w:rFonts w:cstheme="minorHAnsi"/>
          <w:b/>
          <w:bCs/>
          <w:sz w:val="40"/>
          <w:szCs w:val="40"/>
        </w:rPr>
        <w:t>Outliers Detected by High Standard Deviations:</w:t>
      </w:r>
    </w:p>
    <w:p w14:paraId="69444106" w14:textId="5A2F68AE" w:rsidR="00FE6436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Purchase &amp; Actual Prices: </w:t>
      </w:r>
      <w:r w:rsidRPr="00FE6436">
        <w:rPr>
          <w:rFonts w:cstheme="minorHAnsi"/>
          <w:sz w:val="32"/>
          <w:szCs w:val="32"/>
        </w:rPr>
        <w:t>The maximum values (5,681.81 &amp; 7,499.99)</w:t>
      </w:r>
      <w:r>
        <w:rPr>
          <w:rFonts w:cstheme="minorHAnsi"/>
          <w:sz w:val="32"/>
          <w:szCs w:val="32"/>
        </w:rPr>
        <w:t xml:space="preserve"> </w:t>
      </w:r>
      <w:r w:rsidRPr="00FE6436">
        <w:rPr>
          <w:rFonts w:cstheme="minorHAnsi"/>
          <w:sz w:val="32"/>
          <w:szCs w:val="32"/>
        </w:rPr>
        <w:t>are significantly higher than the mean (24.39 &amp; 35.64), indicating premium product offerings.</w:t>
      </w:r>
    </w:p>
    <w:p w14:paraId="1CD04B7D" w14:textId="0D9C8F9B" w:rsidR="00FE6436" w:rsidRPr="00FE6436" w:rsidRDefault="00FE6436" w:rsidP="00FE6436">
      <w:pPr>
        <w:jc w:val="both"/>
        <w:rPr>
          <w:rFonts w:cstheme="minorHAnsi"/>
          <w:b/>
          <w:bCs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Freight Cost: </w:t>
      </w:r>
      <w:r w:rsidRPr="00FE6436">
        <w:rPr>
          <w:rFonts w:cstheme="minorHAnsi"/>
          <w:sz w:val="32"/>
          <w:szCs w:val="32"/>
        </w:rPr>
        <w:t>Extreme variation from 0.09 to 257,032.07 suggests logistics inefficiencies, bulk shipments, or erratic shipping costs across different products.</w:t>
      </w:r>
    </w:p>
    <w:p w14:paraId="27449B2E" w14:textId="7DECB0CE" w:rsidR="00FE6436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Stock Turnover: </w:t>
      </w:r>
      <w:r w:rsidRPr="00FE6436">
        <w:rPr>
          <w:rFonts w:cstheme="minorHAnsi"/>
          <w:sz w:val="32"/>
          <w:szCs w:val="32"/>
        </w:rPr>
        <w:t>Ranges from 0 to 274.5, suggesting some products sell rapidly while others remain unsold for long periods. A value greater than 1 indicates that sales for a product exceed the purchased quantity due to older stock fulfilling orders.</w:t>
      </w:r>
    </w:p>
    <w:p w14:paraId="508416A8" w14:textId="77777777" w:rsidR="00FE6436" w:rsidRDefault="00FE6436" w:rsidP="00FE6436">
      <w:pPr>
        <w:jc w:val="both"/>
        <w:rPr>
          <w:rFonts w:cstheme="minorHAnsi"/>
          <w:sz w:val="32"/>
          <w:szCs w:val="32"/>
        </w:rPr>
      </w:pPr>
    </w:p>
    <w:p w14:paraId="574E256B" w14:textId="53AD3204" w:rsidR="00FE6436" w:rsidRPr="00FE6436" w:rsidRDefault="00FE6436" w:rsidP="00FE6436">
      <w:pPr>
        <w:jc w:val="both"/>
        <w:rPr>
          <w:rFonts w:cstheme="minorHAnsi"/>
          <w:b/>
          <w:bCs/>
          <w:color w:val="EE0000"/>
          <w:sz w:val="40"/>
          <w:szCs w:val="40"/>
        </w:rPr>
      </w:pPr>
      <w:r w:rsidRPr="00FE6436">
        <w:rPr>
          <w:rFonts w:cstheme="minorHAnsi"/>
          <w:b/>
          <w:bCs/>
          <w:color w:val="EE0000"/>
          <w:sz w:val="40"/>
          <w:szCs w:val="40"/>
        </w:rPr>
        <w:t>Data Filtering</w:t>
      </w:r>
    </w:p>
    <w:p w14:paraId="1AC691C9" w14:textId="36649CD8" w:rsidR="00FE6436" w:rsidRPr="00FE6436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sz w:val="32"/>
          <w:szCs w:val="32"/>
        </w:rPr>
        <w:t>To enhance the reliability of the insights, we removed inconsistent data points where:</w:t>
      </w:r>
    </w:p>
    <w:p w14:paraId="264FD476" w14:textId="4CE1D8B2" w:rsidR="00FE6436" w:rsidRPr="00FE6436" w:rsidRDefault="00FE6436" w:rsidP="00FE6436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sz w:val="32"/>
          <w:szCs w:val="32"/>
        </w:rPr>
        <w:t>Gross Profit ≤0 (to exclude transactions leading to losses).</w:t>
      </w:r>
    </w:p>
    <w:p w14:paraId="2A98B058" w14:textId="0F42F06B" w:rsidR="00FE6436" w:rsidRPr="00FE6436" w:rsidRDefault="00FE6436" w:rsidP="00FE6436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sz w:val="32"/>
          <w:szCs w:val="32"/>
        </w:rPr>
        <w:lastRenderedPageBreak/>
        <w:t>Profit Margins 0 (to ensure analysis focuses on profitable transactions).</w:t>
      </w:r>
    </w:p>
    <w:p w14:paraId="42EDF04E" w14:textId="3EB1F982" w:rsidR="00FE6436" w:rsidRDefault="00FE6436" w:rsidP="00FE6436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sz w:val="32"/>
          <w:szCs w:val="32"/>
        </w:rPr>
        <w:t>Total Sales Quantity = 0 (to eliminate inventory that was never sold).</w:t>
      </w:r>
    </w:p>
    <w:p w14:paraId="7E269F30" w14:textId="6B267536" w:rsidR="00FE6436" w:rsidRDefault="00FE6436" w:rsidP="00FE6436">
      <w:pPr>
        <w:jc w:val="both"/>
        <w:rPr>
          <w:rFonts w:cstheme="minorHAnsi"/>
          <w:b/>
          <w:bCs/>
          <w:color w:val="EE0000"/>
          <w:sz w:val="40"/>
          <w:szCs w:val="40"/>
        </w:rPr>
      </w:pPr>
      <w:r w:rsidRPr="00FE6436">
        <w:rPr>
          <w:rFonts w:cstheme="minorHAnsi"/>
          <w:b/>
          <w:bCs/>
          <w:color w:val="EE0000"/>
          <w:sz w:val="40"/>
          <w:szCs w:val="40"/>
        </w:rPr>
        <w:t>Correlation Insights</w:t>
      </w:r>
    </w:p>
    <w:p w14:paraId="3221FCEC" w14:textId="33ED6F4E" w:rsidR="00FE6436" w:rsidRDefault="00FE6436" w:rsidP="004F69A8">
      <w:pPr>
        <w:jc w:val="center"/>
        <w:rPr>
          <w:rFonts w:cstheme="minorHAnsi"/>
          <w:b/>
          <w:bCs/>
          <w:color w:val="EE0000"/>
          <w:sz w:val="40"/>
          <w:szCs w:val="40"/>
        </w:rPr>
      </w:pPr>
      <w:r w:rsidRPr="00FE6436">
        <w:rPr>
          <w:rFonts w:cstheme="minorHAnsi"/>
          <w:b/>
          <w:bCs/>
          <w:color w:val="EE0000"/>
          <w:sz w:val="40"/>
          <w:szCs w:val="40"/>
        </w:rPr>
        <w:drawing>
          <wp:inline distT="0" distB="0" distL="0" distR="0" wp14:anchorId="36D3E186" wp14:editId="1333DA33">
            <wp:extent cx="5626100" cy="4064000"/>
            <wp:effectExtent l="0" t="0" r="0" b="0"/>
            <wp:docPr id="17462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91" cy="40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CE73" w14:textId="77777777" w:rsidR="00FE6436" w:rsidRDefault="00FE6436" w:rsidP="00FE6436">
      <w:pPr>
        <w:jc w:val="both"/>
        <w:rPr>
          <w:rFonts w:cstheme="minorHAnsi"/>
          <w:b/>
          <w:bCs/>
          <w:color w:val="EE0000"/>
          <w:sz w:val="40"/>
          <w:szCs w:val="40"/>
        </w:rPr>
      </w:pPr>
    </w:p>
    <w:p w14:paraId="7CC22C38" w14:textId="22FE5E8B" w:rsidR="00FE6436" w:rsidRPr="00FE6436" w:rsidRDefault="00FE6436" w:rsidP="00FE6436">
      <w:pPr>
        <w:jc w:val="both"/>
        <w:rPr>
          <w:rFonts w:cstheme="minorHAnsi"/>
          <w:b/>
          <w:bCs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Purchase Price vs. Total Sales Dollars &amp; Gross Profit: </w:t>
      </w:r>
      <w:r w:rsidRPr="00FE6436">
        <w:rPr>
          <w:rFonts w:cstheme="minorHAnsi"/>
          <w:sz w:val="32"/>
          <w:szCs w:val="32"/>
        </w:rPr>
        <w:t>We</w:t>
      </w:r>
      <w:r w:rsidRPr="00FE6436">
        <w:rPr>
          <w:rFonts w:cstheme="minorHAnsi"/>
          <w:sz w:val="32"/>
          <w:szCs w:val="32"/>
        </w:rPr>
        <w:t>ak</w:t>
      </w:r>
      <w:r w:rsidRPr="00FE6436">
        <w:rPr>
          <w:rFonts w:cstheme="minorHAnsi"/>
          <w:sz w:val="32"/>
          <w:szCs w:val="32"/>
        </w:rPr>
        <w:t xml:space="preserve"> </w:t>
      </w:r>
      <w:r w:rsidRPr="00FE6436">
        <w:rPr>
          <w:rFonts w:cstheme="minorHAnsi"/>
          <w:sz w:val="32"/>
          <w:szCs w:val="32"/>
        </w:rPr>
        <w:t>correlation</w:t>
      </w:r>
      <w:r w:rsidRPr="00FE6436">
        <w:rPr>
          <w:rFonts w:cstheme="minorHAnsi"/>
          <w:sz w:val="32"/>
          <w:szCs w:val="32"/>
        </w:rPr>
        <w:t xml:space="preserve"> (-0.012 and -0.016), indicating that price variations do not significantly impact sales revenue or profit.</w:t>
      </w:r>
    </w:p>
    <w:p w14:paraId="41848E79" w14:textId="26363601" w:rsidR="00FE6436" w:rsidRPr="00FE6436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Total Purchase Quantity vs. Total Sales Quantity: </w:t>
      </w:r>
      <w:r w:rsidRPr="00FE6436">
        <w:rPr>
          <w:rFonts w:cstheme="minorHAnsi"/>
          <w:sz w:val="32"/>
          <w:szCs w:val="32"/>
        </w:rPr>
        <w:t>Strong correlation (0.999), confirming efficient inventory turnover.</w:t>
      </w:r>
    </w:p>
    <w:p w14:paraId="4C4ACB4B" w14:textId="08C27BBD" w:rsidR="00FE6436" w:rsidRPr="00FE6436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t xml:space="preserve">Profit Margin vs. Total Sales Price: </w:t>
      </w:r>
      <w:r w:rsidRPr="00FE6436">
        <w:rPr>
          <w:rFonts w:cstheme="minorHAnsi"/>
          <w:sz w:val="32"/>
          <w:szCs w:val="32"/>
        </w:rPr>
        <w:t>Negative correlation (-0.179), suggesting increasing sales prices may lead to reduced margins, possibly due to competitive pricing pressures.</w:t>
      </w:r>
    </w:p>
    <w:p w14:paraId="6E1563A3" w14:textId="306E9925" w:rsidR="004F69A8" w:rsidRDefault="00FE6436" w:rsidP="00FE6436">
      <w:pPr>
        <w:jc w:val="both"/>
        <w:rPr>
          <w:rFonts w:cstheme="minorHAnsi"/>
          <w:sz w:val="32"/>
          <w:szCs w:val="32"/>
        </w:rPr>
      </w:pPr>
      <w:r w:rsidRPr="00FE6436">
        <w:rPr>
          <w:rFonts w:cstheme="minorHAnsi"/>
          <w:b/>
          <w:bCs/>
          <w:sz w:val="32"/>
          <w:szCs w:val="32"/>
        </w:rPr>
        <w:lastRenderedPageBreak/>
        <w:t xml:space="preserve">Stock Turnover vs. Gross Profit &amp; Profit Margin: </w:t>
      </w:r>
      <w:r w:rsidRPr="00FE6436">
        <w:rPr>
          <w:rFonts w:cstheme="minorHAnsi"/>
          <w:sz w:val="32"/>
          <w:szCs w:val="32"/>
        </w:rPr>
        <w:t>Weak negative correlation (-0.038 &amp; -0.055), indicating that faster stock turnover does not necessarily equate to higher profitability.</w:t>
      </w:r>
    </w:p>
    <w:p w14:paraId="4D16FF64" w14:textId="459C6085" w:rsidR="004F69A8" w:rsidRPr="004F69A8" w:rsidRDefault="004F69A8" w:rsidP="004F69A8">
      <w:pPr>
        <w:jc w:val="both"/>
        <w:rPr>
          <w:rFonts w:cstheme="minorHAnsi"/>
          <w:sz w:val="32"/>
          <w:szCs w:val="32"/>
        </w:rPr>
      </w:pPr>
      <w:r w:rsidRPr="004F69A8">
        <w:rPr>
          <w:rFonts w:cstheme="minorHAnsi"/>
          <w:b/>
          <w:bCs/>
          <w:color w:val="EE0000"/>
          <w:sz w:val="40"/>
          <w:szCs w:val="40"/>
        </w:rPr>
        <w:t>Research Questions &amp; Key Findings</w:t>
      </w:r>
    </w:p>
    <w:p w14:paraId="115E3A84" w14:textId="22DA6C53" w:rsidR="00FE6436" w:rsidRPr="004F69A8" w:rsidRDefault="004F69A8" w:rsidP="004F69A8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2"/>
          <w:szCs w:val="32"/>
        </w:rPr>
      </w:pPr>
      <w:r w:rsidRPr="004F69A8">
        <w:rPr>
          <w:rFonts w:cstheme="minorHAnsi"/>
          <w:b/>
          <w:bCs/>
          <w:sz w:val="32"/>
          <w:szCs w:val="32"/>
        </w:rPr>
        <w:t>Brands for Promotional or Pricing Adjustments</w:t>
      </w:r>
    </w:p>
    <w:p w14:paraId="270FC3E2" w14:textId="7E944F89" w:rsidR="004F69A8" w:rsidRDefault="004F69A8" w:rsidP="004F69A8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078D4EB0" wp14:editId="2F6D8739">
            <wp:extent cx="5111750" cy="3470563"/>
            <wp:effectExtent l="0" t="0" r="0" b="0"/>
            <wp:docPr id="6513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91" cy="348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D2901" w14:textId="6B9884BC" w:rsid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198 brands exhibit lower sales but higher profit margins, which could benefit from targeted marketing, promotions, or price optimizations to increase volume without compromising profitability.</w:t>
      </w:r>
    </w:p>
    <w:p w14:paraId="5781778F" w14:textId="73C98B1C" w:rsidR="004F69A8" w:rsidRDefault="004F69A8" w:rsidP="004F69A8">
      <w:pPr>
        <w:jc w:val="center"/>
        <w:rPr>
          <w:rFonts w:cstheme="minorHAnsi"/>
          <w:sz w:val="32"/>
          <w:szCs w:val="32"/>
        </w:rPr>
      </w:pPr>
      <w:r w:rsidRPr="004F69A8">
        <w:rPr>
          <w:rFonts w:cstheme="minorHAnsi"/>
          <w:sz w:val="48"/>
          <w:szCs w:val="48"/>
        </w:rPr>
        <w:drawing>
          <wp:inline distT="0" distB="0" distL="0" distR="0" wp14:anchorId="15EA9A4D" wp14:editId="39DEB911">
            <wp:extent cx="5354782" cy="2606040"/>
            <wp:effectExtent l="0" t="0" r="0" b="3810"/>
            <wp:docPr id="16699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302" cy="26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EDC0" w14:textId="7D3E495F" w:rsidR="004F69A8" w:rsidRPr="004F69A8" w:rsidRDefault="004F69A8" w:rsidP="004F69A8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2"/>
          <w:szCs w:val="32"/>
        </w:rPr>
      </w:pPr>
      <w:r w:rsidRPr="004F69A8">
        <w:rPr>
          <w:rFonts w:cstheme="minorHAnsi"/>
          <w:b/>
          <w:bCs/>
          <w:sz w:val="32"/>
          <w:szCs w:val="32"/>
        </w:rPr>
        <w:lastRenderedPageBreak/>
        <w:t>Top Vendors by Sales &amp; Purchase Contribution</w:t>
      </w:r>
    </w:p>
    <w:p w14:paraId="657CC2EB" w14:textId="6A74AA5A" w:rsid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The top 10 vendors contribute 65.69% of total purchases, while the remaining vendors contribute only 34.31%. This over-reliance on a few vendors may introduce risks such as supply chain disruptions, indicating a need for diversification.</w:t>
      </w:r>
    </w:p>
    <w:p w14:paraId="720D3F76" w14:textId="09F331FA" w:rsidR="004F69A8" w:rsidRDefault="004F69A8" w:rsidP="004F69A8">
      <w:pPr>
        <w:jc w:val="center"/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drawing>
          <wp:inline distT="0" distB="0" distL="0" distR="0" wp14:anchorId="51D10B14" wp14:editId="1C89B5BE">
            <wp:extent cx="5731510" cy="3265805"/>
            <wp:effectExtent l="0" t="0" r="2540" b="0"/>
            <wp:docPr id="20493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2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AFF9" w14:textId="65999997" w:rsidR="004F69A8" w:rsidRPr="004F69A8" w:rsidRDefault="004F69A8" w:rsidP="004F69A8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2"/>
          <w:szCs w:val="32"/>
        </w:rPr>
      </w:pPr>
      <w:r w:rsidRPr="004F69A8">
        <w:rPr>
          <w:rFonts w:cstheme="minorHAnsi"/>
          <w:b/>
          <w:bCs/>
          <w:sz w:val="32"/>
          <w:szCs w:val="32"/>
        </w:rPr>
        <w:t>Impact of Bulk Purchasing on Cost Savings</w:t>
      </w:r>
    </w:p>
    <w:p w14:paraId="6C8CBE26" w14:textId="4007C604" w:rsidR="004F69A8" w:rsidRP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Vendors buying in large quantities receive a 72% lower unit cost ($10.78 per unit vs. higher unit costs in smaller orders).</w:t>
      </w:r>
    </w:p>
    <w:p w14:paraId="34D5A83B" w14:textId="6E67B36F" w:rsid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Bulk pricing strategies encourage larger orders, increasing total sales while maintaining profitability.</w:t>
      </w:r>
    </w:p>
    <w:p w14:paraId="0F0DE1D2" w14:textId="12545F03" w:rsidR="004F69A8" w:rsidRDefault="004F69A8" w:rsidP="004F69A8">
      <w:pPr>
        <w:jc w:val="center"/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drawing>
          <wp:inline distT="0" distB="0" distL="0" distR="0" wp14:anchorId="49CDAC7D" wp14:editId="6ACB1E86">
            <wp:extent cx="1953260" cy="1489363"/>
            <wp:effectExtent l="0" t="0" r="8890" b="0"/>
            <wp:docPr id="7609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9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406" cy="149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0719" w14:textId="609BB294" w:rsidR="004F69A8" w:rsidRPr="004F69A8" w:rsidRDefault="004F69A8" w:rsidP="004F69A8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2"/>
          <w:szCs w:val="32"/>
        </w:rPr>
      </w:pPr>
      <w:r w:rsidRPr="004F69A8">
        <w:rPr>
          <w:rFonts w:cstheme="minorHAnsi"/>
          <w:b/>
          <w:bCs/>
          <w:sz w:val="32"/>
          <w:szCs w:val="32"/>
        </w:rPr>
        <w:t>Identifying Vendors with Low Inventory Turnover</w:t>
      </w:r>
    </w:p>
    <w:p w14:paraId="5CB48E4B" w14:textId="098180E0" w:rsidR="004F69A8" w:rsidRP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Total Unsold Inventory Capital: $2.71M</w:t>
      </w:r>
    </w:p>
    <w:p w14:paraId="11F032D8" w14:textId="4839BF75" w:rsidR="004F69A8" w:rsidRPr="004F69A8" w:rsidRDefault="004F69A8" w:rsidP="004F69A8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lastRenderedPageBreak/>
        <w:t>Slow-moving inventory increases storage costs, reduces cash flow efficiency, and affects overall profitability.</w:t>
      </w:r>
    </w:p>
    <w:p w14:paraId="447D2B81" w14:textId="6B51F9F8" w:rsidR="00815547" w:rsidRDefault="004F69A8" w:rsidP="00815547">
      <w:pPr>
        <w:rPr>
          <w:rFonts w:cstheme="minorHAnsi"/>
          <w:sz w:val="32"/>
          <w:szCs w:val="32"/>
        </w:rPr>
      </w:pPr>
      <w:r w:rsidRPr="004F69A8">
        <w:rPr>
          <w:rFonts w:cstheme="minorHAnsi"/>
          <w:sz w:val="32"/>
          <w:szCs w:val="32"/>
        </w:rPr>
        <w:t>Identifying vendors with low inventory turnover enables better stock management, minimizing financial strain.</w:t>
      </w:r>
      <w:r w:rsidR="00815547" w:rsidRPr="00815547">
        <w:rPr>
          <w:rFonts w:cstheme="minorHAnsi"/>
          <w:noProof/>
          <w:sz w:val="32"/>
          <w:szCs w:val="32"/>
        </w:rPr>
        <w:t xml:space="preserve"> </w:t>
      </w:r>
    </w:p>
    <w:p w14:paraId="2AA8D3AE" w14:textId="430A7AAE" w:rsidR="004F69A8" w:rsidRDefault="00815547" w:rsidP="00815547">
      <w:pPr>
        <w:jc w:val="right"/>
        <w:rPr>
          <w:rFonts w:cstheme="minorHAnsi"/>
          <w:noProof/>
          <w:sz w:val="32"/>
          <w:szCs w:val="32"/>
        </w:rPr>
      </w:pPr>
      <w:r w:rsidRPr="00815547">
        <w:rPr>
          <w:rFonts w:cstheme="minorHAnsi"/>
          <w:sz w:val="32"/>
          <w:szCs w:val="32"/>
        </w:rPr>
        <w:drawing>
          <wp:inline distT="0" distB="0" distL="0" distR="0" wp14:anchorId="5A44B02B" wp14:editId="1827473A">
            <wp:extent cx="2552921" cy="2827265"/>
            <wp:effectExtent l="0" t="0" r="0" b="0"/>
            <wp:docPr id="11022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4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32"/>
          <w:szCs w:val="32"/>
        </w:rPr>
        <w:t xml:space="preserve">      </w:t>
      </w:r>
      <w:r>
        <w:rPr>
          <w:rFonts w:cstheme="minorHAnsi"/>
          <w:noProof/>
          <w:sz w:val="32"/>
          <w:szCs w:val="32"/>
        </w:rPr>
        <w:drawing>
          <wp:inline distT="0" distB="0" distL="0" distR="0" wp14:anchorId="41F3EFC2" wp14:editId="4641B593">
            <wp:extent cx="2872740" cy="2567940"/>
            <wp:effectExtent l="0" t="0" r="3810" b="3810"/>
            <wp:docPr id="15857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355CA" w14:textId="772BB08B" w:rsidR="00815547" w:rsidRPr="00815547" w:rsidRDefault="00815547" w:rsidP="0081554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2"/>
          <w:szCs w:val="32"/>
        </w:rPr>
      </w:pPr>
      <w:r w:rsidRPr="00815547">
        <w:rPr>
          <w:rFonts w:cstheme="minorHAnsi"/>
          <w:b/>
          <w:bCs/>
          <w:sz w:val="32"/>
          <w:szCs w:val="32"/>
        </w:rPr>
        <w:t>Profit Margin Comparison: High vs. Low-Performing Vendors</w:t>
      </w:r>
    </w:p>
    <w:p w14:paraId="132BFAD9" w14:textId="43EC2E94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Top Vendors' Profit Margin (95% CI): (30.74%, 31.61%), Mean: 31.17%</w:t>
      </w:r>
    </w:p>
    <w:p w14:paraId="3B3472C7" w14:textId="56C3CF10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Low Vendors' Profit Margin (95% CI): (40.48%, 42.62%), Mean: 41.55%</w:t>
      </w:r>
    </w:p>
    <w:p w14:paraId="1146C9F7" w14:textId="30EB76D9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Low-performing vendors maintain higher margins but struggle with sales volumes, indicating potential pricing inefficiencies or market reach issues.</w:t>
      </w:r>
    </w:p>
    <w:p w14:paraId="64F32D74" w14:textId="63BED335" w:rsid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Actionable Insights:</w:t>
      </w:r>
    </w:p>
    <w:p w14:paraId="1E192456" w14:textId="624B5435" w:rsidR="00815547" w:rsidRDefault="00815547" w:rsidP="00815547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Top-performing vendors: Optimize profitability by adjusting pricing, reducing operational costs, or offering bundled promotions.</w:t>
      </w:r>
    </w:p>
    <w:p w14:paraId="7722ED54" w14:textId="2E3F897B" w:rsidR="00815547" w:rsidRDefault="00815547" w:rsidP="00815547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Low-performing vendors: Improve marketing efforts, optimize pricing strategies, and enhance distribution networks.</w:t>
      </w:r>
    </w:p>
    <w:p w14:paraId="0489E0A8" w14:textId="318B13CB" w:rsid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lastRenderedPageBreak/>
        <w:drawing>
          <wp:inline distT="0" distB="0" distL="0" distR="0" wp14:anchorId="3F831056" wp14:editId="43E5DC4B">
            <wp:extent cx="5731510" cy="3122930"/>
            <wp:effectExtent l="0" t="0" r="2540" b="1270"/>
            <wp:docPr id="10787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2B5B" w14:textId="77777777" w:rsidR="00815547" w:rsidRDefault="00815547" w:rsidP="00815547">
      <w:pPr>
        <w:rPr>
          <w:rFonts w:cstheme="minorHAnsi"/>
          <w:sz w:val="32"/>
          <w:szCs w:val="32"/>
        </w:rPr>
      </w:pPr>
    </w:p>
    <w:p w14:paraId="248B450D" w14:textId="1AC7EC07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b/>
          <w:bCs/>
          <w:color w:val="EE0000"/>
          <w:sz w:val="40"/>
          <w:szCs w:val="40"/>
        </w:rPr>
        <w:t>Final Recommendations</w:t>
      </w:r>
    </w:p>
    <w:p w14:paraId="167409A2" w14:textId="0DE4BA33" w:rsid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Re-evaluate pricing for low-sales, high-margin brands to boost sales volume without sacrificing profitability.</w:t>
      </w:r>
    </w:p>
    <w:p w14:paraId="6433BEED" w14:textId="0F66AD05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Diversify vendor partnerships to reduce dependency on a few suppliers and mitigate supply chain risks.</w:t>
      </w:r>
    </w:p>
    <w:p w14:paraId="4BC45C5E" w14:textId="71085AE7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Leverage bulk purchasing advantages to maintain competitive pricing while optimizing inventory management.</w:t>
      </w:r>
    </w:p>
    <w:p w14:paraId="0D0F24C4" w14:textId="689431B2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Optimize slow-moving inventory by adjusting purchase quantities, launching clearance sales, or revising storage strategies.</w:t>
      </w:r>
    </w:p>
    <w:p w14:paraId="0375C8AC" w14:textId="18437B84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Enhance marketing and distribution strategies for low-performing vendors to drive higher sales volumes without compromising profit margins.</w:t>
      </w:r>
    </w:p>
    <w:p w14:paraId="12949378" w14:textId="58A00EDA" w:rsid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t>By implementing these recommendations, the company can achieve sustainable profitability, mitigate risks, and enhance overall operational efficiency</w:t>
      </w:r>
    </w:p>
    <w:p w14:paraId="70773BC5" w14:textId="77777777" w:rsidR="00815547" w:rsidRDefault="00815547" w:rsidP="00815547">
      <w:pPr>
        <w:rPr>
          <w:rFonts w:cstheme="minorHAnsi"/>
          <w:sz w:val="32"/>
          <w:szCs w:val="32"/>
        </w:rPr>
      </w:pPr>
    </w:p>
    <w:p w14:paraId="7B43DA2D" w14:textId="31BA461B" w:rsid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lastRenderedPageBreak/>
        <w:drawing>
          <wp:inline distT="0" distB="0" distL="0" distR="0" wp14:anchorId="03334E7D" wp14:editId="772DA49B">
            <wp:extent cx="5731510" cy="3227070"/>
            <wp:effectExtent l="0" t="0" r="2540" b="0"/>
            <wp:docPr id="61380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6D97" w14:textId="5220506D" w:rsidR="00815547" w:rsidRPr="00815547" w:rsidRDefault="00815547" w:rsidP="00815547">
      <w:pPr>
        <w:rPr>
          <w:rFonts w:cstheme="minorHAnsi"/>
          <w:sz w:val="32"/>
          <w:szCs w:val="32"/>
        </w:rPr>
      </w:pPr>
      <w:r w:rsidRPr="00815547">
        <w:rPr>
          <w:rFonts w:cstheme="minorHAnsi"/>
          <w:sz w:val="32"/>
          <w:szCs w:val="32"/>
        </w:rPr>
        <w:drawing>
          <wp:inline distT="0" distB="0" distL="0" distR="0" wp14:anchorId="17220FF9" wp14:editId="2AD75B4B">
            <wp:extent cx="5731510" cy="3253105"/>
            <wp:effectExtent l="0" t="0" r="2540" b="4445"/>
            <wp:docPr id="813414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8101" w14:textId="77777777" w:rsidR="00815547" w:rsidRPr="00815547" w:rsidRDefault="00815547" w:rsidP="00815547">
      <w:pPr>
        <w:rPr>
          <w:rFonts w:cstheme="minorHAnsi"/>
          <w:sz w:val="32"/>
          <w:szCs w:val="32"/>
        </w:rPr>
      </w:pPr>
    </w:p>
    <w:p w14:paraId="139B43AE" w14:textId="71A1F705" w:rsidR="004F69A8" w:rsidRPr="004F69A8" w:rsidRDefault="004F69A8" w:rsidP="004F69A8">
      <w:pPr>
        <w:rPr>
          <w:rFonts w:cstheme="minorHAnsi"/>
          <w:sz w:val="32"/>
          <w:szCs w:val="32"/>
        </w:rPr>
      </w:pPr>
    </w:p>
    <w:sectPr w:rsidR="004F69A8" w:rsidRPr="004F6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10B81"/>
    <w:multiLevelType w:val="hybridMultilevel"/>
    <w:tmpl w:val="22A8C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77CA0"/>
    <w:multiLevelType w:val="hybridMultilevel"/>
    <w:tmpl w:val="9A22A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812C2"/>
    <w:multiLevelType w:val="hybridMultilevel"/>
    <w:tmpl w:val="7ED4F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147955">
    <w:abstractNumId w:val="0"/>
  </w:num>
  <w:num w:numId="2" w16cid:durableId="830020814">
    <w:abstractNumId w:val="1"/>
  </w:num>
  <w:num w:numId="3" w16cid:durableId="675041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B0"/>
    <w:rsid w:val="001848B0"/>
    <w:rsid w:val="00352F2B"/>
    <w:rsid w:val="003B1C03"/>
    <w:rsid w:val="004F69A8"/>
    <w:rsid w:val="007B737F"/>
    <w:rsid w:val="00815547"/>
    <w:rsid w:val="00F14D52"/>
    <w:rsid w:val="00FE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5B8A"/>
  <w15:chartTrackingRefBased/>
  <w15:docId w15:val="{DEE943F5-26BE-4B8D-837F-5A10094C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Dabhade</dc:creator>
  <cp:keywords/>
  <dc:description/>
  <cp:lastModifiedBy>Karan Dabhade</cp:lastModifiedBy>
  <cp:revision>2</cp:revision>
  <cp:lastPrinted>2026-08-16T14:46:00Z</cp:lastPrinted>
  <dcterms:created xsi:type="dcterms:W3CDTF">2026-08-16T14:06:00Z</dcterms:created>
  <dcterms:modified xsi:type="dcterms:W3CDTF">2026-08-16T14:46:00Z</dcterms:modified>
</cp:coreProperties>
</file>