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PII Redaction Tool — Evaluation Report</w:t>
      </w:r>
    </w:p>
    <w:p>
      <w:r>
        <w:rPr>
          <w:b/>
          <w:sz w:val="22"/>
        </w:rPr>
        <w:t>Assignment: PII Redaction Tool  |  Scaler AI Labs Round 2</w:t>
      </w:r>
    </w:p>
    <w:p>
      <w:r>
        <w:rPr>
          <w:b w:val="0"/>
          <w:sz w:val="22"/>
        </w:rPr>
        <w:t>Document processed: Red Herring Prospectus (KSH International Limited)</w:t>
      </w:r>
    </w:p>
    <w:p>
      <w:r>
        <w:rPr>
          <w:b w:val="0"/>
          <w:sz w:val="22"/>
        </w:rPr>
        <w:t>Evaluation date: August 2026</w:t>
      </w:r>
    </w:p>
    <w:p/>
    <w:p>
      <w:pPr>
        <w:pStyle w:val="Heading1"/>
        <w:jc w:val="left"/>
      </w:pPr>
      <w:r>
        <w:t>1. Evaluation Approach</w:t>
      </w:r>
    </w:p>
    <w:p>
      <w:r>
        <w:rPr>
          <w:b w:val="0"/>
          <w:sz w:val="22"/>
        </w:rPr>
        <w:t>The evaluation uses a hand-labelled ground-truth dataset of 30 representative sentences drawn directly from the Red Herring Prospectus document. Each sentence was annotated with the PII entities present (type + exact string value). The redactor pipeline was then run on the same sentences, and TP/FP/FN counts were computed by checking whether each annotated value was still present in the output.</w:t>
      </w:r>
    </w:p>
    <w:p/>
    <w:p>
      <w:r>
        <w:rPr>
          <w:b/>
          <w:sz w:val="22"/>
        </w:rPr>
        <w:t>Definitions:</w:t>
      </w:r>
    </w:p>
    <w:p>
      <w:r>
        <w:rPr>
          <w:b w:val="0"/>
          <w:sz w:val="22"/>
        </w:rPr>
        <w:t xml:space="preserve">  • TP (True Positive)   — A PII entity correctly identified and replaced.</w:t>
      </w:r>
    </w:p>
    <w:p>
      <w:r>
        <w:rPr>
          <w:b w:val="0"/>
          <w:sz w:val="22"/>
        </w:rPr>
        <w:t xml:space="preserve">  • FP (False Positive)  — Non-PII text that was incorrectly modified.</w:t>
      </w:r>
    </w:p>
    <w:p>
      <w:r>
        <w:rPr>
          <w:b w:val="0"/>
          <w:sz w:val="22"/>
        </w:rPr>
        <w:t xml:space="preserve">  • FN (False Negative)  — A PII entity that was missed (still visible in output).</w:t>
      </w:r>
    </w:p>
    <w:p>
      <w:r>
        <w:rPr>
          <w:b w:val="0"/>
          <w:sz w:val="22"/>
        </w:rPr>
        <w:t xml:space="preserve">  • Precision = TP / (TP + FP)</w:t>
      </w:r>
    </w:p>
    <w:p>
      <w:r>
        <w:rPr>
          <w:b w:val="0"/>
          <w:sz w:val="22"/>
        </w:rPr>
        <w:t xml:space="preserve">  • Recall    = TP / (TP + FN)</w:t>
      </w:r>
    </w:p>
    <w:p>
      <w:r>
        <w:rPr>
          <w:b w:val="0"/>
          <w:sz w:val="22"/>
        </w:rPr>
        <w:t xml:space="preserve">  • F1        = 2 × Precision × Recall / (Precision + Recall)</w:t>
      </w:r>
    </w:p>
    <w:p/>
    <w:p>
      <w:pPr>
        <w:pStyle w:val="Heading1"/>
        <w:jc w:val="left"/>
      </w:pPr>
      <w:r>
        <w:t>2. Results by PII Category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PII Category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F1 Score</w:t>
            </w:r>
          </w:p>
        </w:tc>
      </w:tr>
      <w:tr>
        <w:tc>
          <w:tcPr>
            <w:tcW w:type="dxa" w:w="1234"/>
          </w:tcPr>
          <w:p>
            <w:r>
              <w:t>EMAIL</w:t>
            </w:r>
          </w:p>
        </w:tc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100.00%</w:t>
            </w:r>
          </w:p>
        </w:tc>
        <w:tc>
          <w:tcPr>
            <w:tcW w:type="dxa" w:w="1234"/>
          </w:tcPr>
          <w:p>
            <w:r>
              <w:t>100.00%</w:t>
            </w:r>
          </w:p>
        </w:tc>
        <w:tc>
          <w:tcPr>
            <w:tcW w:type="dxa" w:w="1234"/>
          </w:tcPr>
          <w:p>
            <w:r>
              <w:t>100.00%</w:t>
            </w:r>
          </w:p>
        </w:tc>
      </w:tr>
      <w:tr>
        <w:tc>
          <w:tcPr>
            <w:tcW w:type="dxa" w:w="1234"/>
          </w:tcPr>
          <w:p>
            <w:r>
              <w:t>PERSON (Name)</w:t>
            </w:r>
          </w:p>
        </w:tc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100.00%</w:t>
            </w:r>
          </w:p>
        </w:tc>
        <w:tc>
          <w:tcPr>
            <w:tcW w:type="dxa" w:w="1234"/>
          </w:tcPr>
          <w:p>
            <w:r>
              <w:t>100.00%</w:t>
            </w:r>
          </w:p>
        </w:tc>
        <w:tc>
          <w:tcPr>
            <w:tcW w:type="dxa" w:w="1234"/>
          </w:tcPr>
          <w:p>
            <w:r>
              <w:t>100.00%</w:t>
            </w:r>
          </w:p>
        </w:tc>
      </w:tr>
      <w:tr>
        <w:tc>
          <w:tcPr>
            <w:tcW w:type="dxa" w:w="1234"/>
          </w:tcPr>
          <w:p>
            <w:r>
              <w:t>PHONE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100.00%</w:t>
            </w:r>
          </w:p>
        </w:tc>
        <w:tc>
          <w:tcPr>
            <w:tcW w:type="dxa" w:w="1234"/>
          </w:tcPr>
          <w:p>
            <w:r>
              <w:t>100.00%</w:t>
            </w:r>
          </w:p>
        </w:tc>
        <w:tc>
          <w:tcPr>
            <w:tcW w:type="dxa" w:w="1234"/>
          </w:tcPr>
          <w:p>
            <w:r>
              <w:t>100.00%</w:t>
            </w:r>
          </w:p>
        </w:tc>
      </w:tr>
      <w:tr>
        <w:tc>
          <w:tcPr>
            <w:tcW w:type="dxa" w:w="1234"/>
          </w:tcPr>
          <w:p>
            <w:r>
              <w:t>FP (non-PII)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OVERALL</w:t>
            </w:r>
          </w:p>
        </w:tc>
        <w:tc>
          <w:tcPr>
            <w:tcW w:type="dxa" w:w="1234"/>
          </w:tcPr>
          <w:p>
            <w:r>
              <w:t>43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95.56%</w:t>
            </w:r>
          </w:p>
        </w:tc>
        <w:tc>
          <w:tcPr>
            <w:tcW w:type="dxa" w:w="1234"/>
          </w:tcPr>
          <w:p>
            <w:r>
              <w:t>100.00%</w:t>
            </w:r>
          </w:p>
        </w:tc>
        <w:tc>
          <w:tcPr>
            <w:tcW w:type="dxa" w:w="1234"/>
          </w:tcPr>
          <w:p>
            <w:r>
              <w:t>97.73%</w:t>
            </w:r>
          </w:p>
        </w:tc>
      </w:tr>
    </w:tbl>
    <w:p/>
    <w:p>
      <w:pPr>
        <w:pStyle w:val="Heading1"/>
        <w:jc w:val="left"/>
      </w:pPr>
      <w:r>
        <w:t>3. Full Document Redaction Summary</w:t>
      </w:r>
    </w:p>
    <w:p>
      <w:r>
        <w:rPr>
          <w:b w:val="0"/>
          <w:sz w:val="22"/>
        </w:rPr>
        <w:t>After running the redactor on the complete 1,006-paragraph, 76-table document, the following replacements were made: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Unique values redacted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Total replacements</w:t>
            </w:r>
          </w:p>
        </w:tc>
      </w:tr>
      <w:tr>
        <w:tc>
          <w:tcPr>
            <w:tcW w:type="dxa" w:w="2880"/>
          </w:tcPr>
          <w:p>
            <w:r>
              <w:t>Names (PERSON)</w:t>
            </w:r>
          </w:p>
        </w:tc>
        <w:tc>
          <w:tcPr>
            <w:tcW w:type="dxa" w:w="2880"/>
          </w:tcPr>
          <w:p>
            <w:r>
              <w:t>~120 unique</w:t>
            </w:r>
          </w:p>
        </w:tc>
        <w:tc>
          <w:tcPr>
            <w:tcW w:type="dxa" w:w="2880"/>
          </w:tcPr>
          <w:p>
            <w:r>
              <w:t>1,031</w:t>
            </w:r>
          </w:p>
        </w:tc>
      </w:tr>
      <w:tr>
        <w:tc>
          <w:tcPr>
            <w:tcW w:type="dxa" w:w="2880"/>
          </w:tcPr>
          <w:p>
            <w:r>
              <w:t>Emails</w:t>
            </w:r>
          </w:p>
        </w:tc>
        <w:tc>
          <w:tcPr>
            <w:tcW w:type="dxa" w:w="2880"/>
          </w:tcPr>
          <w:p>
            <w:r>
              <w:t>~26 unique</w:t>
            </w:r>
          </w:p>
        </w:tc>
        <w:tc>
          <w:tcPr>
            <w:tcW w:type="dxa" w:w="2880"/>
          </w:tcPr>
          <w:p>
            <w:r>
              <w:t>64</w:t>
            </w:r>
          </w:p>
        </w:tc>
      </w:tr>
      <w:tr>
        <w:tc>
          <w:tcPr>
            <w:tcW w:type="dxa" w:w="2880"/>
          </w:tcPr>
          <w:p>
            <w:r>
              <w:t>Phone numbers</w:t>
            </w:r>
          </w:p>
        </w:tc>
        <w:tc>
          <w:tcPr>
            <w:tcW w:type="dxa" w:w="2880"/>
          </w:tcPr>
          <w:p>
            <w:r>
              <w:t>~15 unique</w:t>
            </w:r>
          </w:p>
        </w:tc>
        <w:tc>
          <w:tcPr>
            <w:tcW w:type="dxa" w:w="2880"/>
          </w:tcPr>
          <w:p>
            <w:r>
              <w:t>48</w:t>
            </w:r>
          </w:p>
        </w:tc>
      </w:tr>
      <w:tr>
        <w:tc>
          <w:tcPr>
            <w:tcW w:type="dxa" w:w="2880"/>
          </w:tcPr>
          <w:p>
            <w:r>
              <w:t>Organisations</w:t>
            </w:r>
          </w:p>
        </w:tc>
        <w:tc>
          <w:tcPr>
            <w:tcW w:type="dxa" w:w="2880"/>
          </w:tcPr>
          <w:p>
            <w:r>
              <w:t>~200 unique</w:t>
            </w:r>
          </w:p>
        </w:tc>
        <w:tc>
          <w:tcPr>
            <w:tcW w:type="dxa" w:w="2880"/>
          </w:tcPr>
          <w:p>
            <w:r>
              <w:t>1,403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2,546</w:t>
            </w:r>
          </w:p>
        </w:tc>
      </w:tr>
    </w:tbl>
    <w:p/>
    <w:p>
      <w:pPr>
        <w:pStyle w:val="Heading1"/>
        <w:jc w:val="left"/>
      </w:pPr>
      <w:r>
        <w:t>4. Error Analysis</w:t>
      </w:r>
    </w:p>
    <w:p>
      <w:pPr>
        <w:pStyle w:val="Heading2"/>
        <w:jc w:val="left"/>
      </w:pPr>
      <w:r>
        <w:t>4.1 False Negatives (Missed PII) — 0 cases</w:t>
      </w:r>
    </w:p>
    <w:p>
      <w:r>
        <w:rPr>
          <w:b w:val="0"/>
          <w:sz w:val="22"/>
        </w:rPr>
        <w:t>The hybrid pipeline achieved 100.00% Recall across all evaluated PII categories (Emails, Phones, and Person Names). All target sensitive data points present in the evaluated sample set were successfully identified and replaced.</w:t>
      </w:r>
    </w:p>
    <w:p>
      <w:pPr>
        <w:pStyle w:val="Heading2"/>
        <w:jc w:val="left"/>
      </w:pPr>
      <w:r>
        <w:t>4.2 False Positives — 2 cases</w:t>
      </w:r>
    </w:p>
    <w:p>
      <w:r>
        <w:rPr>
          <w:b w:val="0"/>
          <w:sz w:val="22"/>
        </w:rPr>
        <w:t>2 non-PII sentences experienced text modifications caused by spaCy's ORG entity detection firing on generic industry terms. These are non-sensitive corporate/domain phrases rather than individual PII. Mitigation: expanding the domain whitelist further suppresses these benign matches.</w:t>
      </w:r>
    </w:p>
    <w:p/>
    <w:p>
      <w:pPr>
        <w:pStyle w:val="Heading1"/>
        <w:jc w:val="left"/>
      </w:pPr>
      <w:r>
        <w:t>5. Key Methodology Notes</w:t>
      </w:r>
    </w:p>
    <w:p>
      <w:r>
        <w:rPr>
          <w:b w:val="0"/>
          <w:sz w:val="22"/>
        </w:rPr>
        <w:t>• Consistency: Every unique real PII value maps to one consistent fake value across the entire document (registry-based replacement).</w:t>
        <w:br/>
        <w:t>• Financial dates are deliberately NOT redacted (only birth-context dates are targeted).</w:t>
        <w:br/>
        <w:t>• Regulatory acronyms (SEBI, RBI, NSDL, etc.) are whitelisted to preserve document integrity.</w:t>
        <w:br/>
        <w:t>• Formatting is preserved — bold/italic/font styles remain intact after redaction.</w:t>
        <w:br/>
        <w:t>• The script is fully deterministic (Faker seed = 42), so output is reproducible.</w:t>
      </w:r>
    </w:p>
    <w:p/>
    <w:p>
      <w:pPr>
        <w:pStyle w:val="Heading1"/>
        <w:jc w:val="left"/>
      </w:pPr>
      <w:r>
        <w:t>6. Conclusion</w:t>
      </w:r>
    </w:p>
    <w:p>
      <w:r>
        <w:rPr>
          <w:b w:val="0"/>
          <w:sz w:val="22"/>
        </w:rPr>
        <w:t>The hybrid Regex + spaCy pipeline achieves 95.56% Precision, 100.00% Recall, and an F1 score of 97.73% on the 30-sentence hand-labelled evaluation set. All PII types (emails, phone numbers, and contact names) achieved 100% recall.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