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6C914" w14:textId="77777777" w:rsidR="00154CC9" w:rsidRPr="00AF4828" w:rsidRDefault="00154CC9" w:rsidP="00154CC9">
      <w:pPr>
        <w:spacing w:before="360" w:after="120"/>
        <w:jc w:val="center"/>
        <w:rPr>
          <w:rFonts w:ascii="Lora" w:hAnsi="Lora"/>
        </w:rPr>
      </w:pPr>
      <w:r w:rsidRPr="00AF4828">
        <w:rPr>
          <w:rFonts w:ascii="Lora" w:hAnsi="Lora"/>
          <w:b/>
          <w:bCs/>
          <w:caps/>
          <w:color w:val="1F4788"/>
          <w:sz w:val="26"/>
          <w:szCs w:val="26"/>
        </w:rPr>
        <w:t>INDIAN INSTITUTE OF TECHNOLOGY MADRAS</w:t>
      </w:r>
    </w:p>
    <w:p w14:paraId="033CEE4B" w14:textId="77777777" w:rsidR="00154CC9" w:rsidRPr="00B73D4B" w:rsidRDefault="00154CC9" w:rsidP="00154CC9">
      <w:pPr>
        <w:pBdr>
          <w:bottom w:val="single" w:sz="12" w:space="1" w:color="auto"/>
        </w:pBdr>
        <w:spacing w:after="120"/>
        <w:jc w:val="center"/>
        <w:rPr>
          <w:rFonts w:ascii="Lora" w:hAnsi="Lora"/>
          <w:color w:val="2E5C8A"/>
          <w:sz w:val="24"/>
          <w:szCs w:val="24"/>
        </w:rPr>
      </w:pPr>
      <w:r w:rsidRPr="00B73D4B">
        <w:rPr>
          <w:rFonts w:ascii="Lora" w:hAnsi="Lora"/>
          <w:color w:val="2E5C8A"/>
          <w:sz w:val="24"/>
          <w:szCs w:val="24"/>
        </w:rPr>
        <w:t>Department of Engineering Design</w:t>
      </w:r>
    </w:p>
    <w:p w14:paraId="60443965" w14:textId="77777777" w:rsidR="00AF4828" w:rsidRPr="00AF4828" w:rsidRDefault="00AF4828" w:rsidP="00154CC9">
      <w:pPr>
        <w:pBdr>
          <w:bottom w:val="single" w:sz="12" w:space="1" w:color="auto"/>
        </w:pBdr>
        <w:spacing w:after="120"/>
        <w:jc w:val="center"/>
        <w:rPr>
          <w:rFonts w:ascii="Lora" w:hAnsi="Lora"/>
        </w:rPr>
      </w:pPr>
    </w:p>
    <w:p w14:paraId="192A1755" w14:textId="77777777" w:rsidR="00154CC9" w:rsidRPr="00B73D4B" w:rsidRDefault="00154CC9" w:rsidP="00154CC9">
      <w:pPr>
        <w:spacing w:after="80"/>
        <w:jc w:val="center"/>
        <w:rPr>
          <w:rFonts w:ascii="Lora" w:hAnsi="Lora"/>
          <w:sz w:val="24"/>
          <w:szCs w:val="24"/>
        </w:rPr>
      </w:pPr>
      <w:r w:rsidRPr="00B73D4B">
        <w:rPr>
          <w:rFonts w:ascii="Lora" w:hAnsi="Lora"/>
          <w:b/>
          <w:bCs/>
          <w:color w:val="1F4788"/>
          <w:sz w:val="24"/>
          <w:szCs w:val="24"/>
        </w:rPr>
        <w:t>ED6001</w:t>
      </w:r>
    </w:p>
    <w:p w14:paraId="7ECDD6D1" w14:textId="77777777" w:rsidR="00154CC9" w:rsidRPr="00B73D4B" w:rsidRDefault="00154CC9" w:rsidP="00154CC9">
      <w:pPr>
        <w:spacing w:after="80"/>
        <w:jc w:val="center"/>
        <w:rPr>
          <w:rFonts w:ascii="Lora" w:hAnsi="Lora"/>
          <w:sz w:val="24"/>
          <w:szCs w:val="24"/>
        </w:rPr>
      </w:pPr>
      <w:r w:rsidRPr="00B73D4B">
        <w:rPr>
          <w:rFonts w:ascii="Lora" w:hAnsi="Lora"/>
          <w:b/>
          <w:bCs/>
          <w:color w:val="2E5C8A"/>
          <w:sz w:val="24"/>
          <w:szCs w:val="24"/>
        </w:rPr>
        <w:t>Medical Image Analysis</w:t>
      </w:r>
    </w:p>
    <w:p w14:paraId="39B6FFF2" w14:textId="77777777" w:rsidR="00154CC9" w:rsidRPr="00B73D4B" w:rsidRDefault="00154CC9" w:rsidP="00154CC9">
      <w:pPr>
        <w:pBdr>
          <w:bottom w:val="single" w:sz="12" w:space="1" w:color="auto"/>
        </w:pBdr>
        <w:spacing w:after="360"/>
        <w:jc w:val="center"/>
        <w:rPr>
          <w:rFonts w:ascii="Lora" w:hAnsi="Lora"/>
          <w:i/>
          <w:iCs/>
          <w:color w:val="666666"/>
          <w:sz w:val="24"/>
          <w:szCs w:val="24"/>
        </w:rPr>
      </w:pPr>
      <w:r w:rsidRPr="00B73D4B">
        <w:rPr>
          <w:rFonts w:ascii="Lora" w:hAnsi="Lora"/>
          <w:i/>
          <w:iCs/>
          <w:color w:val="666666"/>
          <w:sz w:val="24"/>
          <w:szCs w:val="24"/>
        </w:rPr>
        <w:t>Mini-Project Report</w:t>
      </w:r>
    </w:p>
    <w:p w14:paraId="5A91DEFC" w14:textId="77777777" w:rsidR="00AF4828" w:rsidRDefault="00AF4828" w:rsidP="00AF4828">
      <w:pPr>
        <w:pBdr>
          <w:bottom w:val="single" w:sz="12" w:space="1" w:color="auto"/>
        </w:pBdr>
        <w:spacing w:before="240" w:after="480"/>
        <w:jc w:val="center"/>
        <w:rPr>
          <w:rFonts w:ascii="Lora" w:hAnsi="Lora"/>
          <w:b/>
          <w:bCs/>
          <w:color w:val="1F4788"/>
          <w:sz w:val="36"/>
          <w:szCs w:val="36"/>
        </w:rPr>
      </w:pPr>
      <w:r w:rsidRPr="00AF4828">
        <w:rPr>
          <w:rFonts w:ascii="Lora" w:hAnsi="Lora"/>
          <w:b/>
          <w:bCs/>
          <w:color w:val="1F4788"/>
          <w:sz w:val="36"/>
          <w:szCs w:val="36"/>
        </w:rPr>
        <w:t>3D LUNG LESION DETECTION USING TEXTURE AND MORPHOLOGICAL FEATURES</w:t>
      </w:r>
    </w:p>
    <w:p w14:paraId="7E7C5936" w14:textId="6F0078BE" w:rsidR="00154CC9" w:rsidRPr="005C57F9" w:rsidRDefault="00154CC9" w:rsidP="00154CC9">
      <w:pPr>
        <w:spacing w:before="240" w:after="480"/>
        <w:jc w:val="center"/>
        <w:rPr>
          <w:rFonts w:ascii="Lora" w:hAnsi="Lora"/>
          <w:b/>
          <w:bCs/>
          <w:sz w:val="24"/>
          <w:szCs w:val="24"/>
        </w:rPr>
      </w:pPr>
      <w:r w:rsidRPr="005C57F9">
        <w:rPr>
          <w:rFonts w:ascii="Lora" w:hAnsi="Lora"/>
          <w:b/>
          <w:bCs/>
          <w:i/>
          <w:iCs/>
          <w:color w:val="666666"/>
          <w:sz w:val="24"/>
          <w:szCs w:val="24"/>
        </w:rPr>
        <w:t>Mini-Project Topic #4</w:t>
      </w:r>
    </w:p>
    <w:p w14:paraId="03776315" w14:textId="77777777" w:rsidR="00154CC9" w:rsidRPr="005C57F9" w:rsidRDefault="00154CC9" w:rsidP="00154CC9">
      <w:pPr>
        <w:spacing w:before="360" w:after="120"/>
        <w:jc w:val="center"/>
        <w:rPr>
          <w:rFonts w:ascii="Lora" w:hAnsi="Lora"/>
          <w:sz w:val="24"/>
          <w:szCs w:val="24"/>
        </w:rPr>
      </w:pPr>
      <w:r w:rsidRPr="005C57F9">
        <w:rPr>
          <w:rFonts w:ascii="Lora" w:hAnsi="Lora"/>
          <w:b/>
          <w:bCs/>
          <w:color w:val="1F4788"/>
          <w:sz w:val="24"/>
          <w:szCs w:val="24"/>
        </w:rPr>
        <w:t>Submitted by:</w:t>
      </w:r>
    </w:p>
    <w:p w14:paraId="1620D6DA" w14:textId="3D859935" w:rsidR="00154CC9" w:rsidRPr="005C57F9" w:rsidRDefault="00AF4828" w:rsidP="00154CC9">
      <w:pPr>
        <w:spacing w:after="80"/>
        <w:jc w:val="center"/>
        <w:rPr>
          <w:rFonts w:ascii="Lora" w:hAnsi="Lora"/>
          <w:b/>
          <w:bCs/>
          <w:sz w:val="32"/>
          <w:szCs w:val="32"/>
        </w:rPr>
      </w:pPr>
      <w:r w:rsidRPr="005C57F9">
        <w:rPr>
          <w:rFonts w:ascii="Lora" w:hAnsi="Lora"/>
          <w:b/>
          <w:bCs/>
          <w:sz w:val="32"/>
          <w:szCs w:val="32"/>
        </w:rPr>
        <w:t>Karan Singh</w:t>
      </w:r>
    </w:p>
    <w:p w14:paraId="04DF21D8" w14:textId="59C6275A" w:rsidR="00154CC9" w:rsidRPr="005C57F9" w:rsidRDefault="00154CC9" w:rsidP="00154CC9">
      <w:pPr>
        <w:spacing w:after="240"/>
        <w:jc w:val="center"/>
        <w:rPr>
          <w:rFonts w:ascii="Lora" w:hAnsi="Lora"/>
          <w:color w:val="333333"/>
          <w:sz w:val="32"/>
          <w:szCs w:val="32"/>
        </w:rPr>
      </w:pPr>
      <w:r w:rsidRPr="005C57F9">
        <w:rPr>
          <w:rFonts w:ascii="Lora" w:hAnsi="Lora"/>
          <w:color w:val="333333"/>
          <w:sz w:val="32"/>
          <w:szCs w:val="32"/>
        </w:rPr>
        <w:t xml:space="preserve">Roll Number: </w:t>
      </w:r>
      <w:r w:rsidR="00AF4828" w:rsidRPr="005C57F9">
        <w:rPr>
          <w:rFonts w:ascii="Lora" w:hAnsi="Lora"/>
          <w:b/>
          <w:bCs/>
          <w:color w:val="333333"/>
          <w:sz w:val="32"/>
          <w:szCs w:val="32"/>
        </w:rPr>
        <w:t>ED22B052</w:t>
      </w:r>
      <w:r w:rsidRPr="005C57F9">
        <w:rPr>
          <w:rFonts w:ascii="Lora" w:hAnsi="Lora"/>
          <w:color w:val="333333"/>
          <w:sz w:val="32"/>
          <w:szCs w:val="32"/>
        </w:rPr>
        <w:t xml:space="preserve"> </w:t>
      </w:r>
    </w:p>
    <w:p w14:paraId="4AA0D50E" w14:textId="77777777" w:rsidR="00A91077" w:rsidRPr="005C57F9" w:rsidRDefault="00A91077" w:rsidP="00154CC9">
      <w:pPr>
        <w:spacing w:after="240"/>
        <w:jc w:val="center"/>
        <w:rPr>
          <w:rFonts w:ascii="Lora" w:hAnsi="Lora"/>
          <w:sz w:val="32"/>
          <w:szCs w:val="32"/>
        </w:rPr>
      </w:pPr>
    </w:p>
    <w:p w14:paraId="7F221B3B" w14:textId="77777777" w:rsidR="00154CC9" w:rsidRPr="005C57F9" w:rsidRDefault="00154CC9" w:rsidP="00154CC9">
      <w:pPr>
        <w:spacing w:before="240" w:after="80"/>
        <w:jc w:val="center"/>
        <w:rPr>
          <w:rFonts w:ascii="Lora" w:hAnsi="Lora"/>
          <w:sz w:val="24"/>
          <w:szCs w:val="24"/>
        </w:rPr>
      </w:pPr>
      <w:r w:rsidRPr="005C57F9">
        <w:rPr>
          <w:rFonts w:ascii="Lora" w:hAnsi="Lora"/>
          <w:b/>
          <w:bCs/>
          <w:color w:val="1F4788"/>
          <w:sz w:val="24"/>
          <w:szCs w:val="24"/>
        </w:rPr>
        <w:t>Under the Guidance of:</w:t>
      </w:r>
    </w:p>
    <w:p w14:paraId="5A7B9660" w14:textId="77777777" w:rsidR="00154CC9" w:rsidRPr="005C57F9" w:rsidRDefault="00154CC9" w:rsidP="00154CC9">
      <w:pPr>
        <w:spacing w:after="360"/>
        <w:jc w:val="center"/>
        <w:rPr>
          <w:rFonts w:ascii="Lora" w:hAnsi="Lora"/>
          <w:sz w:val="24"/>
          <w:szCs w:val="24"/>
        </w:rPr>
      </w:pPr>
      <w:r w:rsidRPr="005C57F9">
        <w:rPr>
          <w:rFonts w:ascii="Lora" w:hAnsi="Lora"/>
          <w:b/>
          <w:bCs/>
          <w:color w:val="000000"/>
          <w:sz w:val="24"/>
          <w:szCs w:val="24"/>
        </w:rPr>
        <w:t>Dr. Naresh Kumar Ravichandran</w:t>
      </w:r>
    </w:p>
    <w:p w14:paraId="5244C919" w14:textId="77777777" w:rsidR="00154CC9" w:rsidRPr="005C57F9" w:rsidRDefault="00154CC9" w:rsidP="00154CC9">
      <w:pPr>
        <w:spacing w:before="360" w:after="240"/>
        <w:jc w:val="center"/>
        <w:rPr>
          <w:rFonts w:ascii="Lora" w:hAnsi="Lora"/>
          <w:sz w:val="24"/>
          <w:szCs w:val="24"/>
        </w:rPr>
      </w:pPr>
      <w:r w:rsidRPr="005C57F9">
        <w:rPr>
          <w:rFonts w:ascii="Lora" w:hAnsi="Lora"/>
          <w:b/>
          <w:bCs/>
          <w:color w:val="333333"/>
          <w:sz w:val="24"/>
          <w:szCs w:val="24"/>
        </w:rPr>
        <w:t>November 13, 2025</w:t>
      </w:r>
    </w:p>
    <w:p w14:paraId="1BB9AA96" w14:textId="77777777" w:rsidR="00154CC9" w:rsidRPr="00AF4828" w:rsidRDefault="00154CC9" w:rsidP="00154CC9">
      <w:pPr>
        <w:spacing w:before="360" w:after="240"/>
        <w:jc w:val="center"/>
        <w:rPr>
          <w:rFonts w:ascii="Lora" w:hAnsi="Lora"/>
        </w:rPr>
      </w:pPr>
    </w:p>
    <w:p w14:paraId="394C4234" w14:textId="77777777" w:rsidR="00154CC9" w:rsidRPr="00AF4828" w:rsidRDefault="00154CC9" w:rsidP="00154CC9">
      <w:pPr>
        <w:spacing w:before="360" w:after="240"/>
        <w:jc w:val="center"/>
        <w:rPr>
          <w:rFonts w:ascii="Lora" w:hAnsi="Lora"/>
        </w:rPr>
      </w:pPr>
    </w:p>
    <w:p w14:paraId="08A028DC" w14:textId="77777777" w:rsidR="00154CC9" w:rsidRPr="00AF4828" w:rsidRDefault="00154CC9" w:rsidP="00154CC9">
      <w:pPr>
        <w:spacing w:before="360" w:after="240"/>
        <w:jc w:val="center"/>
        <w:rPr>
          <w:rFonts w:ascii="Lora" w:hAnsi="Lora"/>
        </w:rPr>
      </w:pPr>
    </w:p>
    <w:p w14:paraId="47DD9645" w14:textId="77777777" w:rsidR="00154CC9" w:rsidRPr="00AF4828" w:rsidRDefault="00154CC9" w:rsidP="00154CC9">
      <w:pPr>
        <w:spacing w:before="360" w:after="240"/>
        <w:jc w:val="center"/>
        <w:rPr>
          <w:rFonts w:ascii="Lora" w:hAnsi="Lora"/>
        </w:rPr>
      </w:pPr>
    </w:p>
    <w:p w14:paraId="50BA1FDE" w14:textId="77777777" w:rsidR="00154CC9" w:rsidRPr="00AF4828" w:rsidRDefault="00154CC9" w:rsidP="00154CC9">
      <w:pPr>
        <w:spacing w:before="360" w:after="240"/>
        <w:jc w:val="center"/>
        <w:rPr>
          <w:rFonts w:ascii="Lora" w:hAnsi="Lora"/>
        </w:rPr>
      </w:pPr>
    </w:p>
    <w:p w14:paraId="4267A6E8" w14:textId="77777777" w:rsidR="00154CC9" w:rsidRDefault="00154CC9" w:rsidP="00154CC9">
      <w:pPr>
        <w:spacing w:before="360" w:after="240"/>
        <w:jc w:val="center"/>
        <w:rPr>
          <w:rFonts w:ascii="Lora" w:hAnsi="Lora"/>
        </w:rPr>
      </w:pPr>
    </w:p>
    <w:p w14:paraId="3D9DA7C4" w14:textId="77777777" w:rsidR="00AF4828" w:rsidRPr="00AF4828" w:rsidRDefault="00AF4828" w:rsidP="00154CC9">
      <w:pPr>
        <w:spacing w:before="360" w:after="240"/>
        <w:jc w:val="center"/>
        <w:rPr>
          <w:rFonts w:ascii="Lora" w:hAnsi="Lora"/>
        </w:rPr>
      </w:pPr>
    </w:p>
    <w:p w14:paraId="0E6E0233" w14:textId="77777777" w:rsidR="00154CC9" w:rsidRPr="00AF4828" w:rsidRDefault="00154CC9" w:rsidP="00154CC9">
      <w:pPr>
        <w:spacing w:before="360" w:after="240"/>
        <w:jc w:val="center"/>
        <w:rPr>
          <w:rFonts w:ascii="Lora" w:hAnsi="Lora"/>
        </w:rPr>
      </w:pPr>
    </w:p>
    <w:p w14:paraId="6A7E7AD1" w14:textId="77777777" w:rsidR="00154CC9" w:rsidRPr="00AF4828" w:rsidRDefault="00154CC9" w:rsidP="00403325">
      <w:pPr>
        <w:spacing w:before="360" w:after="240"/>
        <w:rPr>
          <w:rFonts w:ascii="Lora" w:hAnsi="Lora"/>
        </w:rPr>
      </w:pPr>
    </w:p>
    <w:p w14:paraId="105BA44A" w14:textId="13DE82B8" w:rsidR="00064ABF" w:rsidRPr="00E80ADC" w:rsidRDefault="00000000" w:rsidP="00064ABF">
      <w:pPr>
        <w:pStyle w:val="Heading1"/>
        <w:numPr>
          <w:ilvl w:val="0"/>
          <w:numId w:val="2"/>
        </w:numPr>
        <w:tabs>
          <w:tab w:val="left" w:pos="3818"/>
        </w:tabs>
        <w:spacing w:before="6" w:after="6"/>
        <w:rPr>
          <w:rFonts w:ascii="Lora" w:hAnsi="Lora" w:cs="Times New Roman"/>
          <w:color w:val="0070C0"/>
          <w:sz w:val="24"/>
          <w:szCs w:val="24"/>
        </w:rPr>
      </w:pPr>
      <w:r w:rsidRPr="00E80ADC">
        <w:rPr>
          <w:rFonts w:ascii="Lora" w:hAnsi="Lora" w:cs="Times New Roman"/>
          <w:color w:val="0070C0"/>
          <w:sz w:val="24"/>
          <w:szCs w:val="24"/>
        </w:rPr>
        <w:lastRenderedPageBreak/>
        <w:t>Problem Definition &amp; Dataset</w:t>
      </w:r>
      <w:r w:rsidR="00272DF5" w:rsidRPr="00E80ADC">
        <w:rPr>
          <w:rFonts w:ascii="Lora" w:hAnsi="Lora" w:cs="Times New Roman"/>
          <w:color w:val="0070C0"/>
          <w:sz w:val="24"/>
          <w:szCs w:val="24"/>
        </w:rPr>
        <w:tab/>
      </w:r>
    </w:p>
    <w:p w14:paraId="52A6E61F" w14:textId="77777777" w:rsidR="00064ABF" w:rsidRPr="00AF4828" w:rsidRDefault="00064ABF" w:rsidP="00064ABF">
      <w:pPr>
        <w:pStyle w:val="Heading1"/>
        <w:tabs>
          <w:tab w:val="left" w:pos="3818"/>
        </w:tabs>
        <w:spacing w:before="6" w:after="6"/>
        <w:rPr>
          <w:rFonts w:ascii="Lora" w:hAnsi="Lora" w:cs="Times New Roman"/>
          <w:color w:val="0070C0"/>
          <w:sz w:val="20"/>
          <w:szCs w:val="20"/>
        </w:rPr>
      </w:pPr>
    </w:p>
    <w:p w14:paraId="71C61E47" w14:textId="77777777" w:rsidR="00BF6CFE" w:rsidRPr="00AF4828" w:rsidRDefault="00000000" w:rsidP="00064ABF">
      <w:pPr>
        <w:pStyle w:val="Heading2"/>
        <w:spacing w:before="6" w:after="6"/>
        <w:rPr>
          <w:rFonts w:ascii="Lora" w:hAnsi="Lora" w:cs="Times New Roman"/>
          <w:color w:val="404040" w:themeColor="text1" w:themeTint="BF"/>
          <w:sz w:val="20"/>
          <w:szCs w:val="20"/>
        </w:rPr>
      </w:pPr>
      <w:r w:rsidRPr="00AF4828">
        <w:rPr>
          <w:rFonts w:ascii="Lora" w:hAnsi="Lora" w:cs="Times New Roman"/>
          <w:color w:val="404040" w:themeColor="text1" w:themeTint="BF"/>
          <w:sz w:val="20"/>
          <w:szCs w:val="20"/>
        </w:rPr>
        <w:t>1.1 Problem Statement</w:t>
      </w:r>
    </w:p>
    <w:p w14:paraId="5884729E" w14:textId="77777777" w:rsidR="00BF6CFE" w:rsidRPr="00AF4828" w:rsidRDefault="00000000" w:rsidP="00064ABF">
      <w:pPr>
        <w:spacing w:before="6" w:after="6"/>
        <w:jc w:val="both"/>
        <w:rPr>
          <w:rFonts w:ascii="Lora" w:hAnsi="Lora" w:cs="Times New Roman"/>
          <w:color w:val="404040" w:themeColor="text1" w:themeTint="BF"/>
          <w:sz w:val="20"/>
          <w:szCs w:val="20"/>
        </w:rPr>
      </w:pPr>
      <w:r w:rsidRPr="00AF4828">
        <w:rPr>
          <w:rFonts w:ascii="Lora" w:hAnsi="Lora" w:cs="Times New Roman"/>
          <w:color w:val="404040" w:themeColor="text1" w:themeTint="BF"/>
          <w:sz w:val="20"/>
          <w:szCs w:val="20"/>
        </w:rPr>
        <w:t>Lung cancer is a leading cause of cancer-related mortality worldwide, making early detection crucial for improving patient survival rates. Traditional visual assessment of pulmonary nodules on CT scans is subjective and time-consuming. This study develops an automated classification system using 3D texture and morphological features to distinguish between benign and malignant lung nodules, providing objective quantitative analysis to support radiological diagnosis.</w:t>
      </w:r>
    </w:p>
    <w:p w14:paraId="41A27EA9" w14:textId="77777777" w:rsidR="00064ABF" w:rsidRPr="00AF4828" w:rsidRDefault="00064ABF" w:rsidP="00064ABF">
      <w:pPr>
        <w:spacing w:before="6" w:after="6"/>
        <w:jc w:val="both"/>
        <w:rPr>
          <w:rFonts w:ascii="Lora" w:hAnsi="Lora" w:cs="Times New Roman"/>
          <w:color w:val="404040" w:themeColor="text1" w:themeTint="BF"/>
          <w:sz w:val="20"/>
          <w:szCs w:val="20"/>
        </w:rPr>
      </w:pPr>
    </w:p>
    <w:p w14:paraId="6C2DF5BB" w14:textId="77777777" w:rsidR="00BF6CFE" w:rsidRPr="00AF4828" w:rsidRDefault="00000000" w:rsidP="00064ABF">
      <w:pPr>
        <w:pStyle w:val="Heading2"/>
        <w:spacing w:before="6" w:after="6"/>
        <w:rPr>
          <w:rFonts w:ascii="Lora" w:hAnsi="Lora" w:cs="Times New Roman"/>
          <w:color w:val="404040" w:themeColor="text1" w:themeTint="BF"/>
          <w:sz w:val="20"/>
          <w:szCs w:val="20"/>
        </w:rPr>
      </w:pPr>
      <w:r w:rsidRPr="00AF4828">
        <w:rPr>
          <w:rFonts w:ascii="Lora" w:hAnsi="Lora" w:cs="Times New Roman"/>
          <w:color w:val="404040" w:themeColor="text1" w:themeTint="BF"/>
          <w:sz w:val="20"/>
          <w:szCs w:val="20"/>
        </w:rPr>
        <w:t>1.2 Dataset Description</w:t>
      </w:r>
    </w:p>
    <w:p w14:paraId="3A38FB13" w14:textId="77777777" w:rsidR="00BF6CFE" w:rsidRPr="00AF4828" w:rsidRDefault="00000000" w:rsidP="00064ABF">
      <w:pPr>
        <w:spacing w:before="6" w:after="6"/>
        <w:jc w:val="both"/>
        <w:rPr>
          <w:rFonts w:ascii="Lora" w:hAnsi="Lora" w:cs="Times New Roman"/>
          <w:color w:val="404040" w:themeColor="text1" w:themeTint="BF"/>
          <w:sz w:val="20"/>
          <w:szCs w:val="20"/>
        </w:rPr>
      </w:pPr>
      <w:r w:rsidRPr="00AF4828">
        <w:rPr>
          <w:rFonts w:ascii="Lora" w:hAnsi="Lora" w:cs="Times New Roman"/>
          <w:color w:val="404040" w:themeColor="text1" w:themeTint="BF"/>
          <w:sz w:val="20"/>
          <w:szCs w:val="20"/>
        </w:rPr>
        <w:t xml:space="preserve">The Lung Image Database Consortium and Image Database Resource Initiative (LIDC-IDRI) dataset was utilized, comprising 2,066 standardized CT images (128×128 pixels) distributed as follows: </w:t>
      </w:r>
      <w:r w:rsidRPr="00AF4828">
        <w:rPr>
          <w:rFonts w:ascii="Lora" w:hAnsi="Lora" w:cs="Times New Roman"/>
          <w:b/>
          <w:bCs/>
          <w:color w:val="404040" w:themeColor="text1" w:themeTint="BF"/>
          <w:sz w:val="20"/>
          <w:szCs w:val="20"/>
        </w:rPr>
        <w:t>Training: 1,323 images</w:t>
      </w:r>
      <w:r w:rsidRPr="00AF4828">
        <w:rPr>
          <w:rFonts w:ascii="Lora" w:hAnsi="Lora" w:cs="Times New Roman"/>
          <w:color w:val="404040" w:themeColor="text1" w:themeTint="BF"/>
          <w:sz w:val="20"/>
          <w:szCs w:val="20"/>
        </w:rPr>
        <w:t xml:space="preserve"> (650 benign, 673 malignant), </w:t>
      </w:r>
      <w:r w:rsidRPr="00AF4828">
        <w:rPr>
          <w:rFonts w:ascii="Lora" w:hAnsi="Lora" w:cs="Times New Roman"/>
          <w:b/>
          <w:bCs/>
          <w:color w:val="404040" w:themeColor="text1" w:themeTint="BF"/>
          <w:sz w:val="20"/>
          <w:szCs w:val="20"/>
        </w:rPr>
        <w:t>Validation: 330 images</w:t>
      </w:r>
      <w:r w:rsidRPr="00AF4828">
        <w:rPr>
          <w:rFonts w:ascii="Lora" w:hAnsi="Lora" w:cs="Times New Roman"/>
          <w:color w:val="404040" w:themeColor="text1" w:themeTint="BF"/>
          <w:sz w:val="20"/>
          <w:szCs w:val="20"/>
        </w:rPr>
        <w:t xml:space="preserve"> (162 benign, 168 malignant), and </w:t>
      </w:r>
      <w:r w:rsidRPr="00AF4828">
        <w:rPr>
          <w:rFonts w:ascii="Lora" w:hAnsi="Lora" w:cs="Times New Roman"/>
          <w:b/>
          <w:bCs/>
          <w:color w:val="404040" w:themeColor="text1" w:themeTint="BF"/>
          <w:sz w:val="20"/>
          <w:szCs w:val="20"/>
        </w:rPr>
        <w:t>Test: 413 images</w:t>
      </w:r>
      <w:r w:rsidRPr="00AF4828">
        <w:rPr>
          <w:rFonts w:ascii="Lora" w:hAnsi="Lora" w:cs="Times New Roman"/>
          <w:color w:val="404040" w:themeColor="text1" w:themeTint="BF"/>
          <w:sz w:val="20"/>
          <w:szCs w:val="20"/>
        </w:rPr>
        <w:t xml:space="preserve"> (203 benign, 210 malignant). The balanced class distribution minimizes classification bias and ensures robust model training.</w:t>
      </w:r>
    </w:p>
    <w:p w14:paraId="5942EE76" w14:textId="77777777" w:rsidR="00064ABF" w:rsidRPr="00AF4828" w:rsidRDefault="00064ABF" w:rsidP="00064ABF">
      <w:pPr>
        <w:spacing w:before="6" w:after="6"/>
        <w:jc w:val="both"/>
        <w:rPr>
          <w:rFonts w:ascii="Lora" w:hAnsi="Lora" w:cs="Times New Roman"/>
          <w:color w:val="404040" w:themeColor="text1" w:themeTint="BF"/>
          <w:sz w:val="20"/>
          <w:szCs w:val="20"/>
        </w:rPr>
      </w:pPr>
    </w:p>
    <w:p w14:paraId="3704D05C" w14:textId="11E1DF88" w:rsidR="00BF6CFE" w:rsidRPr="00AF4828" w:rsidRDefault="00000000" w:rsidP="00064ABF">
      <w:pPr>
        <w:pStyle w:val="Heading1"/>
        <w:spacing w:before="6" w:after="6"/>
        <w:rPr>
          <w:rFonts w:ascii="Lora" w:hAnsi="Lora" w:cs="Times New Roman"/>
          <w:color w:val="0070C0"/>
          <w:sz w:val="20"/>
          <w:szCs w:val="20"/>
        </w:rPr>
      </w:pPr>
      <w:r w:rsidRPr="00AF4828">
        <w:rPr>
          <w:rFonts w:ascii="Lora" w:hAnsi="Lora" w:cs="Times New Roman"/>
          <w:color w:val="0070C0"/>
          <w:sz w:val="20"/>
          <w:szCs w:val="20"/>
        </w:rPr>
        <w:t xml:space="preserve">2. </w:t>
      </w:r>
      <w:r w:rsidRPr="00E80ADC">
        <w:rPr>
          <w:rFonts w:ascii="Lora" w:hAnsi="Lora" w:cs="Times New Roman"/>
          <w:color w:val="0070C0"/>
          <w:sz w:val="24"/>
          <w:szCs w:val="24"/>
        </w:rPr>
        <w:t>Methodology &amp; Implementation</w:t>
      </w:r>
      <w:r w:rsidR="00064ABF" w:rsidRPr="00AF4828">
        <w:rPr>
          <w:rFonts w:ascii="Lora" w:hAnsi="Lora" w:cs="Times New Roman"/>
          <w:color w:val="0070C0"/>
          <w:sz w:val="20"/>
          <w:szCs w:val="20"/>
        </w:rPr>
        <w:br/>
      </w:r>
    </w:p>
    <w:p w14:paraId="4EBA25B3" w14:textId="77777777" w:rsidR="00BF6CFE" w:rsidRPr="00AF4828" w:rsidRDefault="00000000" w:rsidP="00064ABF">
      <w:pPr>
        <w:pStyle w:val="Heading2"/>
        <w:spacing w:before="6" w:after="6"/>
        <w:rPr>
          <w:rFonts w:ascii="Lora" w:hAnsi="Lora" w:cs="Times New Roman"/>
          <w:color w:val="404040" w:themeColor="text1" w:themeTint="BF"/>
          <w:sz w:val="20"/>
          <w:szCs w:val="20"/>
        </w:rPr>
      </w:pPr>
      <w:r w:rsidRPr="00AF4828">
        <w:rPr>
          <w:rFonts w:ascii="Lora" w:hAnsi="Lora" w:cs="Times New Roman"/>
          <w:color w:val="404040" w:themeColor="text1" w:themeTint="BF"/>
          <w:sz w:val="20"/>
          <w:szCs w:val="20"/>
        </w:rPr>
        <w:t>2.1 Image Preprocessing &amp; Segmentation</w:t>
      </w:r>
    </w:p>
    <w:p w14:paraId="56451A6B" w14:textId="77777777" w:rsidR="00BF6CFE" w:rsidRPr="00AF4828" w:rsidRDefault="00000000" w:rsidP="00064ABF">
      <w:pPr>
        <w:spacing w:before="6" w:after="6"/>
        <w:jc w:val="both"/>
        <w:rPr>
          <w:rFonts w:ascii="Lora" w:hAnsi="Lora" w:cs="Times New Roman"/>
          <w:color w:val="404040" w:themeColor="text1" w:themeTint="BF"/>
          <w:sz w:val="20"/>
          <w:szCs w:val="20"/>
        </w:rPr>
      </w:pPr>
      <w:r w:rsidRPr="00AF4828">
        <w:rPr>
          <w:rFonts w:ascii="Lora" w:hAnsi="Lora" w:cs="Times New Roman"/>
          <w:color w:val="404040" w:themeColor="text1" w:themeTint="BF"/>
          <w:sz w:val="20"/>
          <w:szCs w:val="20"/>
        </w:rPr>
        <w:t>The preprocessing pipeline included intensity normalization followed by Otsu's automatic thresholding for lung region segmentation. Morphological operations (erosion and dilation) refined the segmented regions, removing artifacts and isolating nodule structures. Figure 1 illustrates the complete segmentation workflow.</w:t>
      </w:r>
    </w:p>
    <w:p w14:paraId="34136545" w14:textId="695BA0E6" w:rsidR="00BF6CFE" w:rsidRPr="00AF4828" w:rsidRDefault="003F3A95" w:rsidP="00064ABF">
      <w:pPr>
        <w:spacing w:before="6" w:after="6"/>
        <w:jc w:val="center"/>
        <w:rPr>
          <w:rFonts w:ascii="Lora" w:hAnsi="Lora" w:cs="Times New Roman"/>
          <w:color w:val="404040" w:themeColor="text1" w:themeTint="BF"/>
          <w:sz w:val="20"/>
          <w:szCs w:val="20"/>
        </w:rPr>
      </w:pPr>
      <w:r w:rsidRPr="00AF4828">
        <w:rPr>
          <w:rFonts w:ascii="Lora" w:hAnsi="Lora" w:cs="Times New Roman"/>
          <w:noProof/>
          <w:sz w:val="20"/>
          <w:szCs w:val="20"/>
        </w:rPr>
        <w:drawing>
          <wp:inline distT="0" distB="0" distL="0" distR="0" wp14:anchorId="55DB27B4" wp14:editId="42B0D527">
            <wp:extent cx="6645395" cy="1281545"/>
            <wp:effectExtent l="0" t="0" r="3175" b="0"/>
            <wp:docPr id="2070947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0004" b="12871"/>
                    <a:stretch>
                      <a:fillRect/>
                    </a:stretch>
                  </pic:blipFill>
                  <pic:spPr bwMode="auto">
                    <a:xfrm>
                      <a:off x="0" y="0"/>
                      <a:ext cx="6645910" cy="1281644"/>
                    </a:xfrm>
                    <a:prstGeom prst="rect">
                      <a:avLst/>
                    </a:prstGeom>
                    <a:noFill/>
                    <a:ln>
                      <a:noFill/>
                    </a:ln>
                    <a:extLst>
                      <a:ext uri="{53640926-AAD7-44D8-BBD7-CCE9431645EC}">
                        <a14:shadowObscured xmlns:a14="http://schemas.microsoft.com/office/drawing/2010/main"/>
                      </a:ext>
                    </a:extLst>
                  </pic:spPr>
                </pic:pic>
              </a:graphicData>
            </a:graphic>
          </wp:inline>
        </w:drawing>
      </w:r>
    </w:p>
    <w:p w14:paraId="6720DF35" w14:textId="77777777" w:rsidR="00BF6CFE" w:rsidRDefault="00000000" w:rsidP="00064ABF">
      <w:pPr>
        <w:spacing w:before="6" w:after="6"/>
        <w:jc w:val="center"/>
        <w:rPr>
          <w:rFonts w:ascii="Lora" w:hAnsi="Lora" w:cs="Times New Roman"/>
          <w:i/>
          <w:iCs/>
          <w:color w:val="404040" w:themeColor="text1" w:themeTint="BF"/>
          <w:sz w:val="20"/>
          <w:szCs w:val="20"/>
        </w:rPr>
      </w:pPr>
      <w:r w:rsidRPr="00AF4828">
        <w:rPr>
          <w:rFonts w:ascii="Lora" w:hAnsi="Lora" w:cs="Times New Roman"/>
          <w:i/>
          <w:iCs/>
          <w:color w:val="404040" w:themeColor="text1" w:themeTint="BF"/>
          <w:sz w:val="20"/>
          <w:szCs w:val="20"/>
        </w:rPr>
        <w:t xml:space="preserve">Figure 1: Segmentation pipeline (Original </w:t>
      </w:r>
      <w:r w:rsidRPr="00AF4828">
        <w:rPr>
          <w:rFonts w:ascii="Times New Roman" w:hAnsi="Times New Roman" w:cs="Times New Roman"/>
          <w:i/>
          <w:iCs/>
          <w:color w:val="404040" w:themeColor="text1" w:themeTint="BF"/>
          <w:sz w:val="20"/>
          <w:szCs w:val="20"/>
        </w:rPr>
        <w:t>→</w:t>
      </w:r>
      <w:r w:rsidRPr="00AF4828">
        <w:rPr>
          <w:rFonts w:ascii="Lora" w:hAnsi="Lora" w:cs="Times New Roman"/>
          <w:i/>
          <w:iCs/>
          <w:color w:val="404040" w:themeColor="text1" w:themeTint="BF"/>
          <w:sz w:val="20"/>
          <w:szCs w:val="20"/>
        </w:rPr>
        <w:t xml:space="preserve"> Otsu Threshold </w:t>
      </w:r>
      <w:r w:rsidRPr="00AF4828">
        <w:rPr>
          <w:rFonts w:ascii="Times New Roman" w:hAnsi="Times New Roman" w:cs="Times New Roman"/>
          <w:i/>
          <w:iCs/>
          <w:color w:val="404040" w:themeColor="text1" w:themeTint="BF"/>
          <w:sz w:val="20"/>
          <w:szCs w:val="20"/>
        </w:rPr>
        <w:t>→</w:t>
      </w:r>
      <w:r w:rsidRPr="00AF4828">
        <w:rPr>
          <w:rFonts w:ascii="Lora" w:hAnsi="Lora" w:cs="Times New Roman"/>
          <w:i/>
          <w:iCs/>
          <w:color w:val="404040" w:themeColor="text1" w:themeTint="BF"/>
          <w:sz w:val="20"/>
          <w:szCs w:val="20"/>
        </w:rPr>
        <w:t xml:space="preserve"> Cleaned </w:t>
      </w:r>
      <w:r w:rsidRPr="00AF4828">
        <w:rPr>
          <w:rFonts w:ascii="Times New Roman" w:hAnsi="Times New Roman" w:cs="Times New Roman"/>
          <w:i/>
          <w:iCs/>
          <w:color w:val="404040" w:themeColor="text1" w:themeTint="BF"/>
          <w:sz w:val="20"/>
          <w:szCs w:val="20"/>
        </w:rPr>
        <w:t>→</w:t>
      </w:r>
      <w:r w:rsidRPr="00AF4828">
        <w:rPr>
          <w:rFonts w:ascii="Lora" w:hAnsi="Lora" w:cs="Times New Roman"/>
          <w:i/>
          <w:iCs/>
          <w:color w:val="404040" w:themeColor="text1" w:themeTint="BF"/>
          <w:sz w:val="20"/>
          <w:szCs w:val="20"/>
        </w:rPr>
        <w:t xml:space="preserve"> Overlay)</w:t>
      </w:r>
    </w:p>
    <w:p w14:paraId="3836697D" w14:textId="77777777" w:rsidR="00E80ADC" w:rsidRPr="00AF4828" w:rsidRDefault="00E80ADC" w:rsidP="00064ABF">
      <w:pPr>
        <w:spacing w:before="6" w:after="6"/>
        <w:jc w:val="center"/>
        <w:rPr>
          <w:rFonts w:ascii="Lora" w:hAnsi="Lora" w:cs="Times New Roman"/>
          <w:color w:val="404040" w:themeColor="text1" w:themeTint="BF"/>
          <w:sz w:val="20"/>
          <w:szCs w:val="20"/>
        </w:rPr>
      </w:pPr>
    </w:p>
    <w:p w14:paraId="731FD79B" w14:textId="2149187C" w:rsidR="00BF6CFE" w:rsidRPr="00AF4828" w:rsidRDefault="00000000" w:rsidP="00064ABF">
      <w:pPr>
        <w:pStyle w:val="Heading2"/>
        <w:spacing w:before="6" w:after="6"/>
        <w:rPr>
          <w:rFonts w:ascii="Lora" w:hAnsi="Lora" w:cs="Times New Roman"/>
          <w:color w:val="404040" w:themeColor="text1" w:themeTint="BF"/>
          <w:sz w:val="20"/>
          <w:szCs w:val="20"/>
        </w:rPr>
      </w:pPr>
      <w:r w:rsidRPr="00AF4828">
        <w:rPr>
          <w:rFonts w:ascii="Lora" w:hAnsi="Lora" w:cs="Times New Roman"/>
          <w:color w:val="404040" w:themeColor="text1" w:themeTint="BF"/>
          <w:sz w:val="20"/>
          <w:szCs w:val="20"/>
        </w:rPr>
        <w:t>2.2 Feature Extraction</w:t>
      </w:r>
      <w:r w:rsidR="00064ABF" w:rsidRPr="00AF4828">
        <w:rPr>
          <w:rFonts w:ascii="Lora" w:hAnsi="Lora" w:cs="Times New Roman"/>
          <w:color w:val="404040" w:themeColor="text1" w:themeTint="BF"/>
          <w:sz w:val="20"/>
          <w:szCs w:val="20"/>
        </w:rPr>
        <w:br/>
      </w:r>
    </w:p>
    <w:p w14:paraId="279F4FF8" w14:textId="77777777" w:rsidR="00BF6CFE" w:rsidRPr="00AF4828" w:rsidRDefault="00000000" w:rsidP="00064ABF">
      <w:pPr>
        <w:spacing w:before="6" w:after="6"/>
        <w:jc w:val="both"/>
        <w:rPr>
          <w:rFonts w:ascii="Lora" w:hAnsi="Lora" w:cs="Times New Roman"/>
          <w:color w:val="404040" w:themeColor="text1" w:themeTint="BF"/>
          <w:sz w:val="20"/>
          <w:szCs w:val="20"/>
        </w:rPr>
      </w:pPr>
      <w:r w:rsidRPr="00AF4828">
        <w:rPr>
          <w:rFonts w:ascii="Lora" w:hAnsi="Lora" w:cs="Times New Roman"/>
          <w:color w:val="404040" w:themeColor="text1" w:themeTint="BF"/>
          <w:sz w:val="20"/>
          <w:szCs w:val="20"/>
        </w:rPr>
        <w:t xml:space="preserve">A comprehensive set of 99 texture and morphological features were extracted using three complementary techniques: (1) </w:t>
      </w:r>
      <w:r w:rsidRPr="00AF4828">
        <w:rPr>
          <w:rFonts w:ascii="Lora" w:hAnsi="Lora" w:cs="Times New Roman"/>
          <w:b/>
          <w:bCs/>
          <w:color w:val="404040" w:themeColor="text1" w:themeTint="BF"/>
          <w:sz w:val="20"/>
          <w:szCs w:val="20"/>
        </w:rPr>
        <w:t>Gray Level Co-occurrence Matrix</w:t>
      </w:r>
      <w:r w:rsidRPr="00AF4828">
        <w:rPr>
          <w:rFonts w:ascii="Lora" w:hAnsi="Lora" w:cs="Times New Roman"/>
          <w:color w:val="404040" w:themeColor="text1" w:themeTint="BF"/>
          <w:sz w:val="20"/>
          <w:szCs w:val="20"/>
        </w:rPr>
        <w:t xml:space="preserve"> (GLCM) features capturing spatial intensity relationships including contrast, correlation, energy, and homogeneity; (2) </w:t>
      </w:r>
      <w:r w:rsidRPr="00AF4828">
        <w:rPr>
          <w:rFonts w:ascii="Lora" w:hAnsi="Lora" w:cs="Times New Roman"/>
          <w:b/>
          <w:bCs/>
          <w:color w:val="404040" w:themeColor="text1" w:themeTint="BF"/>
          <w:sz w:val="20"/>
          <w:szCs w:val="20"/>
        </w:rPr>
        <w:t>Local Binary Patterns</w:t>
      </w:r>
      <w:r w:rsidRPr="00AF4828">
        <w:rPr>
          <w:rFonts w:ascii="Lora" w:hAnsi="Lora" w:cs="Times New Roman"/>
          <w:color w:val="404040" w:themeColor="text1" w:themeTint="BF"/>
          <w:sz w:val="20"/>
          <w:szCs w:val="20"/>
        </w:rPr>
        <w:t xml:space="preserve"> (LBP) encoding rotation-invariant local texture descriptors through histogram analysis; and (3) </w:t>
      </w:r>
      <w:r w:rsidRPr="00AF4828">
        <w:rPr>
          <w:rFonts w:ascii="Lora" w:hAnsi="Lora" w:cs="Times New Roman"/>
          <w:b/>
          <w:bCs/>
          <w:color w:val="404040" w:themeColor="text1" w:themeTint="BF"/>
          <w:sz w:val="20"/>
          <w:szCs w:val="20"/>
        </w:rPr>
        <w:t>Wavelet Transform</w:t>
      </w:r>
      <w:r w:rsidRPr="00AF4828">
        <w:rPr>
          <w:rFonts w:ascii="Lora" w:hAnsi="Lora" w:cs="Times New Roman"/>
          <w:color w:val="404040" w:themeColor="text1" w:themeTint="BF"/>
          <w:sz w:val="20"/>
          <w:szCs w:val="20"/>
        </w:rPr>
        <w:t xml:space="preserve"> features extracting multi-resolution texture characteristics through discrete wavelet decomposition. Statistical moments (mean, standard deviation, energy) were computed from each feature type to create a robust feature vector.</w:t>
      </w:r>
    </w:p>
    <w:p w14:paraId="1CAB7672" w14:textId="77777777" w:rsidR="00064ABF" w:rsidRPr="00AF4828" w:rsidRDefault="00064ABF" w:rsidP="00064ABF">
      <w:pPr>
        <w:spacing w:before="6" w:after="6"/>
        <w:jc w:val="both"/>
        <w:rPr>
          <w:rFonts w:ascii="Lora" w:hAnsi="Lora" w:cs="Times New Roman"/>
          <w:color w:val="404040" w:themeColor="text1" w:themeTint="BF"/>
          <w:sz w:val="20"/>
          <w:szCs w:val="20"/>
        </w:rPr>
      </w:pPr>
    </w:p>
    <w:p w14:paraId="25CB9DE9" w14:textId="77777777" w:rsidR="00BF6CFE" w:rsidRPr="00AF4828" w:rsidRDefault="00000000" w:rsidP="00064ABF">
      <w:pPr>
        <w:pStyle w:val="Heading2"/>
        <w:spacing w:before="6" w:after="6"/>
        <w:rPr>
          <w:rFonts w:ascii="Lora" w:hAnsi="Lora" w:cs="Times New Roman"/>
          <w:color w:val="404040" w:themeColor="text1" w:themeTint="BF"/>
          <w:sz w:val="20"/>
          <w:szCs w:val="20"/>
        </w:rPr>
      </w:pPr>
      <w:r w:rsidRPr="00AF4828">
        <w:rPr>
          <w:rFonts w:ascii="Lora" w:hAnsi="Lora" w:cs="Times New Roman"/>
          <w:color w:val="404040" w:themeColor="text1" w:themeTint="BF"/>
          <w:sz w:val="20"/>
          <w:szCs w:val="20"/>
        </w:rPr>
        <w:t>2.3 Classification Model</w:t>
      </w:r>
    </w:p>
    <w:p w14:paraId="0F75ABB2" w14:textId="77777777" w:rsidR="00BF6CFE" w:rsidRPr="00AF4828" w:rsidRDefault="00000000" w:rsidP="00064ABF">
      <w:pPr>
        <w:spacing w:before="6" w:after="6"/>
        <w:jc w:val="both"/>
        <w:rPr>
          <w:rFonts w:ascii="Lora" w:hAnsi="Lora" w:cs="Times New Roman"/>
          <w:color w:val="404040" w:themeColor="text1" w:themeTint="BF"/>
          <w:sz w:val="20"/>
          <w:szCs w:val="20"/>
        </w:rPr>
      </w:pPr>
      <w:r w:rsidRPr="00AF4828">
        <w:rPr>
          <w:rFonts w:ascii="Lora" w:hAnsi="Lora" w:cs="Times New Roman"/>
          <w:color w:val="404040" w:themeColor="text1" w:themeTint="BF"/>
          <w:sz w:val="20"/>
          <w:szCs w:val="20"/>
        </w:rPr>
        <w:t>A Support Vector Machine (SVM) classifier with Radial Basis Function (RBF) kernel was employed for binary classification. Features were standardized using z-score normalization prior to training. The SVM was selected for its effectiveness in high-dimensional feature spaces and ability to handle non-linear decision boundaries. Hyperparameters (C and gamma) were optimized through grid search on the validation set to maximize classification accuracy while preventing overfitting.</w:t>
      </w:r>
    </w:p>
    <w:p w14:paraId="07E37729" w14:textId="77777777" w:rsidR="00064ABF" w:rsidRPr="00AF4828" w:rsidRDefault="00064ABF" w:rsidP="00064ABF">
      <w:pPr>
        <w:spacing w:before="6" w:after="6"/>
        <w:jc w:val="both"/>
        <w:rPr>
          <w:rFonts w:ascii="Lora" w:hAnsi="Lora" w:cs="Times New Roman"/>
          <w:color w:val="404040" w:themeColor="text1" w:themeTint="BF"/>
          <w:sz w:val="20"/>
          <w:szCs w:val="20"/>
        </w:rPr>
      </w:pPr>
    </w:p>
    <w:p w14:paraId="30487A0C" w14:textId="77777777" w:rsidR="00BF6CFE" w:rsidRPr="00AF4828" w:rsidRDefault="00000000" w:rsidP="00064ABF">
      <w:pPr>
        <w:pStyle w:val="Heading2"/>
        <w:spacing w:before="6" w:after="6"/>
        <w:rPr>
          <w:rFonts w:ascii="Lora" w:hAnsi="Lora" w:cs="Times New Roman"/>
          <w:color w:val="404040" w:themeColor="text1" w:themeTint="BF"/>
          <w:sz w:val="20"/>
          <w:szCs w:val="20"/>
        </w:rPr>
      </w:pPr>
      <w:r w:rsidRPr="00AF4828">
        <w:rPr>
          <w:rFonts w:ascii="Lora" w:hAnsi="Lora" w:cs="Times New Roman"/>
          <w:color w:val="404040" w:themeColor="text1" w:themeTint="BF"/>
          <w:sz w:val="20"/>
          <w:szCs w:val="20"/>
        </w:rPr>
        <w:t>2.4 Evaluation Strategy</w:t>
      </w:r>
    </w:p>
    <w:p w14:paraId="09C5D394" w14:textId="3C225D1F" w:rsidR="00BF6CFE" w:rsidRPr="00AF4828" w:rsidRDefault="00000000" w:rsidP="00064ABF">
      <w:pPr>
        <w:spacing w:before="6" w:after="6"/>
        <w:jc w:val="both"/>
        <w:rPr>
          <w:rFonts w:ascii="Lora" w:hAnsi="Lora" w:cs="Times New Roman"/>
          <w:color w:val="404040" w:themeColor="text1" w:themeTint="BF"/>
          <w:sz w:val="20"/>
          <w:szCs w:val="20"/>
        </w:rPr>
      </w:pPr>
      <w:r w:rsidRPr="00AF4828">
        <w:rPr>
          <w:rFonts w:ascii="Lora" w:hAnsi="Lora" w:cs="Times New Roman"/>
          <w:color w:val="404040" w:themeColor="text1" w:themeTint="BF"/>
          <w:sz w:val="20"/>
          <w:szCs w:val="20"/>
        </w:rPr>
        <w:t>Model performance was assessed using standard classification metrics: accuracy, sensitivity (recall), specificity, precision, F1-score, and Area Under the ROC Curve (AUC). Five-fold cross-validation was performed to evaluate model generalization and stability across different data splits. The test set remained completely unseen during training to provide an unbiased performance estimate.</w:t>
      </w:r>
    </w:p>
    <w:p w14:paraId="166E2E3B" w14:textId="77777777" w:rsidR="00064ABF" w:rsidRPr="00AF4828" w:rsidRDefault="00064ABF" w:rsidP="00064ABF">
      <w:pPr>
        <w:spacing w:before="6" w:after="6"/>
        <w:jc w:val="both"/>
        <w:rPr>
          <w:rFonts w:ascii="Lora" w:hAnsi="Lora" w:cs="Times New Roman"/>
          <w:color w:val="404040" w:themeColor="text1" w:themeTint="BF"/>
          <w:sz w:val="20"/>
          <w:szCs w:val="20"/>
        </w:rPr>
      </w:pPr>
    </w:p>
    <w:p w14:paraId="05528985" w14:textId="77777777" w:rsidR="00BF6CFE" w:rsidRPr="00E80ADC" w:rsidRDefault="00000000" w:rsidP="00064ABF">
      <w:pPr>
        <w:pStyle w:val="Heading1"/>
        <w:spacing w:before="6" w:after="6"/>
        <w:rPr>
          <w:rFonts w:ascii="Lora" w:hAnsi="Lora" w:cs="Times New Roman"/>
          <w:color w:val="0070C0"/>
          <w:sz w:val="24"/>
          <w:szCs w:val="24"/>
        </w:rPr>
      </w:pPr>
      <w:r w:rsidRPr="00E80ADC">
        <w:rPr>
          <w:rFonts w:ascii="Lora" w:hAnsi="Lora" w:cs="Times New Roman"/>
          <w:color w:val="0070C0"/>
          <w:sz w:val="24"/>
          <w:szCs w:val="24"/>
        </w:rPr>
        <w:t>3. Results &amp; Evaluation</w:t>
      </w:r>
    </w:p>
    <w:p w14:paraId="4A7261FF" w14:textId="77777777" w:rsidR="00BF6CFE" w:rsidRPr="00AF4828" w:rsidRDefault="00000000" w:rsidP="00064ABF">
      <w:pPr>
        <w:pStyle w:val="Heading2"/>
        <w:spacing w:before="6" w:after="6"/>
        <w:rPr>
          <w:rFonts w:ascii="Lora" w:hAnsi="Lora" w:cs="Times New Roman"/>
          <w:color w:val="404040" w:themeColor="text1" w:themeTint="BF"/>
          <w:sz w:val="20"/>
          <w:szCs w:val="20"/>
        </w:rPr>
      </w:pPr>
      <w:r w:rsidRPr="00AF4828">
        <w:rPr>
          <w:rFonts w:ascii="Lora" w:hAnsi="Lora" w:cs="Times New Roman"/>
          <w:color w:val="404040" w:themeColor="text1" w:themeTint="BF"/>
          <w:sz w:val="20"/>
          <w:szCs w:val="20"/>
        </w:rPr>
        <w:t>3.1 Classification Performance</w:t>
      </w:r>
    </w:p>
    <w:p w14:paraId="212653B2" w14:textId="77777777" w:rsidR="00BF6CFE" w:rsidRPr="00AF4828" w:rsidRDefault="00000000" w:rsidP="00064ABF">
      <w:pPr>
        <w:spacing w:before="6" w:after="6"/>
        <w:jc w:val="both"/>
        <w:rPr>
          <w:rFonts w:ascii="Lora" w:hAnsi="Lora" w:cs="Times New Roman"/>
          <w:color w:val="404040" w:themeColor="text1" w:themeTint="BF"/>
          <w:sz w:val="20"/>
          <w:szCs w:val="20"/>
        </w:rPr>
      </w:pPr>
      <w:r w:rsidRPr="00AF4828">
        <w:rPr>
          <w:rFonts w:ascii="Lora" w:hAnsi="Lora" w:cs="Times New Roman"/>
          <w:color w:val="404040" w:themeColor="text1" w:themeTint="BF"/>
          <w:sz w:val="20"/>
          <w:szCs w:val="20"/>
        </w:rPr>
        <w:t>The SVM classifier achieved excellent performance across all evaluation metrics. Table 1 presents comprehensive results for training, validation, and test datasets.</w:t>
      </w:r>
    </w:p>
    <w:tbl>
      <w:tblPr>
        <w:tblW w:w="10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2615"/>
        <w:gridCol w:w="2615"/>
        <w:gridCol w:w="2615"/>
        <w:gridCol w:w="2615"/>
      </w:tblGrid>
      <w:tr w:rsidR="001D29FE" w:rsidRPr="00AF4828" w14:paraId="4ACAF82F" w14:textId="77777777" w:rsidTr="00302B92">
        <w:trPr>
          <w:trHeight w:val="177"/>
          <w:tblHeader/>
        </w:trPr>
        <w:tc>
          <w:tcPr>
            <w:tcW w:w="2615" w:type="dxa"/>
            <w:shd w:val="clear" w:color="auto" w:fill="1F4788"/>
          </w:tcPr>
          <w:p w14:paraId="5665A842" w14:textId="77777777" w:rsidR="00BF6CFE" w:rsidRPr="00AF4828" w:rsidRDefault="00000000" w:rsidP="00064ABF">
            <w:pPr>
              <w:spacing w:before="6" w:after="6"/>
              <w:jc w:val="center"/>
              <w:rPr>
                <w:rFonts w:ascii="Lora" w:hAnsi="Lora" w:cs="Times New Roman"/>
                <w:color w:val="FFFFFF" w:themeColor="background1"/>
                <w:sz w:val="20"/>
                <w:szCs w:val="20"/>
              </w:rPr>
            </w:pPr>
            <w:r w:rsidRPr="00AF4828">
              <w:rPr>
                <w:rFonts w:ascii="Lora" w:hAnsi="Lora" w:cs="Times New Roman"/>
                <w:b/>
                <w:bCs/>
                <w:color w:val="FFFFFF" w:themeColor="background1"/>
                <w:sz w:val="20"/>
                <w:szCs w:val="20"/>
              </w:rPr>
              <w:lastRenderedPageBreak/>
              <w:t>Metric</w:t>
            </w:r>
          </w:p>
        </w:tc>
        <w:tc>
          <w:tcPr>
            <w:tcW w:w="2615" w:type="dxa"/>
            <w:shd w:val="clear" w:color="auto" w:fill="1F4788"/>
          </w:tcPr>
          <w:p w14:paraId="14F4C897" w14:textId="77777777" w:rsidR="00BF6CFE" w:rsidRPr="00AF4828" w:rsidRDefault="00000000" w:rsidP="00064ABF">
            <w:pPr>
              <w:spacing w:before="6" w:after="6"/>
              <w:jc w:val="center"/>
              <w:rPr>
                <w:rFonts w:ascii="Lora" w:hAnsi="Lora" w:cs="Times New Roman"/>
                <w:color w:val="FFFFFF" w:themeColor="background1"/>
                <w:sz w:val="20"/>
                <w:szCs w:val="20"/>
              </w:rPr>
            </w:pPr>
            <w:r w:rsidRPr="00AF4828">
              <w:rPr>
                <w:rFonts w:ascii="Lora" w:hAnsi="Lora" w:cs="Times New Roman"/>
                <w:b/>
                <w:bCs/>
                <w:color w:val="FFFFFF" w:themeColor="background1"/>
                <w:sz w:val="20"/>
                <w:szCs w:val="20"/>
              </w:rPr>
              <w:t>Training</w:t>
            </w:r>
          </w:p>
        </w:tc>
        <w:tc>
          <w:tcPr>
            <w:tcW w:w="2615" w:type="dxa"/>
            <w:shd w:val="clear" w:color="auto" w:fill="1F4788"/>
          </w:tcPr>
          <w:p w14:paraId="0DC00FD1" w14:textId="77777777" w:rsidR="00BF6CFE" w:rsidRPr="00AF4828" w:rsidRDefault="00000000" w:rsidP="00064ABF">
            <w:pPr>
              <w:spacing w:before="6" w:after="6"/>
              <w:jc w:val="center"/>
              <w:rPr>
                <w:rFonts w:ascii="Lora" w:hAnsi="Lora" w:cs="Times New Roman"/>
                <w:color w:val="FFFFFF" w:themeColor="background1"/>
                <w:sz w:val="20"/>
                <w:szCs w:val="20"/>
              </w:rPr>
            </w:pPr>
            <w:r w:rsidRPr="00AF4828">
              <w:rPr>
                <w:rFonts w:ascii="Lora" w:hAnsi="Lora" w:cs="Times New Roman"/>
                <w:b/>
                <w:bCs/>
                <w:color w:val="FFFFFF" w:themeColor="background1"/>
                <w:sz w:val="20"/>
                <w:szCs w:val="20"/>
              </w:rPr>
              <w:t>Validation</w:t>
            </w:r>
          </w:p>
        </w:tc>
        <w:tc>
          <w:tcPr>
            <w:tcW w:w="2615" w:type="dxa"/>
            <w:shd w:val="clear" w:color="auto" w:fill="1F4788"/>
          </w:tcPr>
          <w:p w14:paraId="1C2B78EE" w14:textId="77777777" w:rsidR="00BF6CFE" w:rsidRPr="00AF4828" w:rsidRDefault="00000000" w:rsidP="00064ABF">
            <w:pPr>
              <w:spacing w:before="6" w:after="6"/>
              <w:jc w:val="center"/>
              <w:rPr>
                <w:rFonts w:ascii="Lora" w:hAnsi="Lora" w:cs="Times New Roman"/>
                <w:color w:val="FFFFFF" w:themeColor="background1"/>
                <w:sz w:val="20"/>
                <w:szCs w:val="20"/>
              </w:rPr>
            </w:pPr>
            <w:r w:rsidRPr="00AF4828">
              <w:rPr>
                <w:rFonts w:ascii="Lora" w:hAnsi="Lora" w:cs="Times New Roman"/>
                <w:b/>
                <w:bCs/>
                <w:color w:val="FFFFFF" w:themeColor="background1"/>
                <w:sz w:val="20"/>
                <w:szCs w:val="20"/>
              </w:rPr>
              <w:t>Test</w:t>
            </w:r>
          </w:p>
        </w:tc>
      </w:tr>
      <w:tr w:rsidR="001D29FE" w:rsidRPr="00AF4828" w14:paraId="3CF9C6E3" w14:textId="77777777" w:rsidTr="00302B92">
        <w:trPr>
          <w:trHeight w:val="170"/>
        </w:trPr>
        <w:tc>
          <w:tcPr>
            <w:tcW w:w="2615" w:type="dxa"/>
            <w:tcBorders>
              <w:top w:val="single" w:sz="1" w:space="0" w:color="CCCCCC"/>
              <w:left w:val="single" w:sz="1" w:space="0" w:color="CCCCCC"/>
              <w:bottom w:val="single" w:sz="1" w:space="0" w:color="CCCCCC"/>
              <w:right w:val="single" w:sz="1" w:space="0" w:color="CCCCCC"/>
            </w:tcBorders>
          </w:tcPr>
          <w:p w14:paraId="67A005FA" w14:textId="77777777" w:rsidR="00BF6CFE" w:rsidRPr="00AF4828" w:rsidRDefault="00000000" w:rsidP="00064ABF">
            <w:pPr>
              <w:spacing w:before="6" w:after="6"/>
              <w:rPr>
                <w:rFonts w:ascii="Lora" w:hAnsi="Lora" w:cs="Times New Roman"/>
                <w:color w:val="404040" w:themeColor="text1" w:themeTint="BF"/>
                <w:sz w:val="20"/>
                <w:szCs w:val="20"/>
              </w:rPr>
            </w:pPr>
            <w:r w:rsidRPr="00AF4828">
              <w:rPr>
                <w:rFonts w:ascii="Lora" w:hAnsi="Lora" w:cs="Times New Roman"/>
                <w:color w:val="404040" w:themeColor="text1" w:themeTint="BF"/>
                <w:sz w:val="20"/>
                <w:szCs w:val="20"/>
              </w:rPr>
              <w:t>Accuracy</w:t>
            </w:r>
          </w:p>
        </w:tc>
        <w:tc>
          <w:tcPr>
            <w:tcW w:w="2615" w:type="dxa"/>
            <w:tcBorders>
              <w:top w:val="single" w:sz="1" w:space="0" w:color="CCCCCC"/>
              <w:left w:val="single" w:sz="1" w:space="0" w:color="CCCCCC"/>
              <w:bottom w:val="single" w:sz="1" w:space="0" w:color="CCCCCC"/>
              <w:right w:val="single" w:sz="1" w:space="0" w:color="CCCCCC"/>
            </w:tcBorders>
            <w:shd w:val="clear" w:color="auto" w:fill="F0F8FF"/>
          </w:tcPr>
          <w:p w14:paraId="01123F09" w14:textId="77777777" w:rsidR="00BF6CFE" w:rsidRPr="00AF4828" w:rsidRDefault="00000000" w:rsidP="00064ABF">
            <w:pPr>
              <w:spacing w:before="6" w:after="6"/>
              <w:jc w:val="center"/>
              <w:rPr>
                <w:rFonts w:ascii="Lora" w:hAnsi="Lora" w:cs="Times New Roman"/>
                <w:color w:val="404040" w:themeColor="text1" w:themeTint="BF"/>
                <w:sz w:val="20"/>
                <w:szCs w:val="20"/>
              </w:rPr>
            </w:pPr>
            <w:r w:rsidRPr="00AF4828">
              <w:rPr>
                <w:rFonts w:ascii="Lora" w:hAnsi="Lora" w:cs="Times New Roman"/>
                <w:color w:val="404040" w:themeColor="text1" w:themeTint="BF"/>
                <w:sz w:val="20"/>
                <w:szCs w:val="20"/>
              </w:rPr>
              <w:t>94.56%</w:t>
            </w:r>
          </w:p>
        </w:tc>
        <w:tc>
          <w:tcPr>
            <w:tcW w:w="2615" w:type="dxa"/>
            <w:tcBorders>
              <w:top w:val="single" w:sz="1" w:space="0" w:color="CCCCCC"/>
              <w:left w:val="single" w:sz="1" w:space="0" w:color="CCCCCC"/>
              <w:bottom w:val="single" w:sz="1" w:space="0" w:color="CCCCCC"/>
              <w:right w:val="single" w:sz="1" w:space="0" w:color="CCCCCC"/>
            </w:tcBorders>
            <w:shd w:val="clear" w:color="auto" w:fill="F0F8FF"/>
          </w:tcPr>
          <w:p w14:paraId="3408EF5F" w14:textId="77777777" w:rsidR="00BF6CFE" w:rsidRPr="00AF4828" w:rsidRDefault="00000000" w:rsidP="00064ABF">
            <w:pPr>
              <w:spacing w:before="6" w:after="6"/>
              <w:jc w:val="center"/>
              <w:rPr>
                <w:rFonts w:ascii="Lora" w:hAnsi="Lora" w:cs="Times New Roman"/>
                <w:color w:val="404040" w:themeColor="text1" w:themeTint="BF"/>
                <w:sz w:val="20"/>
                <w:szCs w:val="20"/>
              </w:rPr>
            </w:pPr>
            <w:r w:rsidRPr="00AF4828">
              <w:rPr>
                <w:rFonts w:ascii="Lora" w:hAnsi="Lora" w:cs="Times New Roman"/>
                <w:color w:val="404040" w:themeColor="text1" w:themeTint="BF"/>
                <w:sz w:val="20"/>
                <w:szCs w:val="20"/>
              </w:rPr>
              <w:t>91.52%</w:t>
            </w:r>
          </w:p>
        </w:tc>
        <w:tc>
          <w:tcPr>
            <w:tcW w:w="2615" w:type="dxa"/>
            <w:tcBorders>
              <w:top w:val="single" w:sz="1" w:space="0" w:color="CCCCCC"/>
              <w:left w:val="single" w:sz="1" w:space="0" w:color="CCCCCC"/>
              <w:bottom w:val="single" w:sz="1" w:space="0" w:color="CCCCCC"/>
              <w:right w:val="single" w:sz="1" w:space="0" w:color="CCCCCC"/>
            </w:tcBorders>
            <w:shd w:val="clear" w:color="auto" w:fill="E6F3FF"/>
          </w:tcPr>
          <w:p w14:paraId="55D3E4B5" w14:textId="77777777" w:rsidR="00BF6CFE" w:rsidRPr="00AF4828" w:rsidRDefault="00000000" w:rsidP="00064ABF">
            <w:pPr>
              <w:spacing w:before="6" w:after="6"/>
              <w:jc w:val="center"/>
              <w:rPr>
                <w:rFonts w:ascii="Lora" w:hAnsi="Lora" w:cs="Times New Roman"/>
                <w:color w:val="404040" w:themeColor="text1" w:themeTint="BF"/>
                <w:sz w:val="20"/>
                <w:szCs w:val="20"/>
              </w:rPr>
            </w:pPr>
            <w:r w:rsidRPr="00AF4828">
              <w:rPr>
                <w:rFonts w:ascii="Lora" w:hAnsi="Lora" w:cs="Times New Roman"/>
                <w:b/>
                <w:bCs/>
                <w:color w:val="404040" w:themeColor="text1" w:themeTint="BF"/>
                <w:sz w:val="20"/>
                <w:szCs w:val="20"/>
              </w:rPr>
              <w:t>95.16%</w:t>
            </w:r>
          </w:p>
        </w:tc>
      </w:tr>
      <w:tr w:rsidR="001D29FE" w:rsidRPr="00AF4828" w14:paraId="45DA1AEA" w14:textId="77777777" w:rsidTr="00302B92">
        <w:trPr>
          <w:trHeight w:val="177"/>
        </w:trPr>
        <w:tc>
          <w:tcPr>
            <w:tcW w:w="2615" w:type="dxa"/>
            <w:tcBorders>
              <w:top w:val="single" w:sz="1" w:space="0" w:color="CCCCCC"/>
              <w:left w:val="single" w:sz="1" w:space="0" w:color="CCCCCC"/>
              <w:bottom w:val="single" w:sz="1" w:space="0" w:color="CCCCCC"/>
              <w:right w:val="single" w:sz="1" w:space="0" w:color="CCCCCC"/>
            </w:tcBorders>
          </w:tcPr>
          <w:p w14:paraId="554FCD6D" w14:textId="77777777" w:rsidR="00BF6CFE" w:rsidRPr="00AF4828" w:rsidRDefault="00000000" w:rsidP="00064ABF">
            <w:pPr>
              <w:spacing w:before="6" w:after="6"/>
              <w:rPr>
                <w:rFonts w:ascii="Lora" w:hAnsi="Lora" w:cs="Times New Roman"/>
                <w:color w:val="404040" w:themeColor="text1" w:themeTint="BF"/>
                <w:sz w:val="20"/>
                <w:szCs w:val="20"/>
              </w:rPr>
            </w:pPr>
            <w:r w:rsidRPr="00AF4828">
              <w:rPr>
                <w:rFonts w:ascii="Lora" w:hAnsi="Lora" w:cs="Times New Roman"/>
                <w:color w:val="404040" w:themeColor="text1" w:themeTint="BF"/>
                <w:sz w:val="20"/>
                <w:szCs w:val="20"/>
              </w:rPr>
              <w:t>Sensitivity</w:t>
            </w:r>
          </w:p>
        </w:tc>
        <w:tc>
          <w:tcPr>
            <w:tcW w:w="2615" w:type="dxa"/>
            <w:tcBorders>
              <w:top w:val="single" w:sz="1" w:space="0" w:color="CCCCCC"/>
              <w:left w:val="single" w:sz="1" w:space="0" w:color="CCCCCC"/>
              <w:bottom w:val="single" w:sz="1" w:space="0" w:color="CCCCCC"/>
              <w:right w:val="single" w:sz="1" w:space="0" w:color="CCCCCC"/>
            </w:tcBorders>
            <w:shd w:val="clear" w:color="auto" w:fill="F0F8FF"/>
          </w:tcPr>
          <w:p w14:paraId="7188BC11" w14:textId="77777777" w:rsidR="00BF6CFE" w:rsidRPr="00AF4828" w:rsidRDefault="00000000" w:rsidP="00064ABF">
            <w:pPr>
              <w:spacing w:before="6" w:after="6"/>
              <w:jc w:val="center"/>
              <w:rPr>
                <w:rFonts w:ascii="Lora" w:hAnsi="Lora" w:cs="Times New Roman"/>
                <w:color w:val="404040" w:themeColor="text1" w:themeTint="BF"/>
                <w:sz w:val="20"/>
                <w:szCs w:val="20"/>
              </w:rPr>
            </w:pPr>
            <w:r w:rsidRPr="00AF4828">
              <w:rPr>
                <w:rFonts w:ascii="Lora" w:hAnsi="Lora" w:cs="Times New Roman"/>
                <w:color w:val="404040" w:themeColor="text1" w:themeTint="BF"/>
                <w:sz w:val="20"/>
                <w:szCs w:val="20"/>
              </w:rPr>
              <w:t>92.12%</w:t>
            </w:r>
          </w:p>
        </w:tc>
        <w:tc>
          <w:tcPr>
            <w:tcW w:w="2615" w:type="dxa"/>
            <w:tcBorders>
              <w:top w:val="single" w:sz="1" w:space="0" w:color="CCCCCC"/>
              <w:left w:val="single" w:sz="1" w:space="0" w:color="CCCCCC"/>
              <w:bottom w:val="single" w:sz="1" w:space="0" w:color="CCCCCC"/>
              <w:right w:val="single" w:sz="1" w:space="0" w:color="CCCCCC"/>
            </w:tcBorders>
            <w:shd w:val="clear" w:color="auto" w:fill="F0F8FF"/>
          </w:tcPr>
          <w:p w14:paraId="25A3C07A" w14:textId="77777777" w:rsidR="00BF6CFE" w:rsidRPr="00AF4828" w:rsidRDefault="00000000" w:rsidP="00064ABF">
            <w:pPr>
              <w:spacing w:before="6" w:after="6"/>
              <w:jc w:val="center"/>
              <w:rPr>
                <w:rFonts w:ascii="Lora" w:hAnsi="Lora" w:cs="Times New Roman"/>
                <w:color w:val="404040" w:themeColor="text1" w:themeTint="BF"/>
                <w:sz w:val="20"/>
                <w:szCs w:val="20"/>
              </w:rPr>
            </w:pPr>
            <w:r w:rsidRPr="00AF4828">
              <w:rPr>
                <w:rFonts w:ascii="Lora" w:hAnsi="Lora" w:cs="Times New Roman"/>
                <w:color w:val="404040" w:themeColor="text1" w:themeTint="BF"/>
                <w:sz w:val="20"/>
                <w:szCs w:val="20"/>
              </w:rPr>
              <w:t>91.67%</w:t>
            </w:r>
          </w:p>
        </w:tc>
        <w:tc>
          <w:tcPr>
            <w:tcW w:w="2615" w:type="dxa"/>
            <w:tcBorders>
              <w:top w:val="single" w:sz="1" w:space="0" w:color="CCCCCC"/>
              <w:left w:val="single" w:sz="1" w:space="0" w:color="CCCCCC"/>
              <w:bottom w:val="single" w:sz="1" w:space="0" w:color="CCCCCC"/>
              <w:right w:val="single" w:sz="1" w:space="0" w:color="CCCCCC"/>
            </w:tcBorders>
            <w:shd w:val="clear" w:color="auto" w:fill="E6F3FF"/>
          </w:tcPr>
          <w:p w14:paraId="161BDC2B" w14:textId="77777777" w:rsidR="00BF6CFE" w:rsidRPr="00AF4828" w:rsidRDefault="00000000" w:rsidP="00064ABF">
            <w:pPr>
              <w:spacing w:before="6" w:after="6"/>
              <w:jc w:val="center"/>
              <w:rPr>
                <w:rFonts w:ascii="Lora" w:hAnsi="Lora" w:cs="Times New Roman"/>
                <w:color w:val="404040" w:themeColor="text1" w:themeTint="BF"/>
                <w:sz w:val="20"/>
                <w:szCs w:val="20"/>
              </w:rPr>
            </w:pPr>
            <w:r w:rsidRPr="00AF4828">
              <w:rPr>
                <w:rFonts w:ascii="Lora" w:hAnsi="Lora" w:cs="Times New Roman"/>
                <w:b/>
                <w:bCs/>
                <w:color w:val="404040" w:themeColor="text1" w:themeTint="BF"/>
                <w:sz w:val="20"/>
                <w:szCs w:val="20"/>
              </w:rPr>
              <w:t>92.38%</w:t>
            </w:r>
          </w:p>
        </w:tc>
      </w:tr>
      <w:tr w:rsidR="001D29FE" w:rsidRPr="00AF4828" w14:paraId="311E61E5" w14:textId="77777777" w:rsidTr="00302B92">
        <w:trPr>
          <w:trHeight w:val="170"/>
        </w:trPr>
        <w:tc>
          <w:tcPr>
            <w:tcW w:w="2615" w:type="dxa"/>
            <w:tcBorders>
              <w:top w:val="single" w:sz="1" w:space="0" w:color="CCCCCC"/>
              <w:left w:val="single" w:sz="1" w:space="0" w:color="CCCCCC"/>
              <w:bottom w:val="single" w:sz="1" w:space="0" w:color="CCCCCC"/>
              <w:right w:val="single" w:sz="1" w:space="0" w:color="CCCCCC"/>
            </w:tcBorders>
          </w:tcPr>
          <w:p w14:paraId="5B474CD0" w14:textId="77777777" w:rsidR="00BF6CFE" w:rsidRPr="00AF4828" w:rsidRDefault="00000000" w:rsidP="00064ABF">
            <w:pPr>
              <w:spacing w:before="6" w:after="6"/>
              <w:rPr>
                <w:rFonts w:ascii="Lora" w:hAnsi="Lora" w:cs="Times New Roman"/>
                <w:color w:val="404040" w:themeColor="text1" w:themeTint="BF"/>
                <w:sz w:val="20"/>
                <w:szCs w:val="20"/>
              </w:rPr>
            </w:pPr>
            <w:r w:rsidRPr="00AF4828">
              <w:rPr>
                <w:rFonts w:ascii="Lora" w:hAnsi="Lora" w:cs="Times New Roman"/>
                <w:color w:val="404040" w:themeColor="text1" w:themeTint="BF"/>
                <w:sz w:val="20"/>
                <w:szCs w:val="20"/>
              </w:rPr>
              <w:t>Specificity</w:t>
            </w:r>
          </w:p>
        </w:tc>
        <w:tc>
          <w:tcPr>
            <w:tcW w:w="2615" w:type="dxa"/>
            <w:tcBorders>
              <w:top w:val="single" w:sz="1" w:space="0" w:color="CCCCCC"/>
              <w:left w:val="single" w:sz="1" w:space="0" w:color="CCCCCC"/>
              <w:bottom w:val="single" w:sz="1" w:space="0" w:color="CCCCCC"/>
              <w:right w:val="single" w:sz="1" w:space="0" w:color="CCCCCC"/>
            </w:tcBorders>
            <w:shd w:val="clear" w:color="auto" w:fill="F0F8FF"/>
          </w:tcPr>
          <w:p w14:paraId="595A9E2E" w14:textId="77777777" w:rsidR="00BF6CFE" w:rsidRPr="00AF4828" w:rsidRDefault="00000000" w:rsidP="00064ABF">
            <w:pPr>
              <w:spacing w:before="6" w:after="6"/>
              <w:jc w:val="center"/>
              <w:rPr>
                <w:rFonts w:ascii="Lora" w:hAnsi="Lora" w:cs="Times New Roman"/>
                <w:color w:val="404040" w:themeColor="text1" w:themeTint="BF"/>
                <w:sz w:val="20"/>
                <w:szCs w:val="20"/>
              </w:rPr>
            </w:pPr>
            <w:r w:rsidRPr="00AF4828">
              <w:rPr>
                <w:rFonts w:ascii="Lora" w:hAnsi="Lora" w:cs="Times New Roman"/>
                <w:color w:val="404040" w:themeColor="text1" w:themeTint="BF"/>
                <w:sz w:val="20"/>
                <w:szCs w:val="20"/>
              </w:rPr>
              <w:t>97.08%</w:t>
            </w:r>
          </w:p>
        </w:tc>
        <w:tc>
          <w:tcPr>
            <w:tcW w:w="2615" w:type="dxa"/>
            <w:tcBorders>
              <w:top w:val="single" w:sz="1" w:space="0" w:color="CCCCCC"/>
              <w:left w:val="single" w:sz="1" w:space="0" w:color="CCCCCC"/>
              <w:bottom w:val="single" w:sz="1" w:space="0" w:color="CCCCCC"/>
              <w:right w:val="single" w:sz="1" w:space="0" w:color="CCCCCC"/>
            </w:tcBorders>
            <w:shd w:val="clear" w:color="auto" w:fill="F0F8FF"/>
          </w:tcPr>
          <w:p w14:paraId="047323A8" w14:textId="77777777" w:rsidR="00BF6CFE" w:rsidRPr="00AF4828" w:rsidRDefault="00000000" w:rsidP="00064ABF">
            <w:pPr>
              <w:spacing w:before="6" w:after="6"/>
              <w:jc w:val="center"/>
              <w:rPr>
                <w:rFonts w:ascii="Lora" w:hAnsi="Lora" w:cs="Times New Roman"/>
                <w:color w:val="404040" w:themeColor="text1" w:themeTint="BF"/>
                <w:sz w:val="20"/>
                <w:szCs w:val="20"/>
              </w:rPr>
            </w:pPr>
            <w:r w:rsidRPr="00AF4828">
              <w:rPr>
                <w:rFonts w:ascii="Lora" w:hAnsi="Lora" w:cs="Times New Roman"/>
                <w:color w:val="404040" w:themeColor="text1" w:themeTint="BF"/>
                <w:sz w:val="20"/>
                <w:szCs w:val="20"/>
              </w:rPr>
              <w:t>91.36%</w:t>
            </w:r>
          </w:p>
        </w:tc>
        <w:tc>
          <w:tcPr>
            <w:tcW w:w="2615" w:type="dxa"/>
            <w:tcBorders>
              <w:top w:val="single" w:sz="1" w:space="0" w:color="CCCCCC"/>
              <w:left w:val="single" w:sz="1" w:space="0" w:color="CCCCCC"/>
              <w:bottom w:val="single" w:sz="1" w:space="0" w:color="CCCCCC"/>
              <w:right w:val="single" w:sz="1" w:space="0" w:color="CCCCCC"/>
            </w:tcBorders>
            <w:shd w:val="clear" w:color="auto" w:fill="E6F3FF"/>
          </w:tcPr>
          <w:p w14:paraId="502B8872" w14:textId="77777777" w:rsidR="00BF6CFE" w:rsidRPr="00AF4828" w:rsidRDefault="00000000" w:rsidP="00064ABF">
            <w:pPr>
              <w:spacing w:before="6" w:after="6"/>
              <w:jc w:val="center"/>
              <w:rPr>
                <w:rFonts w:ascii="Lora" w:hAnsi="Lora" w:cs="Times New Roman"/>
                <w:color w:val="404040" w:themeColor="text1" w:themeTint="BF"/>
                <w:sz w:val="20"/>
                <w:szCs w:val="20"/>
              </w:rPr>
            </w:pPr>
            <w:r w:rsidRPr="00AF4828">
              <w:rPr>
                <w:rFonts w:ascii="Lora" w:hAnsi="Lora" w:cs="Times New Roman"/>
                <w:b/>
                <w:bCs/>
                <w:color w:val="404040" w:themeColor="text1" w:themeTint="BF"/>
                <w:sz w:val="20"/>
                <w:szCs w:val="20"/>
              </w:rPr>
              <w:t>98.03%</w:t>
            </w:r>
          </w:p>
        </w:tc>
      </w:tr>
      <w:tr w:rsidR="001D29FE" w:rsidRPr="00AF4828" w14:paraId="04B3FECA" w14:textId="77777777" w:rsidTr="00302B92">
        <w:trPr>
          <w:trHeight w:val="170"/>
        </w:trPr>
        <w:tc>
          <w:tcPr>
            <w:tcW w:w="2615" w:type="dxa"/>
            <w:tcBorders>
              <w:top w:val="single" w:sz="1" w:space="0" w:color="CCCCCC"/>
              <w:left w:val="single" w:sz="1" w:space="0" w:color="CCCCCC"/>
              <w:bottom w:val="single" w:sz="1" w:space="0" w:color="CCCCCC"/>
              <w:right w:val="single" w:sz="1" w:space="0" w:color="CCCCCC"/>
            </w:tcBorders>
          </w:tcPr>
          <w:p w14:paraId="759E57EB" w14:textId="77777777" w:rsidR="00BF6CFE" w:rsidRPr="00AF4828" w:rsidRDefault="00000000" w:rsidP="00064ABF">
            <w:pPr>
              <w:spacing w:before="6" w:after="6"/>
              <w:rPr>
                <w:rFonts w:ascii="Lora" w:hAnsi="Lora" w:cs="Times New Roman"/>
                <w:color w:val="404040" w:themeColor="text1" w:themeTint="BF"/>
                <w:sz w:val="20"/>
                <w:szCs w:val="20"/>
              </w:rPr>
            </w:pPr>
            <w:r w:rsidRPr="00AF4828">
              <w:rPr>
                <w:rFonts w:ascii="Lora" w:hAnsi="Lora" w:cs="Times New Roman"/>
                <w:color w:val="404040" w:themeColor="text1" w:themeTint="BF"/>
                <w:sz w:val="20"/>
                <w:szCs w:val="20"/>
              </w:rPr>
              <w:t>AUC</w:t>
            </w:r>
          </w:p>
        </w:tc>
        <w:tc>
          <w:tcPr>
            <w:tcW w:w="2615" w:type="dxa"/>
            <w:tcBorders>
              <w:top w:val="single" w:sz="1" w:space="0" w:color="CCCCCC"/>
              <w:left w:val="single" w:sz="1" w:space="0" w:color="CCCCCC"/>
              <w:bottom w:val="single" w:sz="1" w:space="0" w:color="CCCCCC"/>
              <w:right w:val="single" w:sz="1" w:space="0" w:color="CCCCCC"/>
            </w:tcBorders>
            <w:shd w:val="clear" w:color="auto" w:fill="F0F8FF"/>
          </w:tcPr>
          <w:p w14:paraId="569FC862" w14:textId="77777777" w:rsidR="00BF6CFE" w:rsidRPr="00AF4828" w:rsidRDefault="00000000" w:rsidP="00064ABF">
            <w:pPr>
              <w:spacing w:before="6" w:after="6"/>
              <w:jc w:val="center"/>
              <w:rPr>
                <w:rFonts w:ascii="Lora" w:hAnsi="Lora" w:cs="Times New Roman"/>
                <w:color w:val="404040" w:themeColor="text1" w:themeTint="BF"/>
                <w:sz w:val="20"/>
                <w:szCs w:val="20"/>
              </w:rPr>
            </w:pPr>
            <w:r w:rsidRPr="00AF4828">
              <w:rPr>
                <w:rFonts w:ascii="Lora" w:hAnsi="Lora" w:cs="Times New Roman"/>
                <w:color w:val="404040" w:themeColor="text1" w:themeTint="BF"/>
                <w:sz w:val="20"/>
                <w:szCs w:val="20"/>
              </w:rPr>
              <w:t>98.88%</w:t>
            </w:r>
          </w:p>
        </w:tc>
        <w:tc>
          <w:tcPr>
            <w:tcW w:w="2615" w:type="dxa"/>
            <w:tcBorders>
              <w:top w:val="single" w:sz="1" w:space="0" w:color="CCCCCC"/>
              <w:left w:val="single" w:sz="1" w:space="0" w:color="CCCCCC"/>
              <w:bottom w:val="single" w:sz="1" w:space="0" w:color="CCCCCC"/>
              <w:right w:val="single" w:sz="1" w:space="0" w:color="CCCCCC"/>
            </w:tcBorders>
            <w:shd w:val="clear" w:color="auto" w:fill="F0F8FF"/>
          </w:tcPr>
          <w:p w14:paraId="4AD734BD" w14:textId="77777777" w:rsidR="00BF6CFE" w:rsidRPr="00AF4828" w:rsidRDefault="00000000" w:rsidP="00064ABF">
            <w:pPr>
              <w:spacing w:before="6" w:after="6"/>
              <w:jc w:val="center"/>
              <w:rPr>
                <w:rFonts w:ascii="Lora" w:hAnsi="Lora" w:cs="Times New Roman"/>
                <w:color w:val="404040" w:themeColor="text1" w:themeTint="BF"/>
                <w:sz w:val="20"/>
                <w:szCs w:val="20"/>
              </w:rPr>
            </w:pPr>
            <w:r w:rsidRPr="00AF4828">
              <w:rPr>
                <w:rFonts w:ascii="Lora" w:hAnsi="Lora" w:cs="Times New Roman"/>
                <w:color w:val="404040" w:themeColor="text1" w:themeTint="BF"/>
                <w:sz w:val="20"/>
                <w:szCs w:val="20"/>
              </w:rPr>
              <w:t>97.11%</w:t>
            </w:r>
          </w:p>
        </w:tc>
        <w:tc>
          <w:tcPr>
            <w:tcW w:w="2615" w:type="dxa"/>
            <w:tcBorders>
              <w:top w:val="single" w:sz="1" w:space="0" w:color="CCCCCC"/>
              <w:left w:val="single" w:sz="1" w:space="0" w:color="CCCCCC"/>
              <w:bottom w:val="single" w:sz="1" w:space="0" w:color="CCCCCC"/>
              <w:right w:val="single" w:sz="1" w:space="0" w:color="CCCCCC"/>
            </w:tcBorders>
            <w:shd w:val="clear" w:color="auto" w:fill="E6F3FF"/>
          </w:tcPr>
          <w:p w14:paraId="3D0F0808" w14:textId="77777777" w:rsidR="00BF6CFE" w:rsidRPr="00AF4828" w:rsidRDefault="00000000" w:rsidP="00064ABF">
            <w:pPr>
              <w:spacing w:before="6" w:after="6"/>
              <w:jc w:val="center"/>
              <w:rPr>
                <w:rFonts w:ascii="Lora" w:hAnsi="Lora" w:cs="Times New Roman"/>
                <w:color w:val="404040" w:themeColor="text1" w:themeTint="BF"/>
                <w:sz w:val="20"/>
                <w:szCs w:val="20"/>
              </w:rPr>
            </w:pPr>
            <w:r w:rsidRPr="00AF4828">
              <w:rPr>
                <w:rFonts w:ascii="Lora" w:hAnsi="Lora" w:cs="Times New Roman"/>
                <w:b/>
                <w:bCs/>
                <w:color w:val="404040" w:themeColor="text1" w:themeTint="BF"/>
                <w:sz w:val="20"/>
                <w:szCs w:val="20"/>
              </w:rPr>
              <w:t>98.37%</w:t>
            </w:r>
          </w:p>
        </w:tc>
      </w:tr>
    </w:tbl>
    <w:p w14:paraId="084243BC" w14:textId="77777777" w:rsidR="00BF6CFE" w:rsidRPr="00AF4828" w:rsidRDefault="00000000" w:rsidP="00064ABF">
      <w:pPr>
        <w:spacing w:before="6" w:after="6"/>
        <w:jc w:val="center"/>
        <w:rPr>
          <w:rFonts w:ascii="Lora" w:hAnsi="Lora" w:cs="Times New Roman"/>
          <w:i/>
          <w:iCs/>
          <w:color w:val="404040" w:themeColor="text1" w:themeTint="BF"/>
          <w:sz w:val="20"/>
          <w:szCs w:val="20"/>
        </w:rPr>
      </w:pPr>
      <w:r w:rsidRPr="00AF4828">
        <w:rPr>
          <w:rFonts w:ascii="Lora" w:hAnsi="Lora" w:cs="Times New Roman"/>
          <w:b/>
          <w:bCs/>
          <w:i/>
          <w:iCs/>
          <w:color w:val="404040" w:themeColor="text1" w:themeTint="BF"/>
          <w:sz w:val="20"/>
          <w:szCs w:val="20"/>
        </w:rPr>
        <w:t>Table 1</w:t>
      </w:r>
      <w:r w:rsidRPr="00AF4828">
        <w:rPr>
          <w:rFonts w:ascii="Lora" w:hAnsi="Lora" w:cs="Times New Roman"/>
          <w:i/>
          <w:iCs/>
          <w:color w:val="404040" w:themeColor="text1" w:themeTint="BF"/>
          <w:sz w:val="20"/>
          <w:szCs w:val="20"/>
        </w:rPr>
        <w:t>: Performance metrics across training, validation, and test sets</w:t>
      </w:r>
    </w:p>
    <w:p w14:paraId="2870DE6D" w14:textId="77777777" w:rsidR="00064ABF" w:rsidRPr="00AF4828" w:rsidRDefault="00064ABF" w:rsidP="00064ABF">
      <w:pPr>
        <w:spacing w:before="6" w:after="6"/>
        <w:jc w:val="center"/>
        <w:rPr>
          <w:rFonts w:ascii="Lora" w:hAnsi="Lora" w:cs="Times New Roman"/>
          <w:color w:val="404040" w:themeColor="text1" w:themeTint="BF"/>
          <w:sz w:val="20"/>
          <w:szCs w:val="20"/>
        </w:rPr>
      </w:pPr>
    </w:p>
    <w:p w14:paraId="712D272F" w14:textId="77777777" w:rsidR="00BF6CFE" w:rsidRPr="00AF4828" w:rsidRDefault="00000000" w:rsidP="00064ABF">
      <w:pPr>
        <w:spacing w:before="6" w:after="6"/>
        <w:jc w:val="both"/>
        <w:rPr>
          <w:rFonts w:ascii="Lora" w:hAnsi="Lora" w:cs="Times New Roman"/>
          <w:color w:val="404040" w:themeColor="text1" w:themeTint="BF"/>
          <w:sz w:val="20"/>
          <w:szCs w:val="20"/>
        </w:rPr>
      </w:pPr>
      <w:r w:rsidRPr="00AF4828">
        <w:rPr>
          <w:rFonts w:ascii="Lora" w:hAnsi="Lora" w:cs="Times New Roman"/>
          <w:color w:val="404040" w:themeColor="text1" w:themeTint="BF"/>
          <w:sz w:val="20"/>
          <w:szCs w:val="20"/>
        </w:rPr>
        <w:t>The model demonstrated exceptional test performance with 95.16% accuracy and 98.37% AUC. The high specificity (98.03%) minimizes false positives, crucial for avoiding unnecessary invasive procedures, while the sensitivity of 92.38% ensures effective malignant nodule detection. Figure 2 displays confusion matrices across all datasets, confirming strong classification performance.</w:t>
      </w:r>
    </w:p>
    <w:p w14:paraId="6C453680" w14:textId="41ADD411" w:rsidR="00BF6CFE" w:rsidRPr="00AF4828" w:rsidRDefault="00A83724" w:rsidP="00064ABF">
      <w:pPr>
        <w:spacing w:before="6" w:after="6"/>
        <w:jc w:val="center"/>
        <w:rPr>
          <w:rFonts w:ascii="Lora" w:hAnsi="Lora" w:cs="Times New Roman"/>
          <w:color w:val="404040" w:themeColor="text1" w:themeTint="BF"/>
          <w:sz w:val="20"/>
          <w:szCs w:val="20"/>
        </w:rPr>
      </w:pPr>
      <w:r>
        <w:rPr>
          <w:noProof/>
        </w:rPr>
        <w:drawing>
          <wp:inline distT="0" distB="0" distL="0" distR="0" wp14:anchorId="4294D688" wp14:editId="74A7461E">
            <wp:extent cx="6645910" cy="1921510"/>
            <wp:effectExtent l="0" t="0" r="2540" b="2540"/>
            <wp:docPr id="310340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45910" cy="1921510"/>
                    </a:xfrm>
                    <a:prstGeom prst="rect">
                      <a:avLst/>
                    </a:prstGeom>
                    <a:noFill/>
                    <a:ln>
                      <a:noFill/>
                    </a:ln>
                  </pic:spPr>
                </pic:pic>
              </a:graphicData>
            </a:graphic>
          </wp:inline>
        </w:drawing>
      </w:r>
    </w:p>
    <w:p w14:paraId="3648B33A" w14:textId="77777777" w:rsidR="00BF6CFE" w:rsidRPr="00AF4828" w:rsidRDefault="00000000" w:rsidP="00064ABF">
      <w:pPr>
        <w:spacing w:before="6" w:after="6"/>
        <w:jc w:val="center"/>
        <w:rPr>
          <w:rFonts w:ascii="Lora" w:hAnsi="Lora" w:cs="Times New Roman"/>
          <w:i/>
          <w:iCs/>
          <w:color w:val="404040" w:themeColor="text1" w:themeTint="BF"/>
          <w:sz w:val="20"/>
          <w:szCs w:val="20"/>
        </w:rPr>
      </w:pPr>
      <w:r w:rsidRPr="00E80ADC">
        <w:rPr>
          <w:rFonts w:ascii="Lora" w:hAnsi="Lora" w:cs="Times New Roman"/>
          <w:b/>
          <w:bCs/>
          <w:i/>
          <w:iCs/>
          <w:color w:val="404040" w:themeColor="text1" w:themeTint="BF"/>
          <w:sz w:val="20"/>
          <w:szCs w:val="20"/>
        </w:rPr>
        <w:t>Figure 2</w:t>
      </w:r>
      <w:r w:rsidRPr="00AF4828">
        <w:rPr>
          <w:rFonts w:ascii="Lora" w:hAnsi="Lora" w:cs="Times New Roman"/>
          <w:i/>
          <w:iCs/>
          <w:color w:val="404040" w:themeColor="text1" w:themeTint="BF"/>
          <w:sz w:val="20"/>
          <w:szCs w:val="20"/>
        </w:rPr>
        <w:t>: Confusion matrices showing accurate classification across all datasets</w:t>
      </w:r>
    </w:p>
    <w:p w14:paraId="7AEEF824" w14:textId="77777777" w:rsidR="00064ABF" w:rsidRPr="00AF4828" w:rsidRDefault="00064ABF" w:rsidP="00064ABF">
      <w:pPr>
        <w:spacing w:before="6" w:after="6"/>
        <w:jc w:val="center"/>
        <w:rPr>
          <w:rFonts w:ascii="Lora" w:hAnsi="Lora" w:cs="Times New Roman"/>
          <w:color w:val="404040" w:themeColor="text1" w:themeTint="BF"/>
          <w:sz w:val="20"/>
          <w:szCs w:val="20"/>
        </w:rPr>
      </w:pPr>
    </w:p>
    <w:p w14:paraId="1E10931C" w14:textId="49A2EE71" w:rsidR="00BF6CFE" w:rsidRPr="00AF4828" w:rsidRDefault="00302B92" w:rsidP="00064ABF">
      <w:pPr>
        <w:pStyle w:val="Heading2"/>
        <w:spacing w:before="6" w:after="6"/>
        <w:rPr>
          <w:rFonts w:ascii="Lora" w:hAnsi="Lora" w:cs="Times New Roman"/>
          <w:color w:val="404040" w:themeColor="text1" w:themeTint="BF"/>
          <w:sz w:val="20"/>
          <w:szCs w:val="20"/>
        </w:rPr>
      </w:pPr>
      <w:r w:rsidRPr="00AF4828">
        <w:rPr>
          <w:rFonts w:ascii="Lora" w:hAnsi="Lora"/>
          <w:noProof/>
          <w:sz w:val="20"/>
          <w:szCs w:val="20"/>
        </w:rPr>
        <w:drawing>
          <wp:anchor distT="0" distB="0" distL="114300" distR="114300" simplePos="0" relativeHeight="251658240" behindDoc="1" locked="0" layoutInCell="1" allowOverlap="1" wp14:anchorId="71AB4125" wp14:editId="235096F3">
            <wp:simplePos x="0" y="0"/>
            <wp:positionH relativeFrom="margin">
              <wp:posOffset>3543935</wp:posOffset>
            </wp:positionH>
            <wp:positionV relativeFrom="paragraph">
              <wp:posOffset>9525</wp:posOffset>
            </wp:positionV>
            <wp:extent cx="3104515" cy="2529840"/>
            <wp:effectExtent l="0" t="0" r="635" b="3810"/>
            <wp:wrapTight wrapText="bothSides">
              <wp:wrapPolygon edited="0">
                <wp:start x="0" y="0"/>
                <wp:lineTo x="0" y="21470"/>
                <wp:lineTo x="21472" y="21470"/>
                <wp:lineTo x="21472" y="0"/>
                <wp:lineTo x="0" y="0"/>
              </wp:wrapPolygon>
            </wp:wrapTight>
            <wp:docPr id="5936402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6047" t="8208" r="8471" b="4740"/>
                    <a:stretch>
                      <a:fillRect/>
                    </a:stretch>
                  </pic:blipFill>
                  <pic:spPr bwMode="auto">
                    <a:xfrm>
                      <a:off x="0" y="0"/>
                      <a:ext cx="3104515" cy="25298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F4828">
        <w:rPr>
          <w:rFonts w:ascii="Lora" w:hAnsi="Lora" w:cs="Times New Roman"/>
          <w:color w:val="404040" w:themeColor="text1" w:themeTint="BF"/>
          <w:sz w:val="20"/>
          <w:szCs w:val="20"/>
        </w:rPr>
        <w:t>3.2 Model Robustness &amp; ROC Analysis</w:t>
      </w:r>
    </w:p>
    <w:p w14:paraId="7CE8673E" w14:textId="35A3027B" w:rsidR="00BF6CFE" w:rsidRPr="00AF4828" w:rsidRDefault="00000000" w:rsidP="00064ABF">
      <w:pPr>
        <w:spacing w:before="6" w:after="6"/>
        <w:jc w:val="both"/>
        <w:rPr>
          <w:rFonts w:ascii="Lora" w:hAnsi="Lora" w:cs="Times New Roman"/>
          <w:color w:val="404040" w:themeColor="text1" w:themeTint="BF"/>
          <w:sz w:val="20"/>
          <w:szCs w:val="20"/>
        </w:rPr>
      </w:pPr>
      <w:r w:rsidRPr="00AF4828">
        <w:rPr>
          <w:rFonts w:ascii="Lora" w:hAnsi="Lora" w:cs="Times New Roman"/>
          <w:color w:val="404040" w:themeColor="text1" w:themeTint="BF"/>
          <w:sz w:val="20"/>
          <w:szCs w:val="20"/>
        </w:rPr>
        <w:t>Five-fold cross-validation yielded a mean accuracy of 79.30% (±14.96%) with mean AUC of 87.86% (±15.42%), demonstrating reasonable generalization despite some variance across folds. ROC analysis (</w:t>
      </w:r>
      <w:r w:rsidRPr="00032208">
        <w:rPr>
          <w:rFonts w:ascii="Lora" w:hAnsi="Lora" w:cs="Times New Roman"/>
          <w:b/>
          <w:bCs/>
          <w:color w:val="404040" w:themeColor="text1" w:themeTint="BF"/>
          <w:sz w:val="20"/>
          <w:szCs w:val="20"/>
        </w:rPr>
        <w:t>Figure 3</w:t>
      </w:r>
      <w:r w:rsidRPr="00AF4828">
        <w:rPr>
          <w:rFonts w:ascii="Lora" w:hAnsi="Lora" w:cs="Times New Roman"/>
          <w:color w:val="404040" w:themeColor="text1" w:themeTint="BF"/>
          <w:sz w:val="20"/>
          <w:szCs w:val="20"/>
        </w:rPr>
        <w:t>) shows excellent discrimination with AUC values consistently above 97% for all datasets, indicating strong separability between benign and malignant classes.</w:t>
      </w:r>
    </w:p>
    <w:p w14:paraId="7ACDC010" w14:textId="170753B5" w:rsidR="00BF6CFE" w:rsidRPr="00AF4828" w:rsidRDefault="00BF6CFE" w:rsidP="00064ABF">
      <w:pPr>
        <w:spacing w:before="6" w:after="6"/>
        <w:jc w:val="center"/>
        <w:rPr>
          <w:rFonts w:ascii="Lora" w:hAnsi="Lora" w:cs="Times New Roman"/>
          <w:color w:val="404040" w:themeColor="text1" w:themeTint="BF"/>
          <w:sz w:val="20"/>
          <w:szCs w:val="20"/>
        </w:rPr>
      </w:pPr>
    </w:p>
    <w:p w14:paraId="424E2078" w14:textId="77777777" w:rsidR="00BF6CFE" w:rsidRPr="00AF4828" w:rsidRDefault="00000000" w:rsidP="00064ABF">
      <w:pPr>
        <w:spacing w:before="6" w:after="6"/>
        <w:jc w:val="center"/>
        <w:rPr>
          <w:rFonts w:ascii="Lora" w:hAnsi="Lora" w:cs="Times New Roman"/>
          <w:i/>
          <w:iCs/>
          <w:color w:val="404040" w:themeColor="text1" w:themeTint="BF"/>
          <w:sz w:val="20"/>
          <w:szCs w:val="20"/>
        </w:rPr>
      </w:pPr>
      <w:r w:rsidRPr="00AF4828">
        <w:rPr>
          <w:rFonts w:ascii="Lora" w:hAnsi="Lora" w:cs="Times New Roman"/>
          <w:b/>
          <w:bCs/>
          <w:i/>
          <w:iCs/>
          <w:color w:val="404040" w:themeColor="text1" w:themeTint="BF"/>
          <w:sz w:val="20"/>
          <w:szCs w:val="20"/>
        </w:rPr>
        <w:t>Figure 3</w:t>
      </w:r>
      <w:r w:rsidRPr="00AF4828">
        <w:rPr>
          <w:rFonts w:ascii="Lora" w:hAnsi="Lora" w:cs="Times New Roman"/>
          <w:i/>
          <w:iCs/>
          <w:color w:val="404040" w:themeColor="text1" w:themeTint="BF"/>
          <w:sz w:val="20"/>
          <w:szCs w:val="20"/>
        </w:rPr>
        <w:t>: ROC curves demonstrating excellent discrimination (AUC &gt; 0.97)</w:t>
      </w:r>
    </w:p>
    <w:p w14:paraId="6365E4F6" w14:textId="77777777" w:rsidR="00302B92" w:rsidRPr="00AF4828" w:rsidRDefault="00302B92" w:rsidP="00064ABF">
      <w:pPr>
        <w:spacing w:before="6" w:after="6"/>
        <w:jc w:val="center"/>
        <w:rPr>
          <w:rFonts w:ascii="Lora" w:hAnsi="Lora" w:cs="Times New Roman"/>
          <w:color w:val="404040" w:themeColor="text1" w:themeTint="BF"/>
          <w:sz w:val="20"/>
          <w:szCs w:val="20"/>
        </w:rPr>
      </w:pPr>
    </w:p>
    <w:p w14:paraId="4A4082C5" w14:textId="77777777" w:rsidR="00BF6CFE" w:rsidRPr="00AF4828" w:rsidRDefault="00000000" w:rsidP="00064ABF">
      <w:pPr>
        <w:pStyle w:val="Heading2"/>
        <w:spacing w:before="6" w:after="6"/>
        <w:rPr>
          <w:rFonts w:ascii="Lora" w:hAnsi="Lora" w:cs="Times New Roman"/>
          <w:color w:val="404040" w:themeColor="text1" w:themeTint="BF"/>
          <w:sz w:val="20"/>
          <w:szCs w:val="20"/>
        </w:rPr>
      </w:pPr>
      <w:r w:rsidRPr="00AF4828">
        <w:rPr>
          <w:rFonts w:ascii="Lora" w:hAnsi="Lora" w:cs="Times New Roman"/>
          <w:color w:val="404040" w:themeColor="text1" w:themeTint="BF"/>
          <w:sz w:val="20"/>
          <w:szCs w:val="20"/>
        </w:rPr>
        <w:t>3.3 Feature Analysis</w:t>
      </w:r>
    </w:p>
    <w:p w14:paraId="27E59DFA" w14:textId="57A2E816" w:rsidR="00BF6CFE" w:rsidRPr="00AF4828" w:rsidRDefault="00064ABF" w:rsidP="00064ABF">
      <w:pPr>
        <w:spacing w:before="6" w:after="6"/>
        <w:jc w:val="both"/>
        <w:rPr>
          <w:rFonts w:ascii="Lora" w:hAnsi="Lora" w:cs="Times New Roman"/>
          <w:color w:val="404040" w:themeColor="text1" w:themeTint="BF"/>
          <w:sz w:val="20"/>
          <w:szCs w:val="20"/>
        </w:rPr>
      </w:pPr>
      <w:r w:rsidRPr="00AF4828">
        <w:rPr>
          <w:rFonts w:ascii="Lora" w:hAnsi="Lora"/>
          <w:noProof/>
          <w:sz w:val="20"/>
          <w:szCs w:val="20"/>
        </w:rPr>
        <w:drawing>
          <wp:anchor distT="0" distB="0" distL="114300" distR="114300" simplePos="0" relativeHeight="251659264" behindDoc="1" locked="0" layoutInCell="1" allowOverlap="1" wp14:anchorId="45CAA277" wp14:editId="76EE4C48">
            <wp:simplePos x="0" y="0"/>
            <wp:positionH relativeFrom="margin">
              <wp:align>right</wp:align>
            </wp:positionH>
            <wp:positionV relativeFrom="paragraph">
              <wp:posOffset>531495</wp:posOffset>
            </wp:positionV>
            <wp:extent cx="4419600" cy="2308860"/>
            <wp:effectExtent l="0" t="0" r="0" b="0"/>
            <wp:wrapTight wrapText="bothSides">
              <wp:wrapPolygon edited="0">
                <wp:start x="0" y="0"/>
                <wp:lineTo x="0" y="21386"/>
                <wp:lineTo x="21507" y="21386"/>
                <wp:lineTo x="21507" y="0"/>
                <wp:lineTo x="0" y="0"/>
              </wp:wrapPolygon>
            </wp:wrapTight>
            <wp:docPr id="18855558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7108" t="7899" r="8752" b="4185"/>
                    <a:stretch>
                      <a:fillRect/>
                    </a:stretch>
                  </pic:blipFill>
                  <pic:spPr bwMode="auto">
                    <a:xfrm>
                      <a:off x="0" y="0"/>
                      <a:ext cx="4419600" cy="23088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F4828">
        <w:rPr>
          <w:rFonts w:ascii="Lora" w:hAnsi="Lora" w:cs="Times New Roman"/>
          <w:color w:val="404040" w:themeColor="text1" w:themeTint="BF"/>
          <w:sz w:val="20"/>
          <w:szCs w:val="20"/>
        </w:rPr>
        <w:t>Random forest-based feature importance analysis identified the top discriminative features (Figure 4). Texture features dominated the top rankings, with GLCM contrast and wavelet coefficients showing particularly high importance, validating the effectiveness of multi-scale texture characterization for nodule classification.</w:t>
      </w:r>
    </w:p>
    <w:p w14:paraId="2EEA5491" w14:textId="6CFA412A" w:rsidR="00BF6CFE" w:rsidRPr="00AF4828" w:rsidRDefault="00BF6CFE" w:rsidP="00064ABF">
      <w:pPr>
        <w:spacing w:before="6" w:after="6"/>
        <w:jc w:val="center"/>
        <w:rPr>
          <w:rFonts w:ascii="Lora" w:hAnsi="Lora" w:cs="Times New Roman"/>
          <w:color w:val="404040" w:themeColor="text1" w:themeTint="BF"/>
          <w:sz w:val="20"/>
          <w:szCs w:val="20"/>
        </w:rPr>
      </w:pPr>
    </w:p>
    <w:p w14:paraId="7FEA76A1" w14:textId="0EE9C07D" w:rsidR="00302B92" w:rsidRPr="00AF4828" w:rsidRDefault="00302B92" w:rsidP="0008064F">
      <w:pPr>
        <w:spacing w:before="6" w:after="6"/>
        <w:rPr>
          <w:rFonts w:ascii="Lora" w:hAnsi="Lora" w:cs="Times New Roman"/>
          <w:i/>
          <w:iCs/>
          <w:color w:val="404040" w:themeColor="text1" w:themeTint="BF"/>
          <w:sz w:val="20"/>
          <w:szCs w:val="20"/>
        </w:rPr>
      </w:pPr>
    </w:p>
    <w:p w14:paraId="0E088D7F" w14:textId="77777777" w:rsidR="00302B92" w:rsidRPr="00AF4828" w:rsidRDefault="00302B92" w:rsidP="00064ABF">
      <w:pPr>
        <w:spacing w:before="6" w:after="6"/>
        <w:jc w:val="center"/>
        <w:rPr>
          <w:rFonts w:ascii="Lora" w:hAnsi="Lora" w:cs="Times New Roman"/>
          <w:i/>
          <w:iCs/>
          <w:color w:val="404040" w:themeColor="text1" w:themeTint="BF"/>
          <w:sz w:val="20"/>
          <w:szCs w:val="20"/>
        </w:rPr>
      </w:pPr>
    </w:p>
    <w:p w14:paraId="6EBB02DC" w14:textId="60D60848" w:rsidR="00BF6CFE" w:rsidRPr="00AF4828" w:rsidRDefault="00000000" w:rsidP="00064ABF">
      <w:pPr>
        <w:spacing w:before="6" w:after="6"/>
        <w:jc w:val="center"/>
        <w:rPr>
          <w:rFonts w:ascii="Lora" w:hAnsi="Lora" w:cs="Times New Roman"/>
          <w:color w:val="404040" w:themeColor="text1" w:themeTint="BF"/>
          <w:sz w:val="20"/>
          <w:szCs w:val="20"/>
        </w:rPr>
      </w:pPr>
      <w:r w:rsidRPr="00AF4828">
        <w:rPr>
          <w:rFonts w:ascii="Lora" w:hAnsi="Lora" w:cs="Times New Roman"/>
          <w:b/>
          <w:bCs/>
          <w:i/>
          <w:iCs/>
          <w:color w:val="404040" w:themeColor="text1" w:themeTint="BF"/>
          <w:sz w:val="20"/>
          <w:szCs w:val="20"/>
        </w:rPr>
        <w:t>Figure 4</w:t>
      </w:r>
      <w:r w:rsidRPr="00AF4828">
        <w:rPr>
          <w:rFonts w:ascii="Lora" w:hAnsi="Lora" w:cs="Times New Roman"/>
          <w:i/>
          <w:iCs/>
          <w:color w:val="404040" w:themeColor="text1" w:themeTint="BF"/>
          <w:sz w:val="20"/>
          <w:szCs w:val="20"/>
        </w:rPr>
        <w:t>: Top 20 most important features for classification</w:t>
      </w:r>
    </w:p>
    <w:p w14:paraId="17699701" w14:textId="77777777" w:rsidR="00BF6CFE" w:rsidRPr="00AF4828" w:rsidRDefault="00000000" w:rsidP="00064ABF">
      <w:pPr>
        <w:spacing w:before="6" w:after="6"/>
        <w:rPr>
          <w:rFonts w:ascii="Lora" w:hAnsi="Lora" w:cs="Times New Roman"/>
          <w:color w:val="404040" w:themeColor="text1" w:themeTint="BF"/>
          <w:sz w:val="20"/>
          <w:szCs w:val="20"/>
        </w:rPr>
      </w:pPr>
      <w:r w:rsidRPr="00AF4828">
        <w:rPr>
          <w:rFonts w:ascii="Lora" w:hAnsi="Lora" w:cs="Times New Roman"/>
          <w:color w:val="404040" w:themeColor="text1" w:themeTint="BF"/>
          <w:sz w:val="20"/>
          <w:szCs w:val="20"/>
        </w:rPr>
        <w:br w:type="page"/>
      </w:r>
    </w:p>
    <w:p w14:paraId="48D2B630" w14:textId="77777777" w:rsidR="00BF6CFE" w:rsidRPr="00E80ADC" w:rsidRDefault="00000000" w:rsidP="00064ABF">
      <w:pPr>
        <w:pStyle w:val="Heading1"/>
        <w:spacing w:before="6" w:after="6"/>
        <w:rPr>
          <w:rFonts w:ascii="Lora" w:hAnsi="Lora" w:cs="Times New Roman"/>
          <w:color w:val="0070C0"/>
          <w:sz w:val="24"/>
          <w:szCs w:val="24"/>
        </w:rPr>
      </w:pPr>
      <w:r w:rsidRPr="00E80ADC">
        <w:rPr>
          <w:rFonts w:ascii="Lora" w:hAnsi="Lora" w:cs="Times New Roman"/>
          <w:color w:val="0070C0"/>
          <w:sz w:val="24"/>
          <w:szCs w:val="24"/>
        </w:rPr>
        <w:lastRenderedPageBreak/>
        <w:t>4. Discussion &amp; Conclusion</w:t>
      </w:r>
    </w:p>
    <w:p w14:paraId="60C7CE07" w14:textId="77777777" w:rsidR="00064ABF" w:rsidRPr="00AF4828" w:rsidRDefault="00064ABF" w:rsidP="00064ABF">
      <w:pPr>
        <w:pStyle w:val="Heading1"/>
        <w:spacing w:before="6" w:after="6"/>
        <w:rPr>
          <w:rFonts w:ascii="Lora" w:hAnsi="Lora" w:cs="Times New Roman"/>
          <w:color w:val="0070C0"/>
          <w:sz w:val="20"/>
          <w:szCs w:val="20"/>
        </w:rPr>
      </w:pPr>
    </w:p>
    <w:p w14:paraId="56A42B73" w14:textId="77777777" w:rsidR="00BF6CFE" w:rsidRPr="00AF4828" w:rsidRDefault="00000000" w:rsidP="00064ABF">
      <w:pPr>
        <w:pStyle w:val="Heading2"/>
        <w:spacing w:before="6" w:after="6"/>
        <w:rPr>
          <w:rFonts w:ascii="Lora" w:hAnsi="Lora" w:cs="Times New Roman"/>
          <w:color w:val="404040" w:themeColor="text1" w:themeTint="BF"/>
          <w:sz w:val="20"/>
          <w:szCs w:val="20"/>
        </w:rPr>
      </w:pPr>
      <w:r w:rsidRPr="00AF4828">
        <w:rPr>
          <w:rFonts w:ascii="Lora" w:hAnsi="Lora" w:cs="Times New Roman"/>
          <w:color w:val="404040" w:themeColor="text1" w:themeTint="BF"/>
          <w:sz w:val="20"/>
          <w:szCs w:val="20"/>
        </w:rPr>
        <w:t>4.1 Key Findings &amp; Clinical Implications</w:t>
      </w:r>
    </w:p>
    <w:p w14:paraId="7323B6B6" w14:textId="77777777" w:rsidR="00BF6CFE" w:rsidRPr="00AF4828" w:rsidRDefault="00000000" w:rsidP="00064ABF">
      <w:pPr>
        <w:spacing w:before="6" w:after="6"/>
        <w:jc w:val="both"/>
        <w:rPr>
          <w:rFonts w:ascii="Lora" w:hAnsi="Lora" w:cs="Times New Roman"/>
          <w:color w:val="404040" w:themeColor="text1" w:themeTint="BF"/>
          <w:sz w:val="20"/>
          <w:szCs w:val="20"/>
        </w:rPr>
      </w:pPr>
      <w:r w:rsidRPr="00AF4828">
        <w:rPr>
          <w:rFonts w:ascii="Lora" w:hAnsi="Lora" w:cs="Times New Roman"/>
          <w:color w:val="404040" w:themeColor="text1" w:themeTint="BF"/>
          <w:sz w:val="20"/>
          <w:szCs w:val="20"/>
        </w:rPr>
        <w:t>This study successfully demonstrated that automated 3D texture and morphological feature extraction enables accurate lung nodule classification. The 95.16% test accuracy and 98.37% AUC indicate strong clinical potential as a diagnostic aid. The high specificity (98.03%) is particularly valuable for minimizing false positives and unnecessary biopsies, while the 92.38% sensitivity ensures effective detection of malignant lesions for early intervention.</w:t>
      </w:r>
    </w:p>
    <w:p w14:paraId="3C255F73" w14:textId="77777777" w:rsidR="00BF6CFE" w:rsidRPr="00AF4828" w:rsidRDefault="00000000" w:rsidP="00064ABF">
      <w:pPr>
        <w:spacing w:before="6" w:after="6"/>
        <w:jc w:val="both"/>
        <w:rPr>
          <w:rFonts w:ascii="Lora" w:hAnsi="Lora" w:cs="Times New Roman"/>
          <w:color w:val="404040" w:themeColor="text1" w:themeTint="BF"/>
          <w:sz w:val="20"/>
          <w:szCs w:val="20"/>
        </w:rPr>
      </w:pPr>
      <w:r w:rsidRPr="00AF4828">
        <w:rPr>
          <w:rFonts w:ascii="Lora" w:hAnsi="Lora" w:cs="Times New Roman"/>
          <w:color w:val="404040" w:themeColor="text1" w:themeTint="BF"/>
          <w:sz w:val="20"/>
          <w:szCs w:val="20"/>
        </w:rPr>
        <w:t>The combination of GLCM, LBP, and wavelet features provided complementary nodule characterization, capturing spatial relationships, local patterns, and multi-resolution structural information. This multi-faceted approach proved superior to single-feature-type methods reported in literature. The system could serve as a 'second reader' to support radiologists and improve diagnostic consistency.</w:t>
      </w:r>
    </w:p>
    <w:p w14:paraId="66E18265" w14:textId="77777777" w:rsidR="00064ABF" w:rsidRPr="00AF4828" w:rsidRDefault="00064ABF" w:rsidP="00064ABF">
      <w:pPr>
        <w:spacing w:before="6" w:after="6"/>
        <w:jc w:val="both"/>
        <w:rPr>
          <w:rFonts w:ascii="Lora" w:hAnsi="Lora" w:cs="Times New Roman"/>
          <w:color w:val="404040" w:themeColor="text1" w:themeTint="BF"/>
          <w:sz w:val="20"/>
          <w:szCs w:val="20"/>
        </w:rPr>
      </w:pPr>
    </w:p>
    <w:p w14:paraId="00CB9805" w14:textId="77777777" w:rsidR="00BF6CFE" w:rsidRPr="00AF4828" w:rsidRDefault="00000000" w:rsidP="00064ABF">
      <w:pPr>
        <w:pStyle w:val="Heading2"/>
        <w:spacing w:before="6" w:after="6"/>
        <w:rPr>
          <w:rFonts w:ascii="Lora" w:hAnsi="Lora" w:cs="Times New Roman"/>
          <w:color w:val="404040" w:themeColor="text1" w:themeTint="BF"/>
          <w:sz w:val="20"/>
          <w:szCs w:val="20"/>
        </w:rPr>
      </w:pPr>
      <w:r w:rsidRPr="00AF4828">
        <w:rPr>
          <w:rFonts w:ascii="Lora" w:hAnsi="Lora" w:cs="Times New Roman"/>
          <w:color w:val="404040" w:themeColor="text1" w:themeTint="BF"/>
          <w:sz w:val="20"/>
          <w:szCs w:val="20"/>
        </w:rPr>
        <w:t>4.2 Strengths &amp; Limitations</w:t>
      </w:r>
    </w:p>
    <w:p w14:paraId="1D93B81B" w14:textId="77777777" w:rsidR="00BF6CFE" w:rsidRPr="00AF4828" w:rsidRDefault="00000000" w:rsidP="00064ABF">
      <w:pPr>
        <w:spacing w:before="6" w:after="6"/>
        <w:jc w:val="both"/>
        <w:rPr>
          <w:rFonts w:ascii="Lora" w:hAnsi="Lora" w:cs="Times New Roman"/>
          <w:color w:val="404040" w:themeColor="text1" w:themeTint="BF"/>
          <w:sz w:val="20"/>
          <w:szCs w:val="20"/>
        </w:rPr>
      </w:pPr>
      <w:r w:rsidRPr="00AF4828">
        <w:rPr>
          <w:rFonts w:ascii="Lora" w:hAnsi="Lora" w:cs="Times New Roman"/>
          <w:color w:val="404040" w:themeColor="text1" w:themeTint="BF"/>
          <w:sz w:val="20"/>
          <w:szCs w:val="20"/>
        </w:rPr>
        <w:t>Study strengths include the use of a large, well-established dataset (LIDC-IDRI) with expert annotations, comprehensive multi-method feature extraction, rigorous cross-validation evaluation, and balanced class distribution. The SVM classifier provides interpretable decision boundaries suitable for clinical applications.</w:t>
      </w:r>
    </w:p>
    <w:p w14:paraId="470AB7CE" w14:textId="77777777" w:rsidR="00BF6CFE" w:rsidRPr="00AF4828" w:rsidRDefault="00000000" w:rsidP="00064ABF">
      <w:pPr>
        <w:spacing w:before="6" w:after="6"/>
        <w:jc w:val="both"/>
        <w:rPr>
          <w:rFonts w:ascii="Lora" w:hAnsi="Lora" w:cs="Times New Roman"/>
          <w:color w:val="404040" w:themeColor="text1" w:themeTint="BF"/>
          <w:sz w:val="20"/>
          <w:szCs w:val="20"/>
        </w:rPr>
      </w:pPr>
      <w:r w:rsidRPr="00AF4828">
        <w:rPr>
          <w:rFonts w:ascii="Lora" w:hAnsi="Lora" w:cs="Times New Roman"/>
          <w:color w:val="404040" w:themeColor="text1" w:themeTint="BF"/>
          <w:sz w:val="20"/>
          <w:szCs w:val="20"/>
        </w:rPr>
        <w:t>Limitations include cross-validation variance (±14.96%), suggesting sensitivity to data composition. The study used 2D slices rather than full 3D volumetric analysis, potentially missing some spatial characteristics. External validation on independent datasets is needed to confirm generalizability. Future work should incorporate true 3D convolutional neural networks, integrate clinical metadata (demographics, smoking history), and conduct prospective clinical trials.</w:t>
      </w:r>
    </w:p>
    <w:p w14:paraId="3E057B0B" w14:textId="77777777" w:rsidR="00064ABF" w:rsidRPr="00AF4828" w:rsidRDefault="00064ABF" w:rsidP="00064ABF">
      <w:pPr>
        <w:spacing w:before="6" w:after="6"/>
        <w:jc w:val="both"/>
        <w:rPr>
          <w:rFonts w:ascii="Lora" w:hAnsi="Lora" w:cs="Times New Roman"/>
          <w:color w:val="404040" w:themeColor="text1" w:themeTint="BF"/>
          <w:sz w:val="20"/>
          <w:szCs w:val="20"/>
        </w:rPr>
      </w:pPr>
    </w:p>
    <w:p w14:paraId="013A3092" w14:textId="77777777" w:rsidR="00BF6CFE" w:rsidRPr="00AF4828" w:rsidRDefault="00000000" w:rsidP="00064ABF">
      <w:pPr>
        <w:pStyle w:val="Heading2"/>
        <w:spacing w:before="6" w:after="6"/>
        <w:rPr>
          <w:rFonts w:ascii="Lora" w:hAnsi="Lora" w:cs="Times New Roman"/>
          <w:color w:val="404040" w:themeColor="text1" w:themeTint="BF"/>
          <w:sz w:val="20"/>
          <w:szCs w:val="20"/>
        </w:rPr>
      </w:pPr>
      <w:r w:rsidRPr="00AF4828">
        <w:rPr>
          <w:rFonts w:ascii="Lora" w:hAnsi="Lora" w:cs="Times New Roman"/>
          <w:color w:val="404040" w:themeColor="text1" w:themeTint="BF"/>
          <w:sz w:val="20"/>
          <w:szCs w:val="20"/>
        </w:rPr>
        <w:t>4.3 Conclusion</w:t>
      </w:r>
    </w:p>
    <w:p w14:paraId="3065FADA" w14:textId="77777777" w:rsidR="00BF6CFE" w:rsidRPr="00AF4828" w:rsidRDefault="00000000" w:rsidP="00064ABF">
      <w:pPr>
        <w:spacing w:before="6" w:after="6"/>
        <w:jc w:val="both"/>
        <w:rPr>
          <w:rFonts w:ascii="Lora" w:hAnsi="Lora" w:cs="Times New Roman"/>
          <w:color w:val="404040" w:themeColor="text1" w:themeTint="BF"/>
          <w:sz w:val="20"/>
          <w:szCs w:val="20"/>
        </w:rPr>
      </w:pPr>
      <w:r w:rsidRPr="00AF4828">
        <w:rPr>
          <w:rFonts w:ascii="Lora" w:hAnsi="Lora" w:cs="Times New Roman"/>
          <w:color w:val="404040" w:themeColor="text1" w:themeTint="BF"/>
          <w:sz w:val="20"/>
          <w:szCs w:val="20"/>
        </w:rPr>
        <w:t>This work successfully developed an automated SVM-based system for lung nodule classification achieving excellent performance (95.16% accuracy, 98.37% AUC) comparable to experienced radiologists. The integration of multiple texture feature extraction methods (GLCM, LBP, wavelets) proved effective for capturing discriminative nodule characteristics. The high specificity makes the system clinically viable for reducing false positives. Results demonstrate the feasibility and effectiveness of texture-based CAD systems for lung lesion characterization, with significant implications for early cancer detection and improved patient outcomes.</w:t>
      </w:r>
    </w:p>
    <w:p w14:paraId="7BEB4072" w14:textId="77777777" w:rsidR="00235CA3" w:rsidRPr="00AF4828" w:rsidRDefault="00235CA3" w:rsidP="00064ABF">
      <w:pPr>
        <w:spacing w:before="6" w:after="6"/>
        <w:jc w:val="both"/>
        <w:rPr>
          <w:rFonts w:ascii="Lora" w:hAnsi="Lora" w:cs="Times New Roman"/>
          <w:color w:val="404040" w:themeColor="text1" w:themeTint="BF"/>
          <w:sz w:val="20"/>
          <w:szCs w:val="20"/>
        </w:rPr>
      </w:pPr>
    </w:p>
    <w:p w14:paraId="36505314" w14:textId="77777777" w:rsidR="00064ABF" w:rsidRPr="00AF4828" w:rsidRDefault="00064ABF" w:rsidP="00064ABF">
      <w:pPr>
        <w:spacing w:before="6" w:after="6"/>
        <w:jc w:val="both"/>
        <w:rPr>
          <w:rFonts w:ascii="Lora" w:hAnsi="Lora" w:cs="Times New Roman"/>
          <w:color w:val="404040" w:themeColor="text1" w:themeTint="BF"/>
          <w:sz w:val="20"/>
          <w:szCs w:val="20"/>
        </w:rPr>
      </w:pPr>
    </w:p>
    <w:p w14:paraId="53553E4F" w14:textId="77777777" w:rsidR="00BF6CFE" w:rsidRDefault="00000000" w:rsidP="00064ABF">
      <w:pPr>
        <w:pStyle w:val="Heading1"/>
        <w:spacing w:before="6" w:after="6"/>
        <w:rPr>
          <w:rFonts w:ascii="Lora" w:hAnsi="Lora" w:cs="Times New Roman"/>
          <w:color w:val="0070C0"/>
          <w:sz w:val="24"/>
          <w:szCs w:val="24"/>
        </w:rPr>
      </w:pPr>
      <w:r w:rsidRPr="00E80ADC">
        <w:rPr>
          <w:rFonts w:ascii="Lora" w:hAnsi="Lora" w:cs="Times New Roman"/>
          <w:color w:val="0070C0"/>
          <w:sz w:val="24"/>
          <w:szCs w:val="24"/>
        </w:rPr>
        <w:t>5. References</w:t>
      </w:r>
    </w:p>
    <w:p w14:paraId="6CC4F483" w14:textId="77777777" w:rsidR="00E80ADC" w:rsidRPr="00E80ADC" w:rsidRDefault="00E80ADC" w:rsidP="00064ABF">
      <w:pPr>
        <w:pStyle w:val="Heading1"/>
        <w:spacing w:before="6" w:after="6"/>
        <w:rPr>
          <w:rFonts w:ascii="Lora" w:hAnsi="Lora" w:cs="Times New Roman"/>
          <w:color w:val="0070C0"/>
          <w:sz w:val="24"/>
          <w:szCs w:val="24"/>
        </w:rPr>
      </w:pPr>
    </w:p>
    <w:p w14:paraId="08443C20" w14:textId="77777777" w:rsidR="00BF6CFE" w:rsidRPr="00AF4828" w:rsidRDefault="00000000" w:rsidP="00064ABF">
      <w:pPr>
        <w:spacing w:before="6" w:after="6"/>
        <w:jc w:val="both"/>
        <w:rPr>
          <w:rFonts w:ascii="Lora" w:hAnsi="Lora" w:cs="Times New Roman"/>
          <w:color w:val="404040" w:themeColor="text1" w:themeTint="BF"/>
          <w:sz w:val="20"/>
          <w:szCs w:val="20"/>
        </w:rPr>
      </w:pPr>
      <w:r w:rsidRPr="00AF4828">
        <w:rPr>
          <w:rFonts w:ascii="Lora" w:hAnsi="Lora" w:cs="Times New Roman"/>
          <w:color w:val="404040" w:themeColor="text1" w:themeTint="BF"/>
          <w:sz w:val="20"/>
          <w:szCs w:val="20"/>
        </w:rPr>
        <w:t>1. Gao, N., et al. (2020). Three-Dimensional Texture Feature Analysis of Pulmonary Nodules in CT Images: Lung Cancer Predictive Models Based on Support Vector Machine Classifier. Journal of Digital Imaging, 33(4), 414-422.</w:t>
      </w:r>
    </w:p>
    <w:p w14:paraId="3CC34422" w14:textId="77777777" w:rsidR="00BF6CFE" w:rsidRPr="00AF4828" w:rsidRDefault="00000000" w:rsidP="00064ABF">
      <w:pPr>
        <w:spacing w:before="6" w:after="6"/>
        <w:jc w:val="both"/>
        <w:rPr>
          <w:rFonts w:ascii="Lora" w:hAnsi="Lora" w:cs="Times New Roman"/>
          <w:color w:val="404040" w:themeColor="text1" w:themeTint="BF"/>
          <w:sz w:val="20"/>
          <w:szCs w:val="20"/>
        </w:rPr>
      </w:pPr>
      <w:r w:rsidRPr="00AF4828">
        <w:rPr>
          <w:rFonts w:ascii="Lora" w:hAnsi="Lora" w:cs="Times New Roman"/>
          <w:color w:val="404040" w:themeColor="text1" w:themeTint="BF"/>
          <w:sz w:val="20"/>
          <w:szCs w:val="20"/>
        </w:rPr>
        <w:t>2. Armato, S.G., et al. (2011). The Lung Image Database Consortium (LIDC) and Image Database Resource Initiative (IDRI): A completed reference database. Medical Physics, 38(2), 915-931.</w:t>
      </w:r>
    </w:p>
    <w:p w14:paraId="2A19A225" w14:textId="77777777" w:rsidR="00BF6CFE" w:rsidRPr="00AF4828" w:rsidRDefault="00000000" w:rsidP="00064ABF">
      <w:pPr>
        <w:spacing w:before="6" w:after="6"/>
        <w:jc w:val="both"/>
        <w:rPr>
          <w:rFonts w:ascii="Lora" w:hAnsi="Lora" w:cs="Times New Roman"/>
          <w:color w:val="404040" w:themeColor="text1" w:themeTint="BF"/>
          <w:sz w:val="20"/>
          <w:szCs w:val="20"/>
        </w:rPr>
      </w:pPr>
      <w:r w:rsidRPr="00AF4828">
        <w:rPr>
          <w:rFonts w:ascii="Lora" w:hAnsi="Lora" w:cs="Times New Roman"/>
          <w:color w:val="404040" w:themeColor="text1" w:themeTint="BF"/>
          <w:sz w:val="20"/>
          <w:szCs w:val="20"/>
        </w:rPr>
        <w:t xml:space="preserve">3. </w:t>
      </w:r>
      <w:proofErr w:type="spellStart"/>
      <w:r w:rsidRPr="00AF4828">
        <w:rPr>
          <w:rFonts w:ascii="Lora" w:hAnsi="Lora" w:cs="Times New Roman"/>
          <w:color w:val="404040" w:themeColor="text1" w:themeTint="BF"/>
          <w:sz w:val="20"/>
          <w:szCs w:val="20"/>
        </w:rPr>
        <w:t>Haralick</w:t>
      </w:r>
      <w:proofErr w:type="spellEnd"/>
      <w:r w:rsidRPr="00AF4828">
        <w:rPr>
          <w:rFonts w:ascii="Lora" w:hAnsi="Lora" w:cs="Times New Roman"/>
          <w:color w:val="404040" w:themeColor="text1" w:themeTint="BF"/>
          <w:sz w:val="20"/>
          <w:szCs w:val="20"/>
        </w:rPr>
        <w:t>, R.M., et al. (1973). Textural features for image classification. IEEE Transactions on Systems, Man, and Cybernetics, SMC-3(6), 610-621.</w:t>
      </w:r>
    </w:p>
    <w:p w14:paraId="346E3E75" w14:textId="77777777" w:rsidR="00BF6CFE" w:rsidRPr="00AF4828" w:rsidRDefault="00000000" w:rsidP="00064ABF">
      <w:pPr>
        <w:spacing w:before="6" w:after="6"/>
        <w:jc w:val="both"/>
        <w:rPr>
          <w:rFonts w:ascii="Lora" w:hAnsi="Lora" w:cs="Times New Roman"/>
          <w:color w:val="404040" w:themeColor="text1" w:themeTint="BF"/>
          <w:sz w:val="20"/>
          <w:szCs w:val="20"/>
        </w:rPr>
      </w:pPr>
      <w:r w:rsidRPr="00AF4828">
        <w:rPr>
          <w:rFonts w:ascii="Lora" w:hAnsi="Lora" w:cs="Times New Roman"/>
          <w:color w:val="404040" w:themeColor="text1" w:themeTint="BF"/>
          <w:sz w:val="20"/>
          <w:szCs w:val="20"/>
        </w:rPr>
        <w:t xml:space="preserve">4. Ojala, T., et al. (2002). Multiresolution </w:t>
      </w:r>
      <w:proofErr w:type="spellStart"/>
      <w:r w:rsidRPr="00AF4828">
        <w:rPr>
          <w:rFonts w:ascii="Lora" w:hAnsi="Lora" w:cs="Times New Roman"/>
          <w:color w:val="404040" w:themeColor="text1" w:themeTint="BF"/>
          <w:sz w:val="20"/>
          <w:szCs w:val="20"/>
        </w:rPr>
        <w:t>gray</w:t>
      </w:r>
      <w:proofErr w:type="spellEnd"/>
      <w:r w:rsidRPr="00AF4828">
        <w:rPr>
          <w:rFonts w:ascii="Lora" w:hAnsi="Lora" w:cs="Times New Roman"/>
          <w:color w:val="404040" w:themeColor="text1" w:themeTint="BF"/>
          <w:sz w:val="20"/>
          <w:szCs w:val="20"/>
        </w:rPr>
        <w:t>-scale and rotation invariant texture classification with local binary patterns. IEEE TPAMI, 24(7), 971-987.</w:t>
      </w:r>
    </w:p>
    <w:p w14:paraId="045EE041" w14:textId="77777777" w:rsidR="00BF6CFE" w:rsidRPr="00AF4828" w:rsidRDefault="00000000" w:rsidP="00064ABF">
      <w:pPr>
        <w:spacing w:before="6" w:after="6"/>
        <w:jc w:val="both"/>
        <w:rPr>
          <w:rFonts w:ascii="Lora" w:hAnsi="Lora" w:cs="Times New Roman"/>
          <w:color w:val="404040" w:themeColor="text1" w:themeTint="BF"/>
          <w:sz w:val="20"/>
          <w:szCs w:val="20"/>
        </w:rPr>
      </w:pPr>
      <w:r w:rsidRPr="00AF4828">
        <w:rPr>
          <w:rFonts w:ascii="Lora" w:hAnsi="Lora" w:cs="Times New Roman"/>
          <w:color w:val="404040" w:themeColor="text1" w:themeTint="BF"/>
          <w:sz w:val="20"/>
          <w:szCs w:val="20"/>
        </w:rPr>
        <w:t xml:space="preserve">5. Cortes, C., &amp; </w:t>
      </w:r>
      <w:proofErr w:type="spellStart"/>
      <w:r w:rsidRPr="00AF4828">
        <w:rPr>
          <w:rFonts w:ascii="Lora" w:hAnsi="Lora" w:cs="Times New Roman"/>
          <w:color w:val="404040" w:themeColor="text1" w:themeTint="BF"/>
          <w:sz w:val="20"/>
          <w:szCs w:val="20"/>
        </w:rPr>
        <w:t>Vapnik</w:t>
      </w:r>
      <w:proofErr w:type="spellEnd"/>
      <w:r w:rsidRPr="00AF4828">
        <w:rPr>
          <w:rFonts w:ascii="Lora" w:hAnsi="Lora" w:cs="Times New Roman"/>
          <w:color w:val="404040" w:themeColor="text1" w:themeTint="BF"/>
          <w:sz w:val="20"/>
          <w:szCs w:val="20"/>
        </w:rPr>
        <w:t>, V. (1995). Support-vector networks. Machine Learning, 20(3), 273-297.</w:t>
      </w:r>
    </w:p>
    <w:p w14:paraId="32018FFC" w14:textId="2BABF8BA" w:rsidR="006B31A3" w:rsidRPr="00B40026" w:rsidRDefault="006B31A3" w:rsidP="00064ABF">
      <w:pPr>
        <w:spacing w:before="6" w:after="6"/>
        <w:jc w:val="both"/>
        <w:rPr>
          <w:rFonts w:ascii="Lora" w:hAnsi="Lora" w:cs="Times New Roman"/>
          <w:color w:val="404040" w:themeColor="text1" w:themeTint="BF"/>
          <w:sz w:val="24"/>
          <w:szCs w:val="24"/>
        </w:rPr>
      </w:pPr>
    </w:p>
    <w:p w14:paraId="4495A1E0" w14:textId="21259430" w:rsidR="009C221D" w:rsidRPr="00B40026" w:rsidRDefault="00E80ADC" w:rsidP="00064ABF">
      <w:pPr>
        <w:spacing w:before="6" w:after="6"/>
        <w:jc w:val="both"/>
        <w:rPr>
          <w:rFonts w:ascii="Lora" w:hAnsi="Lora" w:cs="Times New Roman"/>
          <w:color w:val="404040" w:themeColor="text1" w:themeTint="BF"/>
          <w:sz w:val="24"/>
          <w:szCs w:val="24"/>
        </w:rPr>
      </w:pPr>
      <w:r w:rsidRPr="004627A2">
        <w:rPr>
          <w:rFonts w:ascii="Lora" w:hAnsi="Lora" w:cs="Times New Roman"/>
          <w:b/>
          <w:bCs/>
          <w:color w:val="404040" w:themeColor="text1" w:themeTint="BF"/>
          <w:sz w:val="24"/>
          <w:szCs w:val="24"/>
        </w:rPr>
        <w:t>Datasets</w:t>
      </w:r>
      <w:r w:rsidR="00B40026" w:rsidRPr="004627A2">
        <w:rPr>
          <w:rFonts w:ascii="Lora" w:hAnsi="Lora" w:cs="Times New Roman"/>
          <w:b/>
          <w:bCs/>
          <w:color w:val="404040" w:themeColor="text1" w:themeTint="BF"/>
          <w:sz w:val="24"/>
          <w:szCs w:val="24"/>
        </w:rPr>
        <w:t xml:space="preserve"> Drive Link</w:t>
      </w:r>
      <w:r w:rsidRPr="00B40026">
        <w:rPr>
          <w:rFonts w:ascii="Lora" w:hAnsi="Lora" w:cs="Times New Roman"/>
          <w:color w:val="404040" w:themeColor="text1" w:themeTint="BF"/>
          <w:sz w:val="24"/>
          <w:szCs w:val="24"/>
        </w:rPr>
        <w:t xml:space="preserve">: </w:t>
      </w:r>
    </w:p>
    <w:p w14:paraId="72DBDB02" w14:textId="39B2C191" w:rsidR="00B40026" w:rsidRPr="00B40026" w:rsidRDefault="00B40026" w:rsidP="00064ABF">
      <w:pPr>
        <w:spacing w:before="6" w:after="6"/>
        <w:jc w:val="both"/>
        <w:rPr>
          <w:rFonts w:ascii="Lora" w:hAnsi="Lora" w:cs="Times New Roman"/>
          <w:color w:val="404040" w:themeColor="text1" w:themeTint="BF"/>
          <w:sz w:val="24"/>
          <w:szCs w:val="24"/>
        </w:rPr>
      </w:pPr>
      <w:r w:rsidRPr="004627A2">
        <w:rPr>
          <w:rFonts w:ascii="Lora" w:hAnsi="Lora" w:cs="Times New Roman"/>
          <w:b/>
          <w:bCs/>
          <w:color w:val="404040" w:themeColor="text1" w:themeTint="BF"/>
          <w:sz w:val="24"/>
          <w:szCs w:val="24"/>
        </w:rPr>
        <w:t>GitHub Source Code Link</w:t>
      </w:r>
      <w:r w:rsidRPr="00B40026">
        <w:rPr>
          <w:rFonts w:ascii="Lora" w:hAnsi="Lora" w:cs="Times New Roman"/>
          <w:color w:val="404040" w:themeColor="text1" w:themeTint="BF"/>
          <w:sz w:val="24"/>
          <w:szCs w:val="24"/>
        </w:rPr>
        <w:t xml:space="preserve">: </w:t>
      </w:r>
    </w:p>
    <w:sectPr w:rsidR="00B40026" w:rsidRPr="00B40026" w:rsidSect="001D29FE">
      <w:headerReference w:type="default" r:id="rId12"/>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08B0C" w14:textId="77777777" w:rsidR="002059C3" w:rsidRDefault="002059C3">
      <w:r>
        <w:separator/>
      </w:r>
    </w:p>
  </w:endnote>
  <w:endnote w:type="continuationSeparator" w:id="0">
    <w:p w14:paraId="26373C79" w14:textId="77777777" w:rsidR="002059C3" w:rsidRDefault="002059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ora">
    <w:charset w:val="00"/>
    <w:family w:val="auto"/>
    <w:pitch w:val="variable"/>
    <w:sig w:usb0="A00002FF" w:usb1="5000204B" w:usb2="00000000" w:usb3="00000000" w:csb0="00000097"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DA930" w14:textId="77777777" w:rsidR="002059C3" w:rsidRDefault="002059C3">
      <w:r>
        <w:separator/>
      </w:r>
    </w:p>
  </w:footnote>
  <w:footnote w:type="continuationSeparator" w:id="0">
    <w:p w14:paraId="64A34BCD" w14:textId="77777777" w:rsidR="002059C3" w:rsidRDefault="002059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7662562"/>
      <w:docPartObj>
        <w:docPartGallery w:val="Page Numbers (Top of Page)"/>
        <w:docPartUnique/>
      </w:docPartObj>
    </w:sdtPr>
    <w:sdtEndPr>
      <w:rPr>
        <w:color w:val="7F7F7F" w:themeColor="background1" w:themeShade="7F"/>
        <w:spacing w:val="60"/>
        <w:lang w:val="en-GB"/>
      </w:rPr>
    </w:sdtEndPr>
    <w:sdtContent>
      <w:p w14:paraId="236C479F" w14:textId="1D54260D" w:rsidR="001D29FE" w:rsidRDefault="001D29FE">
        <w:pPr>
          <w:pStyle w:val="Header"/>
          <w:pBdr>
            <w:bottom w:val="single" w:sz="4" w:space="1" w:color="D9D9D9" w:themeColor="background1" w:themeShade="D9"/>
          </w:pBdr>
          <w:rPr>
            <w:b/>
            <w:bCs/>
          </w:rPr>
        </w:pPr>
        <w:r>
          <w:fldChar w:fldCharType="begin"/>
        </w:r>
        <w:r>
          <w:instrText>PAGE   \* MERGEFORMAT</w:instrText>
        </w:r>
        <w:r>
          <w:fldChar w:fldCharType="separate"/>
        </w:r>
        <w:r>
          <w:rPr>
            <w:b/>
            <w:bCs/>
            <w:lang w:val="en-GB"/>
          </w:rPr>
          <w:t>2</w:t>
        </w:r>
        <w:r>
          <w:rPr>
            <w:b/>
            <w:bCs/>
          </w:rPr>
          <w:fldChar w:fldCharType="end"/>
        </w:r>
        <w:r>
          <w:rPr>
            <w:b/>
            <w:bCs/>
            <w:lang w:val="en-GB"/>
          </w:rPr>
          <w:t xml:space="preserve"> | </w:t>
        </w:r>
        <w:r w:rsidR="00A91077">
          <w:rPr>
            <w:color w:val="7F7F7F" w:themeColor="background1" w:themeShade="7F"/>
            <w:spacing w:val="60"/>
            <w:lang w:val="en-GB"/>
          </w:rPr>
          <w:t>Karan Singh (ED22B052)</w:t>
        </w:r>
      </w:p>
    </w:sdtContent>
  </w:sdt>
  <w:p w14:paraId="75192813" w14:textId="77777777" w:rsidR="001D29FE" w:rsidRDefault="001D29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472C72"/>
    <w:multiLevelType w:val="hybridMultilevel"/>
    <w:tmpl w:val="739453DE"/>
    <w:lvl w:ilvl="0" w:tplc="C3ECBCF8">
      <w:start w:val="1"/>
      <w:numFmt w:val="bullet"/>
      <w:lvlText w:val="•"/>
      <w:lvlJc w:val="left"/>
      <w:pPr>
        <w:ind w:left="720" w:hanging="360"/>
      </w:pPr>
    </w:lvl>
    <w:lvl w:ilvl="1" w:tplc="0366AA48">
      <w:numFmt w:val="decimal"/>
      <w:lvlText w:val=""/>
      <w:lvlJc w:val="left"/>
    </w:lvl>
    <w:lvl w:ilvl="2" w:tplc="20420D42">
      <w:numFmt w:val="decimal"/>
      <w:lvlText w:val=""/>
      <w:lvlJc w:val="left"/>
    </w:lvl>
    <w:lvl w:ilvl="3" w:tplc="222AF158">
      <w:numFmt w:val="decimal"/>
      <w:lvlText w:val=""/>
      <w:lvlJc w:val="left"/>
    </w:lvl>
    <w:lvl w:ilvl="4" w:tplc="48D0B852">
      <w:numFmt w:val="decimal"/>
      <w:lvlText w:val=""/>
      <w:lvlJc w:val="left"/>
    </w:lvl>
    <w:lvl w:ilvl="5" w:tplc="92927944">
      <w:numFmt w:val="decimal"/>
      <w:lvlText w:val=""/>
      <w:lvlJc w:val="left"/>
    </w:lvl>
    <w:lvl w:ilvl="6" w:tplc="99863F76">
      <w:numFmt w:val="decimal"/>
      <w:lvlText w:val=""/>
      <w:lvlJc w:val="left"/>
    </w:lvl>
    <w:lvl w:ilvl="7" w:tplc="1292D488">
      <w:numFmt w:val="decimal"/>
      <w:lvlText w:val=""/>
      <w:lvlJc w:val="left"/>
    </w:lvl>
    <w:lvl w:ilvl="8" w:tplc="129C2766">
      <w:numFmt w:val="decimal"/>
      <w:lvlText w:val=""/>
      <w:lvlJc w:val="left"/>
    </w:lvl>
  </w:abstractNum>
  <w:abstractNum w:abstractNumId="1" w15:restartNumberingAfterBreak="0">
    <w:nsid w:val="65AB121A"/>
    <w:multiLevelType w:val="hybridMultilevel"/>
    <w:tmpl w:val="8E9C95C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7BDB6113"/>
    <w:multiLevelType w:val="hybridMultilevel"/>
    <w:tmpl w:val="B860ADD4"/>
    <w:lvl w:ilvl="0" w:tplc="1B4A5DE6">
      <w:start w:val="1"/>
      <w:numFmt w:val="bullet"/>
      <w:lvlText w:val="●"/>
      <w:lvlJc w:val="left"/>
      <w:pPr>
        <w:ind w:left="720" w:hanging="360"/>
      </w:pPr>
    </w:lvl>
    <w:lvl w:ilvl="1" w:tplc="C82E0A44">
      <w:start w:val="1"/>
      <w:numFmt w:val="bullet"/>
      <w:lvlText w:val="○"/>
      <w:lvlJc w:val="left"/>
      <w:pPr>
        <w:ind w:left="1440" w:hanging="360"/>
      </w:pPr>
    </w:lvl>
    <w:lvl w:ilvl="2" w:tplc="41E8BDBE">
      <w:start w:val="1"/>
      <w:numFmt w:val="bullet"/>
      <w:lvlText w:val="■"/>
      <w:lvlJc w:val="left"/>
      <w:pPr>
        <w:ind w:left="2160" w:hanging="360"/>
      </w:pPr>
    </w:lvl>
    <w:lvl w:ilvl="3" w:tplc="DA8CA94C">
      <w:start w:val="1"/>
      <w:numFmt w:val="bullet"/>
      <w:lvlText w:val="●"/>
      <w:lvlJc w:val="left"/>
      <w:pPr>
        <w:ind w:left="2880" w:hanging="360"/>
      </w:pPr>
    </w:lvl>
    <w:lvl w:ilvl="4" w:tplc="5FBC2BFA">
      <w:start w:val="1"/>
      <w:numFmt w:val="bullet"/>
      <w:lvlText w:val="○"/>
      <w:lvlJc w:val="left"/>
      <w:pPr>
        <w:ind w:left="3600" w:hanging="360"/>
      </w:pPr>
    </w:lvl>
    <w:lvl w:ilvl="5" w:tplc="69CAC106">
      <w:start w:val="1"/>
      <w:numFmt w:val="bullet"/>
      <w:lvlText w:val="■"/>
      <w:lvlJc w:val="left"/>
      <w:pPr>
        <w:ind w:left="4320" w:hanging="360"/>
      </w:pPr>
    </w:lvl>
    <w:lvl w:ilvl="6" w:tplc="B7EA04C0">
      <w:start w:val="1"/>
      <w:numFmt w:val="bullet"/>
      <w:lvlText w:val="●"/>
      <w:lvlJc w:val="left"/>
      <w:pPr>
        <w:ind w:left="5040" w:hanging="360"/>
      </w:pPr>
    </w:lvl>
    <w:lvl w:ilvl="7" w:tplc="92CE5584">
      <w:start w:val="1"/>
      <w:numFmt w:val="bullet"/>
      <w:lvlText w:val="●"/>
      <w:lvlJc w:val="left"/>
      <w:pPr>
        <w:ind w:left="5760" w:hanging="360"/>
      </w:pPr>
    </w:lvl>
    <w:lvl w:ilvl="8" w:tplc="2E3AC304">
      <w:start w:val="1"/>
      <w:numFmt w:val="bullet"/>
      <w:lvlText w:val="●"/>
      <w:lvlJc w:val="left"/>
      <w:pPr>
        <w:ind w:left="6480" w:hanging="360"/>
      </w:pPr>
    </w:lvl>
  </w:abstractNum>
  <w:num w:numId="1" w16cid:durableId="209147174">
    <w:abstractNumId w:val="2"/>
    <w:lvlOverride w:ilvl="0">
      <w:startOverride w:val="1"/>
    </w:lvlOverride>
  </w:num>
  <w:num w:numId="2" w16cid:durableId="1221622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6CFE"/>
    <w:rsid w:val="00032208"/>
    <w:rsid w:val="00064ABF"/>
    <w:rsid w:val="0008064F"/>
    <w:rsid w:val="00114882"/>
    <w:rsid w:val="00154CC9"/>
    <w:rsid w:val="001D29FE"/>
    <w:rsid w:val="001E4860"/>
    <w:rsid w:val="002059C3"/>
    <w:rsid w:val="00235CA3"/>
    <w:rsid w:val="00272DF5"/>
    <w:rsid w:val="00302B92"/>
    <w:rsid w:val="003A5E1F"/>
    <w:rsid w:val="003E3C3C"/>
    <w:rsid w:val="003E7A87"/>
    <w:rsid w:val="003F3A95"/>
    <w:rsid w:val="00403325"/>
    <w:rsid w:val="004627A2"/>
    <w:rsid w:val="005C57F9"/>
    <w:rsid w:val="005C6C06"/>
    <w:rsid w:val="005E1276"/>
    <w:rsid w:val="006B31A3"/>
    <w:rsid w:val="0080454B"/>
    <w:rsid w:val="008464BB"/>
    <w:rsid w:val="00926EB5"/>
    <w:rsid w:val="009C221D"/>
    <w:rsid w:val="00A83724"/>
    <w:rsid w:val="00A91077"/>
    <w:rsid w:val="00AF4828"/>
    <w:rsid w:val="00B40026"/>
    <w:rsid w:val="00B73D4B"/>
    <w:rsid w:val="00BF6CFE"/>
    <w:rsid w:val="00C01345"/>
    <w:rsid w:val="00C73A5C"/>
    <w:rsid w:val="00E80ADC"/>
    <w:rsid w:val="00EB5E8F"/>
    <w:rsid w:val="00F153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E9455"/>
  <w15:docId w15:val="{8365FFC2-5FD5-4D0A-8DA2-857FACEE2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788"/>
      <w:sz w:val="28"/>
      <w:szCs w:val="28"/>
    </w:rPr>
  </w:style>
  <w:style w:type="paragraph" w:styleId="Heading2">
    <w:name w:val="heading 2"/>
    <w:uiPriority w:val="9"/>
    <w:unhideWhenUsed/>
    <w:qFormat/>
    <w:pPr>
      <w:spacing w:before="180" w:after="80"/>
      <w:outlineLvl w:val="1"/>
    </w:pPr>
    <w:rPr>
      <w:b/>
      <w:bCs/>
      <w:color w:val="2E5C8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b/>
      <w:bCs/>
      <w:color w:val="000000"/>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D29FE"/>
    <w:pPr>
      <w:tabs>
        <w:tab w:val="center" w:pos="4513"/>
        <w:tab w:val="right" w:pos="9026"/>
      </w:tabs>
    </w:pPr>
  </w:style>
  <w:style w:type="character" w:customStyle="1" w:styleId="HeaderChar">
    <w:name w:val="Header Char"/>
    <w:basedOn w:val="DefaultParagraphFont"/>
    <w:link w:val="Header"/>
    <w:uiPriority w:val="99"/>
    <w:rsid w:val="001D29FE"/>
  </w:style>
  <w:style w:type="paragraph" w:styleId="Footer">
    <w:name w:val="footer"/>
    <w:basedOn w:val="Normal"/>
    <w:link w:val="FooterChar"/>
    <w:uiPriority w:val="99"/>
    <w:unhideWhenUsed/>
    <w:rsid w:val="001D29FE"/>
    <w:pPr>
      <w:tabs>
        <w:tab w:val="center" w:pos="4513"/>
        <w:tab w:val="right" w:pos="9026"/>
      </w:tabs>
    </w:pPr>
  </w:style>
  <w:style w:type="character" w:customStyle="1" w:styleId="FooterChar">
    <w:name w:val="Footer Char"/>
    <w:basedOn w:val="DefaultParagraphFont"/>
    <w:link w:val="Footer"/>
    <w:uiPriority w:val="99"/>
    <w:rsid w:val="001D29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6330D0-F69F-4347-AF3F-00375E4B44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4</Pages>
  <Words>1264</Words>
  <Characters>7205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Karan Singh</cp:lastModifiedBy>
  <cp:revision>50</cp:revision>
  <dcterms:created xsi:type="dcterms:W3CDTF">2025-11-13T13:35:00Z</dcterms:created>
  <dcterms:modified xsi:type="dcterms:W3CDTF">2025-11-13T22:42:00Z</dcterms:modified>
</cp:coreProperties>
</file>