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report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3.3.6     ✔ purrr   0.3.4</w:t>
      </w:r>
      <w:r>
        <w:br/>
      </w:r>
      <w:r>
        <w:rPr>
          <w:rStyle w:val="VerbatimChar"/>
        </w:rPr>
        <w:t xml:space="preserve">✔ tibble  3.1.8     ✔ dplyr   1.0.9</w:t>
      </w:r>
      <w:r>
        <w:br/>
      </w:r>
      <w:r>
        <w:rPr>
          <w:rStyle w:val="VerbatimChar"/>
        </w:rPr>
        <w:t xml:space="preserve">✔ tidyr   1.2.0     ✔ stringr 1.4.0</w:t>
      </w:r>
      <w:r>
        <w:br/>
      </w:r>
      <w:r>
        <w:rPr>
          <w:rStyle w:val="VerbatimChar"/>
        </w:rPr>
        <w:t xml:space="preserve">✔ readr   2.1.2     ✔ forcats 0.5.1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methods"/>
    <w:p>
      <w:pPr>
        <w:pStyle w:val="Heading1"/>
      </w:pPr>
      <w:r>
        <w:t xml:space="preserve">Methods</w:t>
      </w:r>
    </w:p>
    <w:bookmarkEnd w:id="21"/>
    <w:bookmarkStart w:id="22" w:name="results-discussion"/>
    <w:p>
      <w:pPr>
        <w:pStyle w:val="Heading1"/>
      </w:pPr>
      <w:r>
        <w:t xml:space="preserve">Results &amp; Discussion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/Users/lschoebitz/Documents/gitrepos/ethz/gh-org-global-health-engineering/SDG-6-2-Reproducibility</w:t>
      </w:r>
    </w:p>
    <w:p>
      <w:pPr>
        <w:pStyle w:val="SourceCode"/>
      </w:pP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"data/2020-09-30_jmp_sanitation_raw_data.rds"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16,576 × 9</w:t>
      </w:r>
      <w:r>
        <w:br/>
      </w:r>
      <w:r>
        <w:rPr>
          <w:rStyle w:val="VerbatimChar"/>
        </w:rPr>
        <w:t xml:space="preserve">   source type    year var_short value iso3  var_long residence san_service_ch…¹</w:t>
      </w:r>
      <w:r>
        <w:br/>
      </w:r>
      <w:r>
        <w:rPr>
          <w:rStyle w:val="VerbatimChar"/>
        </w:rPr>
        <w:t xml:space="preserve">   &lt;chr&gt;  &lt;chr&gt;  &lt;dbl&gt; &lt;chr&gt;     &lt;dbl&gt; &lt;chr&gt; &lt;chr&gt;    &lt;chr&gt;     &lt;fct&gt;           </w:t>
      </w:r>
      <w:r>
        <w:br/>
      </w:r>
      <w:r>
        <w:rPr>
          <w:rStyle w:val="VerbatimChar"/>
        </w:rPr>
        <w:t xml:space="preserve"> 1 MICS03 Survey  2003 s_imp_r    26   AFG   Improved rural     user interface  </w:t>
      </w:r>
      <w:r>
        <w:br/>
      </w:r>
      <w:r>
        <w:rPr>
          <w:rStyle w:val="VerbatimChar"/>
        </w:rPr>
        <w:t xml:space="preserve"> 2 NRVA03 Survey  2003 s_imp_r    28.6 AFG   Improved rural     user interface  </w:t>
      </w:r>
      <w:r>
        <w:br/>
      </w:r>
      <w:r>
        <w:rPr>
          <w:rStyle w:val="VerbatimChar"/>
        </w:rPr>
        <w:t xml:space="preserve"> 3 NRVS05 Survey  2005 s_imp_r    31.2 AFG   Improved rural     user interface  </w:t>
      </w:r>
      <w:r>
        <w:br/>
      </w:r>
      <w:r>
        <w:rPr>
          <w:rStyle w:val="VerbatimChar"/>
        </w:rPr>
        <w:t xml:space="preserve"> 4 NRVA08 Survey  2008 s_imp_r    30.1 AFG   Improved rural     user interface  </w:t>
      </w:r>
      <w:r>
        <w:br/>
      </w:r>
      <w:r>
        <w:rPr>
          <w:rStyle w:val="VerbatimChar"/>
        </w:rPr>
        <w:t xml:space="preserve"> 5 MICS11 Survey  2011 s_imp_r    44.2 AFG   Improved rural     user interface  </w:t>
      </w:r>
      <w:r>
        <w:br/>
      </w:r>
      <w:r>
        <w:rPr>
          <w:rStyle w:val="VerbatimChar"/>
        </w:rPr>
        <w:t xml:space="preserve"> 6 NRVA12 Survey  2012 s_imp_r    36.3 AFG   Improved rural     user interface  </w:t>
      </w:r>
      <w:r>
        <w:br/>
      </w:r>
      <w:r>
        <w:rPr>
          <w:rStyle w:val="VerbatimChar"/>
        </w:rPr>
        <w:t xml:space="preserve"> 7 ALCS14 Survey  2014 s_imp_r    27   AFG   Improved rural     user interface  </w:t>
      </w:r>
      <w:r>
        <w:br/>
      </w:r>
      <w:r>
        <w:rPr>
          <w:rStyle w:val="VerbatimChar"/>
        </w:rPr>
        <w:t xml:space="preserve"> 8 DHS15  Survey  2015 s_imp_r    48.0 AFG   Improved rural     user interface  </w:t>
      </w:r>
      <w:r>
        <w:br/>
      </w:r>
      <w:r>
        <w:rPr>
          <w:rStyle w:val="VerbatimChar"/>
        </w:rPr>
        <w:t xml:space="preserve"> 9 ALCS17 Survey  2017 s_imp_r    43.8 AFG   Improved rural     user interface  </w:t>
      </w:r>
      <w:r>
        <w:br/>
      </w:r>
      <w:r>
        <w:rPr>
          <w:rStyle w:val="VerbatimChar"/>
        </w:rPr>
        <w:t xml:space="preserve">10 MICS03 Survey  2003 s_imp_u    44.2 AFG   Improved urban     user interface  </w:t>
      </w:r>
      <w:r>
        <w:br/>
      </w:r>
      <w:r>
        <w:rPr>
          <w:rStyle w:val="VerbatimChar"/>
        </w:rPr>
        <w:t xml:space="preserve"># … with 16,566 more rows, and abbreviated variable name ¹​san_service_chain</w:t>
      </w:r>
      <w:r>
        <w:br/>
      </w:r>
      <w:r>
        <w:rPr>
          <w:rStyle w:val="VerbatimChar"/>
        </w:rPr>
        <w:t xml:space="preserve"># ℹ Use `print(n = ...)` to see more rows</w:t>
      </w:r>
    </w:p>
    <w:p>
      <w:pPr>
        <w:pStyle w:val="FirstParagraph"/>
      </w:pPr>
      <w:r>
        <w:t xml:space="preserve">Write some text</w:t>
      </w:r>
      <w:r>
        <w:t xml:space="preserve"> </w:t>
      </w:r>
      <w:r>
        <w:t xml:space="preserve">(Fuller et al., 2016)</w:t>
      </w:r>
    </w:p>
    <w:p>
      <w:pPr>
        <w:pStyle w:val="BodyText"/>
      </w:pPr>
      <w:r>
        <w:t xml:space="preserve">Another reference by</w:t>
      </w:r>
      <w:r>
        <w:t xml:space="preserve"> </w:t>
      </w:r>
      <w:r>
        <w:t xml:space="preserve">Fuller et al. (2016)</w:t>
      </w:r>
    </w:p>
    <w:p>
      <w:pPr>
        <w:pStyle w:val="BodyText"/>
      </w:pPr>
      <w:r>
        <w:t xml:space="preserve">Two references</w:t>
      </w:r>
      <w:r>
        <w:t xml:space="preserve"> </w:t>
      </w:r>
      <w:r>
        <w:t xml:space="preserve">Fuller et al. (2016)</w:t>
      </w:r>
    </w:p>
    <w:bookmarkEnd w:id="22"/>
    <w:bookmarkStart w:id="23" w:name="conclusions"/>
    <w:p>
      <w:pPr>
        <w:pStyle w:val="Heading1"/>
      </w:pPr>
      <w:r>
        <w:t xml:space="preserve">Conclusions</w:t>
      </w:r>
    </w:p>
    <w:bookmarkEnd w:id="23"/>
    <w:bookmarkStart w:id="24" w:name="recommendations"/>
    <w:p>
      <w:pPr>
        <w:pStyle w:val="Heading1"/>
      </w:pPr>
      <w:r>
        <w:t xml:space="preserve">Recommendations</w:t>
      </w:r>
    </w:p>
    <w:bookmarkEnd w:id="24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6" w:name="ref-fuller2016tracking"/>
    <w:p>
      <w:pPr>
        <w:pStyle w:val="Bibliography"/>
      </w:pPr>
      <w:r>
        <w:t xml:space="preserve">Fuller, J. A., Goldstick, J., Bartram, J., &amp; Eisenberg, J. N. S. (2016). Tracking progress towards global drinking water and sanitation targets:</w:t>
      </w:r>
      <w:r>
        <w:t xml:space="preserve"> </w:t>
      </w:r>
      <w:r>
        <w:t xml:space="preserve">A</w:t>
      </w:r>
      <w:r>
        <w:t xml:space="preserve"> </w:t>
      </w:r>
      <w:r>
        <w:t xml:space="preserve">within and among country analysis.</w:t>
      </w:r>
      <w:r>
        <w:t xml:space="preserve"> </w:t>
      </w:r>
      <w:r>
        <w:rPr>
          <w:iCs/>
          <w:i/>
        </w:rPr>
        <w:t xml:space="preserve">Science of The Total Environment</w:t>
      </w:r>
      <w:r>
        <w:t xml:space="preserve">,</w:t>
      </w:r>
      <w:r>
        <w:t xml:space="preserve"> </w:t>
      </w:r>
      <w:r>
        <w:rPr>
          <w:iCs/>
          <w:i/>
        </w:rPr>
        <w:t xml:space="preserve">541</w:t>
      </w:r>
      <w:r>
        <w:t xml:space="preserve">, 857–864.</w:t>
      </w:r>
      <w:r>
        <w:t xml:space="preserve"> </w:t>
      </w:r>
      <w:hyperlink r:id="rId25">
        <w:r>
          <w:rPr>
            <w:rStyle w:val="Hyperlink"/>
          </w:rPr>
          <w:t xml:space="preserve">https://doi.org/10.1016/j.scitotenv.2015.09.130</w:t>
        </w:r>
      </w:hyperlink>
    </w:p>
    <w:bookmarkEnd w:id="26"/>
    <w:bookmarkStart w:id="28" w:name="ref-quispe-coica2022global"/>
    <w:p>
      <w:pPr>
        <w:pStyle w:val="Bibliography"/>
      </w:pPr>
      <w:r>
        <w:t xml:space="preserve">Quispe-Coica, A., &amp; Pérez-Foguet, A. (2022). From the global to the subnational scale:</w:t>
      </w:r>
      <w:r>
        <w:t xml:space="preserve"> </w:t>
      </w:r>
      <w:r>
        <w:t xml:space="preserve">Landing</w:t>
      </w:r>
      <w:r>
        <w:t xml:space="preserve"> </w:t>
      </w:r>
      <w:r>
        <w:t xml:space="preserve">the compositional monitoring of drinking water and sanitation services.</w:t>
      </w:r>
      <w:r>
        <w:t xml:space="preserve"> </w:t>
      </w:r>
      <w:r>
        <w:rPr>
          <w:iCs/>
          <w:i/>
        </w:rPr>
        <w:t xml:space="preserve">Science of The Total Environment</w:t>
      </w:r>
      <w:r>
        <w:t xml:space="preserve">,</w:t>
      </w:r>
      <w:r>
        <w:t xml:space="preserve"> </w:t>
      </w:r>
      <w:r>
        <w:rPr>
          <w:iCs/>
          <w:i/>
        </w:rPr>
        <w:t xml:space="preserve">838</w:t>
      </w:r>
      <w:r>
        <w:t xml:space="preserve">, 156005.</w:t>
      </w:r>
      <w:r>
        <w:t xml:space="preserve"> </w:t>
      </w:r>
      <w:hyperlink r:id="rId27">
        <w:r>
          <w:rPr>
            <w:rStyle w:val="Hyperlink"/>
          </w:rPr>
          <w:t xml:space="preserve">https://doi.org/10.1016/j.scitotenv.2022.156005</w:t>
        </w:r>
      </w:hyperlink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16/j.scitotenv.2015.09.130" TargetMode="External" /><Relationship Type="http://schemas.openxmlformats.org/officeDocument/2006/relationships/hyperlink" Id="rId27" Target="https://doi.org/10.1016/j.scitotenv.2022.1560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16/j.scitotenv.2015.09.130" TargetMode="External" /><Relationship Type="http://schemas.openxmlformats.org/officeDocument/2006/relationships/hyperlink" Id="rId27" Target="https://doi.org/10.1016/j.scitotenv.2022.1560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report</dc:title>
  <dc:creator/>
  <cp:keywords/>
  <dcterms:created xsi:type="dcterms:W3CDTF">2022-08-03T08:32:07Z</dcterms:created>
  <dcterms:modified xsi:type="dcterms:W3CDTF">2022-08-03T08:32:07Z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msc-thesis-lkarani.bib</vt:lpwstr>
  </property>
  <property fmtid="{D5CDD505-2E9C-101B-9397-08002B2CF9AE}" pid="4" name="csl">
    <vt:lpwstr>apa.csl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