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drawing>
          <wp:inline distT="0" distB="0" distL="0" distR="0">
            <wp:extent cx="6400800" cy="8533203"/>
            <wp:effectExtent l="0" t="0" r="0" b="0"/>
            <wp:docPr id="9001" name="CoverPage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CoverPageV2"/>
                    <pic:cNvPicPr/>
                  </pic:nvPicPr>
                  <pic:blipFill>
                    <a:blip r:embed="rId22"/>
                    <a:stretch>
                      <a:fillRect/>
                    </a:stretch>
                  </pic:blipFill>
                  <pic:spPr>
                    <a:xfrm>
                      <a:off x="0" y="0"/>
                      <a:ext cx="6400800" cy="8533203"/>
                    </a:xfrm>
                    <a:prstGeom prst="rect">
                      <a:avLst/>
                    </a:prstGeom>
                  </pic:spPr>
                </pic:pic>
              </a:graphicData>
            </a:graphic>
          </wp:inline>
        </w:drawing>
      </w:r>
    </w:p>
    <w:p>
      <w:r>
        <w:br w:type="page"/>
      </w:r>
    </w:p>
    <w:p>
      <w:pPr>
        <w:spacing w:before="480" w:after="0"/>
      </w:pPr>
      <w:r>
        <w:rPr>
          <w:rFonts w:ascii="Arial" w:cs="Arial" w:eastAsia="Arial" w:hAnsi="Arial"/>
          <w:color w:val="111111"/>
          <w:sz w:val="22"/>
          <w:szCs w:val="22"/>
        </w:rPr>
        <w:t xml:space="preserve"/>
      </w:r>
    </w:p>
    <w:p>
      <w:pPr>
        <w:shd w:fill="0D2137" w:val="clear"/>
        <w:spacing w:before="0" w:after="0"/>
        <w:jc w:val="center"/>
      </w:pPr>
      <w:r>
        <w:rPr>
          <w:rFonts w:ascii="Arial" w:cs="Arial" w:eastAsia="Arial" w:hAnsi="Arial"/>
          <w:b/>
          <w:bCs/>
          <w:caps/>
          <w:color w:val="FFFFFF"/>
          <w:sz w:val="44"/>
          <w:szCs w:val="44"/>
        </w:rPr>
        <w:t xml:space="preserve">  MACHINE LEARNING PROJECT REPORT  </w:t>
      </w:r>
    </w:p>
    <w:p>
      <w:pPr>
        <w:shd w:fill="1565C0" w:val="clear"/>
        <w:spacing w:before="0" w:after="0"/>
        <w:jc w:val="center"/>
      </w:pPr>
      <w:r>
        <w:rPr>
          <w:rFonts w:ascii="Arial" w:cs="Arial" w:eastAsia="Arial" w:hAnsi="Arial"/>
          <w:b/>
          <w:bCs/>
          <w:color w:val="FFFFFF"/>
          <w:sz w:val="32"/>
          <w:szCs w:val="32"/>
        </w:rPr>
        <w:t xml:space="preserve">  Tomato Leaf Disease Classification  </w:t>
      </w:r>
    </w:p>
    <w:p>
      <w:pPr>
        <w:shd w:fill="1E88E5" w:val="clear"/>
        <w:spacing w:before="0" w:after="60"/>
        <w:jc w:val="center"/>
      </w:pPr>
      <w:r>
        <w:rPr>
          <w:rFonts w:ascii="Arial" w:cs="Arial" w:eastAsia="Arial" w:hAnsi="Arial"/>
          <w:i/>
          <w:iCs/>
          <w:color w:val="FFFFFF"/>
          <w:sz w:val="24"/>
          <w:szCs w:val="24"/>
        </w:rPr>
        <w:t xml:space="preserve">  A Comparative Study: Random Forest vs. K-Means Clustering  </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8640"/>
            <w:gridSpan w:val="2"/>
            <w:tcBorders>
              <w:top w:val="single" w:color="1565C0" w:sz="2"/>
              <w:left w:val="single" w:color="1565C0" w:sz="2"/>
              <w:bottom w:val="single" w:color="1565C0" w:sz="2"/>
              <w:right w:val="single" w:color="1565C0" w:sz="2"/>
            </w:tcBorders>
            <w:shd w:fill="0D2137"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Domain: Computer Vision &amp; Machine Learning</w:t>
            </w:r>
          </w:p>
        </w:tc>
      </w:tr>
      <w:tr>
        <w:tc>
          <w:tcPr>
            <w:tcW w:type="dxa" w:w="2880"/>
            <w:tcBorders>
              <w:top w:val="single" w:color="42A5F5" w:sz="1"/>
              <w:left w:val="single" w:color="42A5F5" w:sz="1"/>
              <w:bottom w:val="single" w:color="42A5F5" w:sz="1"/>
              <w:right w:val="single" w:color="42A5F5" w:sz="1"/>
            </w:tcBorders>
            <w:shd w:fill="E3F2FD" w:val="clear"/>
            <w:tcMar>
              <w:top w:type="dxa" w:w="100"/>
              <w:left w:type="dxa" w:w="160"/>
              <w:bottom w:type="dxa" w:w="100"/>
              <w:right w:type="dxa" w:w="160"/>
            </w:tcMar>
          </w:tcPr>
          <w:p>
            <w:r>
              <w:rPr>
                <w:rFonts w:ascii="Arial" w:cs="Arial" w:eastAsia="Arial" w:hAnsi="Arial"/>
                <w:b/>
                <w:bCs/>
                <w:color w:val="0D2137"/>
                <w:sz w:val="21"/>
                <w:szCs w:val="21"/>
              </w:rPr>
              <w:t xml:space="preserve">Dataset</w:t>
            </w:r>
          </w:p>
        </w:tc>
        <w:tc>
          <w:tcPr>
            <w:tcW w:type="dxa" w:w="5760"/>
            <w:tcBorders>
              <w:top w:val="single" w:color="42A5F5" w:sz="1"/>
              <w:left w:val="single" w:color="42A5F5" w:sz="1"/>
              <w:bottom w:val="single" w:color="42A5F5" w:sz="1"/>
              <w:right w:val="single" w:color="42A5F5" w:sz="1"/>
            </w:tcBorders>
            <w:shd w:fill="FFFFFF" w:val="clear"/>
            <w:tcMar>
              <w:top w:type="dxa" w:w="100"/>
              <w:left w:type="dxa" w:w="160"/>
              <w:bottom w:type="dxa" w:w="100"/>
              <w:right w:type="dxa" w:w="160"/>
            </w:tcMar>
          </w:tcPr>
          <w:p>
            <w:r>
              <w:rPr>
                <w:rFonts w:ascii="Arial" w:cs="Arial" w:eastAsia="Arial" w:hAnsi="Arial"/>
                <w:color w:val="111111"/>
                <w:sz w:val="21"/>
                <w:szCs w:val="21"/>
              </w:rPr>
              <w:t xml:space="preserve">Tomato Leaf Images  |  4 Disease Classes  |  763 Images</w:t>
            </w:r>
          </w:p>
        </w:tc>
      </w:tr>
      <w:tr>
        <w:tc>
          <w:tcPr>
            <w:tcW w:type="dxa" w:w="2880"/>
            <w:tcBorders>
              <w:top w:val="single" w:color="42A5F5" w:sz="1"/>
              <w:left w:val="single" w:color="42A5F5" w:sz="1"/>
              <w:bottom w:val="single" w:color="42A5F5" w:sz="1"/>
              <w:right w:val="single" w:color="42A5F5" w:sz="1"/>
            </w:tcBorders>
            <w:shd w:fill="E3F2FD" w:val="clear"/>
            <w:tcMar>
              <w:top w:type="dxa" w:w="100"/>
              <w:left w:type="dxa" w:w="160"/>
              <w:bottom w:type="dxa" w:w="100"/>
              <w:right w:type="dxa" w:w="160"/>
            </w:tcMar>
          </w:tcPr>
          <w:p>
            <w:r>
              <w:rPr>
                <w:rFonts w:ascii="Arial" w:cs="Arial" w:eastAsia="Arial" w:hAnsi="Arial"/>
                <w:b/>
                <w:bCs/>
                <w:color w:val="0D2137"/>
                <w:sz w:val="21"/>
                <w:szCs w:val="21"/>
              </w:rPr>
              <w:t xml:space="preserve">Language</w:t>
            </w:r>
          </w:p>
        </w:tc>
        <w:tc>
          <w:tcPr>
            <w:tcW w:type="dxa" w:w="5760"/>
            <w:tcBorders>
              <w:top w:val="single" w:color="42A5F5" w:sz="1"/>
              <w:left w:val="single" w:color="42A5F5" w:sz="1"/>
              <w:bottom w:val="single" w:color="42A5F5" w:sz="1"/>
              <w:right w:val="single" w:color="42A5F5" w:sz="1"/>
            </w:tcBorders>
            <w:shd w:fill="FFFFFF" w:val="clear"/>
            <w:tcMar>
              <w:top w:type="dxa" w:w="100"/>
              <w:left w:type="dxa" w:w="160"/>
              <w:bottom w:type="dxa" w:w="100"/>
              <w:right w:type="dxa" w:w="160"/>
            </w:tcMar>
          </w:tcPr>
          <w:p>
            <w:r>
              <w:rPr>
                <w:rFonts w:ascii="Arial" w:cs="Arial" w:eastAsia="Arial" w:hAnsi="Arial"/>
                <w:color w:val="111111"/>
                <w:sz w:val="21"/>
                <w:szCs w:val="21"/>
              </w:rPr>
              <w:t xml:space="preserve">Python 3.14  |  scikit-learn · OpenCV · NumPy · Matplotlib</w:t>
            </w:r>
          </w:p>
        </w:tc>
      </w:tr>
      <w:tr>
        <w:tc>
          <w:tcPr>
            <w:tcW w:type="dxa" w:w="2880"/>
            <w:tcBorders>
              <w:top w:val="single" w:color="42A5F5" w:sz="1"/>
              <w:left w:val="single" w:color="42A5F5" w:sz="1"/>
              <w:bottom w:val="single" w:color="42A5F5" w:sz="1"/>
              <w:right w:val="single" w:color="42A5F5" w:sz="1"/>
            </w:tcBorders>
            <w:shd w:fill="E3F2FD" w:val="clear"/>
            <w:tcMar>
              <w:top w:type="dxa" w:w="100"/>
              <w:left w:type="dxa" w:w="160"/>
              <w:bottom w:type="dxa" w:w="100"/>
              <w:right w:type="dxa" w:w="160"/>
            </w:tcMar>
          </w:tcPr>
          <w:p>
            <w:r>
              <w:rPr>
                <w:rFonts w:ascii="Arial" w:cs="Arial" w:eastAsia="Arial" w:hAnsi="Arial"/>
                <w:b/>
                <w:bCs/>
                <w:color w:val="0D2137"/>
                <w:sz w:val="21"/>
                <w:szCs w:val="21"/>
              </w:rPr>
              <w:t xml:space="preserve">Algorithms</w:t>
            </w:r>
          </w:p>
        </w:tc>
        <w:tc>
          <w:tcPr>
            <w:tcW w:type="dxa" w:w="5760"/>
            <w:tcBorders>
              <w:top w:val="single" w:color="42A5F5" w:sz="1"/>
              <w:left w:val="single" w:color="42A5F5" w:sz="1"/>
              <w:bottom w:val="single" w:color="42A5F5" w:sz="1"/>
              <w:right w:val="single" w:color="42A5F5" w:sz="1"/>
            </w:tcBorders>
            <w:shd w:fill="FFFFFF" w:val="clear"/>
            <w:tcMar>
              <w:top w:type="dxa" w:w="100"/>
              <w:left w:type="dxa" w:w="160"/>
              <w:bottom w:type="dxa" w:w="100"/>
              <w:right w:type="dxa" w:w="160"/>
            </w:tcMar>
          </w:tcPr>
          <w:p>
            <w:r>
              <w:rPr>
                <w:rFonts w:ascii="Arial" w:cs="Arial" w:eastAsia="Arial" w:hAnsi="Arial"/>
                <w:color w:val="111111"/>
                <w:sz w:val="21"/>
                <w:szCs w:val="21"/>
              </w:rPr>
              <w:t xml:space="preserve">Random Forest (Supervised)  |  K-Means + PCA (Unsupervised)</w:t>
            </w:r>
          </w:p>
        </w:tc>
      </w:tr>
      <w:tr>
        <w:tc>
          <w:tcPr>
            <w:tcW w:type="dxa" w:w="2880"/>
            <w:tcBorders>
              <w:top w:val="single" w:color="42A5F5" w:sz="1"/>
              <w:left w:val="single" w:color="42A5F5" w:sz="1"/>
              <w:bottom w:val="single" w:color="42A5F5" w:sz="1"/>
              <w:right w:val="single" w:color="42A5F5" w:sz="1"/>
            </w:tcBorders>
            <w:shd w:fill="E3F2FD" w:val="clear"/>
            <w:tcMar>
              <w:top w:type="dxa" w:w="100"/>
              <w:left w:type="dxa" w:w="160"/>
              <w:bottom w:type="dxa" w:w="100"/>
              <w:right w:type="dxa" w:w="160"/>
            </w:tcMar>
          </w:tcPr>
          <w:p>
            <w:r>
              <w:rPr>
                <w:rFonts w:ascii="Arial" w:cs="Arial" w:eastAsia="Arial" w:hAnsi="Arial"/>
                <w:b/>
                <w:bCs/>
                <w:color w:val="0D2137"/>
                <w:sz w:val="21"/>
                <w:szCs w:val="21"/>
              </w:rPr>
              <w:t xml:space="preserve">Key Results</w:t>
            </w:r>
          </w:p>
        </w:tc>
        <w:tc>
          <w:tcPr>
            <w:tcW w:type="dxa" w:w="5760"/>
            <w:tcBorders>
              <w:top w:val="single" w:color="42A5F5" w:sz="1"/>
              <w:left w:val="single" w:color="42A5F5" w:sz="1"/>
              <w:bottom w:val="single" w:color="42A5F5" w:sz="1"/>
              <w:right w:val="single" w:color="42A5F5" w:sz="1"/>
            </w:tcBorders>
            <w:shd w:fill="FFFFFF" w:val="clear"/>
            <w:tcMar>
              <w:top w:type="dxa" w:w="100"/>
              <w:left w:type="dxa" w:w="160"/>
              <w:bottom w:type="dxa" w:w="100"/>
              <w:right w:type="dxa" w:w="160"/>
            </w:tcMar>
          </w:tcPr>
          <w:p>
            <w:r>
              <w:rPr>
                <w:rFonts w:ascii="Arial" w:cs="Arial" w:eastAsia="Arial" w:hAnsi="Arial"/>
                <w:color w:val="111111"/>
                <w:sz w:val="21"/>
                <w:szCs w:val="21"/>
              </w:rPr>
              <w:t xml:space="preserve">RF: 70.59% accuracy  |  K-Means: 38.01% accuracy</w:t>
            </w:r>
          </w:p>
        </w:tc>
      </w:tr>
      <w:tr>
        <w:tc>
          <w:tcPr>
            <w:tcW w:type="dxa" w:w="2880"/>
            <w:tcBorders>
              <w:top w:val="single" w:color="42A5F5" w:sz="1"/>
              <w:left w:val="single" w:color="42A5F5" w:sz="1"/>
              <w:bottom w:val="single" w:color="42A5F5" w:sz="1"/>
              <w:right w:val="single" w:color="42A5F5" w:sz="1"/>
            </w:tcBorders>
            <w:shd w:fill="E3F2FD" w:val="clear"/>
            <w:tcMar>
              <w:top w:type="dxa" w:w="100"/>
              <w:left w:type="dxa" w:w="160"/>
              <w:bottom w:type="dxa" w:w="100"/>
              <w:right w:type="dxa" w:w="160"/>
            </w:tcMar>
          </w:tcPr>
          <w:p>
            <w:r>
              <w:rPr>
                <w:rFonts w:ascii="Arial" w:cs="Arial" w:eastAsia="Arial" w:hAnsi="Arial"/>
                <w:b/>
                <w:bCs/>
                <w:color w:val="0D2137"/>
                <w:sz w:val="21"/>
                <w:szCs w:val="21"/>
              </w:rPr>
              <w:t xml:space="preserve">Author</w:t>
            </w:r>
          </w:p>
        </w:tc>
        <w:tc>
          <w:tcPr>
            <w:tcW w:type="dxa" w:w="5760"/>
            <w:tcBorders>
              <w:top w:val="single" w:color="42A5F5" w:sz="1"/>
              <w:left w:val="single" w:color="42A5F5" w:sz="1"/>
              <w:bottom w:val="single" w:color="42A5F5" w:sz="1"/>
              <w:right w:val="single" w:color="42A5F5" w:sz="1"/>
            </w:tcBorders>
            <w:shd w:fill="FFFFFF" w:val="clear"/>
            <w:tcMar>
              <w:top w:type="dxa" w:w="100"/>
              <w:left w:type="dxa" w:w="160"/>
              <w:bottom w:type="dxa" w:w="100"/>
              <w:right w:type="dxa" w:w="160"/>
            </w:tcMar>
          </w:tcPr>
          <w:p>
            <w:r>
              <w:rPr>
                <w:rFonts w:ascii="Arial" w:cs="Arial" w:eastAsia="Arial" w:hAnsi="Arial"/>
                <w:color w:val="111111"/>
                <w:sz w:val="21"/>
                <w:szCs w:val="21"/>
              </w:rPr>
              <w:t xml:space="preserve">Karan  —  B.Tech AI &amp; ML, Manipal University Jaipur</w:t>
            </w:r>
          </w:p>
        </w:tc>
      </w:tr>
      <w:tr>
        <w:tc>
          <w:tcPr>
            <w:tcW w:type="dxa" w:w="2880"/>
            <w:tcBorders>
              <w:top w:val="single" w:color="42A5F5" w:sz="1"/>
              <w:left w:val="single" w:color="42A5F5" w:sz="1"/>
              <w:bottom w:val="single" w:color="42A5F5" w:sz="1"/>
              <w:right w:val="single" w:color="42A5F5" w:sz="1"/>
            </w:tcBorders>
            <w:shd w:fill="E3F2FD" w:val="clear"/>
            <w:tcMar>
              <w:top w:type="dxa" w:w="100"/>
              <w:left w:type="dxa" w:w="160"/>
              <w:bottom w:type="dxa" w:w="100"/>
              <w:right w:type="dxa" w:w="160"/>
            </w:tcMar>
          </w:tcPr>
          <w:p>
            <w:r>
              <w:rPr>
                <w:rFonts w:ascii="Arial" w:cs="Arial" w:eastAsia="Arial" w:hAnsi="Arial"/>
                <w:b/>
                <w:bCs/>
                <w:color w:val="0D2137"/>
                <w:sz w:val="21"/>
                <w:szCs w:val="21"/>
              </w:rPr>
              <w:t xml:space="preserve">Academic Year</w:t>
            </w:r>
          </w:p>
        </w:tc>
        <w:tc>
          <w:tcPr>
            <w:tcW w:type="dxa" w:w="5760"/>
            <w:tcBorders>
              <w:top w:val="single" w:color="42A5F5" w:sz="1"/>
              <w:left w:val="single" w:color="42A5F5" w:sz="1"/>
              <w:bottom w:val="single" w:color="42A5F5" w:sz="1"/>
              <w:right w:val="single" w:color="42A5F5" w:sz="1"/>
            </w:tcBorders>
            <w:shd w:fill="FFFFFF" w:val="clear"/>
            <w:tcMar>
              <w:top w:type="dxa" w:w="100"/>
              <w:left w:type="dxa" w:w="160"/>
              <w:bottom w:type="dxa" w:w="100"/>
              <w:right w:type="dxa" w:w="160"/>
            </w:tcMar>
          </w:tcPr>
          <w:p>
            <w:r>
              <w:rPr>
                <w:rFonts w:ascii="Arial" w:cs="Arial" w:eastAsia="Arial" w:hAnsi="Arial"/>
                <w:color w:val="111111"/>
                <w:sz w:val="21"/>
                <w:szCs w:val="21"/>
              </w:rPr>
              <w:t xml:space="preserve">2025 – 2026</w:t>
            </w:r>
          </w:p>
        </w:tc>
      </w:tr>
    </w:tbl>
    <w:p>
      <w:pPr>
        <w:spacing w:after="80"/>
      </w:pPr>
      <w:r>
        <w:rPr>
          <w:rFonts w:ascii="Arial" w:cs="Arial" w:eastAsia="Arial" w:hAnsi="Arial"/>
          <w:color w:val="111111"/>
          <w:sz w:val="22"/>
          <w:szCs w:val="22"/>
        </w:rPr>
        <w:t xml:space="preserve"/>
      </w:r>
    </w:p>
    <w:p>
      <w:pPr>
        <w:pBdr>
          <w:bottom w:val="single" w:color="42A5F5" w:sz="6" w:space="4"/>
        </w:pBdr>
        <w:spacing w:before="0" w:after="0"/>
      </w:pPr>
      <w:r>
        <w:rPr>
          <w:rFonts w:ascii="Arial" w:cs="Arial" w:eastAsia="Arial" w:hAnsi="Arial"/>
          <w:color w:val="111111"/>
          <w:sz w:val="22"/>
          <w:szCs w:val="22"/>
        </w:rPr>
        <w:t xml:space="preserve"/>
      </w:r>
    </w:p>
    <w:p>
      <w:r>
        <w:br w:type="page"/>
      </w:r>
    </w:p>
    <w:p>
      <w:pPr>
        <w:pStyle w:val="Heading1"/>
        <w:pBdr>
          <w:bottom w:val="single" w:color="1565C0" w:sz="14" w:space="6"/>
        </w:pBdr>
        <w:spacing w:before="400" w:after="140"/>
      </w:pPr>
      <w:r>
        <w:rPr>
          <w:rFonts w:ascii="Arial" w:cs="Arial" w:eastAsia="Arial" w:hAnsi="Arial"/>
          <w:b/>
          <w:bCs/>
          <w:caps/>
          <w:color w:val="0D2137"/>
          <w:sz w:val="34"/>
          <w:szCs w:val="34"/>
        </w:rPr>
        <w:t xml:space="preserve">1. Abstract</w:t>
      </w:r>
    </w:p>
    <w:p>
      <w:pPr>
        <w:spacing w:after="140" w:line="310"/>
        <w:jc w:val="both"/>
      </w:pPr>
      <w:r>
        <w:rPr>
          <w:rFonts w:ascii="Arial" w:cs="Arial" w:eastAsia="Arial" w:hAnsi="Arial"/>
          <w:color w:val="111111"/>
          <w:sz w:val="22"/>
          <w:szCs w:val="22"/>
        </w:rPr>
        <w:t xml:space="preserve">This report presents a rigorous comparative analysis of two machine learning paradigms applied to </w:t>
      </w:r>
      <w:r>
        <w:rPr>
          <w:rFonts w:ascii="Arial" w:cs="Arial" w:eastAsia="Arial" w:hAnsi="Arial"/>
          <w:b/>
          <w:bCs/>
          <w:color w:val="0D2137"/>
          <w:sz w:val="22"/>
          <w:szCs w:val="22"/>
        </w:rPr>
        <w:t xml:space="preserve">tomato leaf disease classification</w:t>
      </w:r>
      <w:r>
        <w:rPr>
          <w:rFonts w:ascii="Arial" w:cs="Arial" w:eastAsia="Arial" w:hAnsi="Arial"/>
          <w:color w:val="111111"/>
          <w:sz w:val="22"/>
          <w:szCs w:val="22"/>
        </w:rPr>
        <w:t xml:space="preserve"> using raw pixel image data. The first approach employs a </w:t>
      </w:r>
      <w:r>
        <w:rPr>
          <w:rFonts w:ascii="Arial" w:cs="Arial" w:eastAsia="Arial" w:hAnsi="Arial"/>
          <w:b/>
          <w:bCs/>
          <w:color w:val="0D2137"/>
          <w:sz w:val="22"/>
          <w:szCs w:val="22"/>
        </w:rPr>
        <w:t xml:space="preserve">supervised Random Forest Classifier</w:t>
      </w:r>
      <w:r>
        <w:rPr>
          <w:rFonts w:ascii="Arial" w:cs="Arial" w:eastAsia="Arial" w:hAnsi="Arial"/>
          <w:color w:val="111111"/>
          <w:sz w:val="22"/>
          <w:szCs w:val="22"/>
        </w:rPr>
        <w:t xml:space="preserve"> optimised via GridSearchCV with 5-fold cross-validation, achieving a test accuracy of </w:t>
      </w:r>
      <w:r>
        <w:rPr>
          <w:rFonts w:ascii="Arial" w:cs="Arial" w:eastAsia="Arial" w:hAnsi="Arial"/>
          <w:b/>
          <w:bCs/>
          <w:color w:val="0D2137"/>
          <w:sz w:val="22"/>
          <w:szCs w:val="22"/>
        </w:rPr>
        <w:t xml:space="preserve">70.59%</w:t>
      </w:r>
      <w:r>
        <w:rPr>
          <w:rFonts w:ascii="Arial" w:cs="Arial" w:eastAsia="Arial" w:hAnsi="Arial"/>
          <w:color w:val="111111"/>
          <w:sz w:val="22"/>
          <w:szCs w:val="22"/>
        </w:rPr>
        <w:t xml:space="preserve"> on 153 unseen test samples. The second approach applies </w:t>
      </w:r>
      <w:r>
        <w:rPr>
          <w:rFonts w:ascii="Arial" w:cs="Arial" w:eastAsia="Arial" w:hAnsi="Arial"/>
          <w:b/>
          <w:bCs/>
          <w:color w:val="0D2137"/>
          <w:sz w:val="22"/>
          <w:szCs w:val="22"/>
        </w:rPr>
        <w:t xml:space="preserve">unsupervised K-Means Clustering</w:t>
      </w:r>
      <w:r>
        <w:rPr>
          <w:rFonts w:ascii="Arial" w:cs="Arial" w:eastAsia="Arial" w:hAnsi="Arial"/>
          <w:color w:val="111111"/>
          <w:sz w:val="22"/>
          <w:szCs w:val="22"/>
        </w:rPr>
        <w:t xml:space="preserve"> augmented with Principal Component Analysis (PCA) dimensionality reduction, yielding a clustering accuracy of </w:t>
      </w:r>
      <w:r>
        <w:rPr>
          <w:rFonts w:ascii="Arial" w:cs="Arial" w:eastAsia="Arial" w:hAnsi="Arial"/>
          <w:b/>
          <w:bCs/>
          <w:color w:val="0D2137"/>
          <w:sz w:val="22"/>
          <w:szCs w:val="22"/>
        </w:rPr>
        <w:t xml:space="preserve">38.01%</w:t>
      </w:r>
      <w:r>
        <w:rPr>
          <w:rFonts w:ascii="Arial" w:cs="Arial" w:eastAsia="Arial" w:hAnsi="Arial"/>
          <w:color w:val="111111"/>
          <w:sz w:val="22"/>
          <w:szCs w:val="22"/>
        </w:rPr>
        <w:t xml:space="preserve"> on the full 763-image dataset.</w:t>
      </w:r>
    </w:p>
    <w:p>
      <w:pPr>
        <w:spacing w:after="140" w:line="310"/>
        <w:jc w:val="both"/>
      </w:pPr>
      <w:r>
        <w:rPr>
          <w:rFonts w:ascii="Arial" w:cs="Arial" w:eastAsia="Arial" w:hAnsi="Arial"/>
          <w:color w:val="111111"/>
          <w:sz w:val="22"/>
          <w:szCs w:val="22"/>
        </w:rPr>
        <w:t xml:space="preserve">The study systematically evaluates both methods across accuracy, per-class precision, recall, F1-score, confusion matrix analysis, and computational considerations. The 32.6 percentage-point gap in accuracy quantifies the value of labelled training data in image-based disease classification. Results confirm that while supervised methods dominate classification performance, unsupervised approaches provide valuable exploratory insights and serve as a meaningful baseline — particularly in label-scarce agricultural settings.</w:t>
      </w:r>
    </w:p>
    <w:p>
      <w:pPr>
        <w:spacing w:before="180" w:after="80"/>
        <w:jc w:val="center"/>
      </w:pPr>
      <w:r>
        <w:drawing>
          <wp:inline distT="0" distB="0" distL="0" distR="0">
            <wp:extent cx="60007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1123950"/>
                    </a:xfrm>
                    <a:prstGeom prst="rect">
                      <a:avLst/>
                    </a:prstGeom>
                  </pic:spPr>
                </pic:pic>
              </a:graphicData>
            </a:graphic>
          </wp:inline>
        </w:drawing>
      </w:r>
    </w:p>
    <w:p>
      <w:pPr>
        <w:spacing w:before="80" w:after="240"/>
        <w:jc w:val="center"/>
      </w:pPr>
      <w:r>
        <w:rPr>
          <w:rFonts w:ascii="Arial" w:cs="Arial" w:eastAsia="Arial" w:hAnsi="Arial"/>
          <w:b/>
          <w:bCs/>
          <w:i/>
          <w:iCs/>
          <w:color w:val="607D8B"/>
          <w:sz w:val="19"/>
          <w:szCs w:val="19"/>
        </w:rPr>
        <w:t xml:space="preserve">Figure 1: Key Performance Indicators Summary</w:t>
      </w:r>
    </w:p>
    <w:p>
      <w:pPr>
        <w:spacing w:after="80"/>
      </w:pPr>
      <w:r>
        <w:rPr>
          <w:rFonts w:ascii="Arial" w:cs="Arial" w:eastAsia="Arial" w:hAnsi="Arial"/>
          <w:color w:val="111111"/>
          <w:sz w:val="22"/>
          <w:szCs w:val="22"/>
        </w:rPr>
        <w:t xml:space="preserve"/>
      </w:r>
    </w:p>
    <w:p>
      <w:pPr>
        <w:pStyle w:val="Heading1"/>
        <w:pBdr>
          <w:bottom w:val="single" w:color="1565C0" w:sz="14" w:space="6"/>
        </w:pBdr>
        <w:spacing w:before="400" w:after="140"/>
      </w:pPr>
      <w:r>
        <w:rPr>
          <w:rFonts w:ascii="Arial" w:cs="Arial" w:eastAsia="Arial" w:hAnsi="Arial"/>
          <w:b/>
          <w:bCs/>
          <w:caps/>
          <w:color w:val="0D2137"/>
          <w:sz w:val="34"/>
          <w:szCs w:val="34"/>
        </w:rPr>
        <w:t xml:space="preserve">2. Introduction</w:t>
      </w:r>
    </w:p>
    <w:p>
      <w:pPr>
        <w:spacing w:after="140" w:line="310"/>
        <w:jc w:val="both"/>
      </w:pPr>
      <w:r>
        <w:rPr>
          <w:rFonts w:ascii="Arial" w:cs="Arial" w:eastAsia="Arial" w:hAnsi="Arial"/>
          <w:color w:val="111111"/>
          <w:sz w:val="22"/>
          <w:szCs w:val="22"/>
        </w:rPr>
        <w:t xml:space="preserve">Agricultural diseases are a leading cause of crop losses worldwide. Tomato is one of the most widely cultivated and economically important vegetables globally, yet it is highly susceptible to several fungal and environmental pathogens. If undetected, these diseases reduce yield, compromise quality, and increase pesticide usage. Traditional diagnosis relies on expert agronomists — a process that is slow, expensive, and not scalable across large farms or distributed smallholder agricultural regions.</w:t>
      </w:r>
    </w:p>
    <w:p>
      <w:pPr>
        <w:spacing w:after="140" w:line="310"/>
        <w:jc w:val="both"/>
      </w:pPr>
      <w:r>
        <w:rPr>
          <w:rFonts w:ascii="Arial" w:cs="Arial" w:eastAsia="Arial" w:hAnsi="Arial"/>
          <w:color w:val="111111"/>
          <w:sz w:val="22"/>
          <w:szCs w:val="22"/>
        </w:rPr>
        <w:t xml:space="preserve">Automated image classification using machine learning offers a transformative alternative: rapid, cost-effective, and deployable on mobile or embedded devices in the field. However, the choice of algorithm fundamentally affects both the feasibility and accuracy of the solution.</w:t>
      </w:r>
    </w:p>
    <w:p>
      <w:pPr>
        <w:spacing w:after="140" w:line="310"/>
        <w:jc w:val="both"/>
      </w:pPr>
      <w:r>
        <w:rPr>
          <w:rFonts w:ascii="Arial" w:cs="Arial" w:eastAsia="Arial" w:hAnsi="Arial"/>
          <w:color w:val="111111"/>
          <w:sz w:val="22"/>
          <w:szCs w:val="22"/>
        </w:rPr>
        <w:t xml:space="preserve">This project investigates and compares two fundamentally different machine learning strategies applied to the same four-class tomato leaf disease dataset:</w:t>
      </w:r>
    </w:p>
    <w:p>
      <w:pPr>
        <w:pStyle w:val="ListParagraph"/>
        <w:numPr>
          <w:ilvl w:val="0"/>
          <w:numId w:val="2"/>
        </w:numPr>
        <w:spacing w:after="110"/>
      </w:pPr>
      <w:r>
        <w:rPr>
          <w:rFonts w:ascii="Arial" w:cs="Arial" w:eastAsia="Arial" w:hAnsi="Arial"/>
          <w:b/>
          <w:bCs/>
          <w:color w:val="0D2137"/>
          <w:sz w:val="22"/>
          <w:szCs w:val="22"/>
        </w:rPr>
        <w:t xml:space="preserve">Tomato Early Blight</w:t>
      </w:r>
      <w:r>
        <w:rPr>
          <w:rFonts w:ascii="Arial" w:cs="Arial" w:eastAsia="Arial" w:hAnsi="Arial"/>
          <w:color w:val="111111"/>
          <w:sz w:val="22"/>
          <w:szCs w:val="22"/>
        </w:rPr>
        <w:t xml:space="preserve"> — Caused by </w:t>
      </w:r>
      <w:r>
        <w:rPr>
          <w:rFonts w:ascii="Arial" w:cs="Arial" w:eastAsia="Arial" w:hAnsi="Arial"/>
          <w:i/>
          <w:iCs/>
          <w:color w:val="607D8B"/>
          <w:sz w:val="22"/>
          <w:szCs w:val="22"/>
        </w:rPr>
        <w:t xml:space="preserve">Alternaria solani</w:t>
      </w:r>
      <w:r>
        <w:rPr>
          <w:rFonts w:ascii="Arial" w:cs="Arial" w:eastAsia="Arial" w:hAnsi="Arial"/>
          <w:color w:val="111111"/>
          <w:sz w:val="22"/>
          <w:szCs w:val="22"/>
        </w:rPr>
        <w:t xml:space="preserve">; dark concentric ring lesions on older leaves. Visually similar to Late Blight.</w:t>
      </w:r>
    </w:p>
    <w:p>
      <w:pPr>
        <w:pStyle w:val="ListParagraph"/>
        <w:numPr>
          <w:ilvl w:val="0"/>
          <w:numId w:val="2"/>
        </w:numPr>
        <w:spacing w:after="110"/>
      </w:pPr>
      <w:r>
        <w:rPr>
          <w:rFonts w:ascii="Arial" w:cs="Arial" w:eastAsia="Arial" w:hAnsi="Arial"/>
          <w:b/>
          <w:bCs/>
          <w:color w:val="0D2137"/>
          <w:sz w:val="22"/>
          <w:szCs w:val="22"/>
        </w:rPr>
        <w:t xml:space="preserve">Tomato Late Blight</w:t>
      </w:r>
      <w:r>
        <w:rPr>
          <w:rFonts w:ascii="Arial" w:cs="Arial" w:eastAsia="Arial" w:hAnsi="Arial"/>
          <w:color w:val="111111"/>
          <w:sz w:val="22"/>
          <w:szCs w:val="22"/>
        </w:rPr>
        <w:t xml:space="preserve"> — Caused by </w:t>
      </w:r>
      <w:r>
        <w:rPr>
          <w:rFonts w:ascii="Arial" w:cs="Arial" w:eastAsia="Arial" w:hAnsi="Arial"/>
          <w:i/>
          <w:iCs/>
          <w:color w:val="607D8B"/>
          <w:sz w:val="22"/>
          <w:szCs w:val="22"/>
        </w:rPr>
        <w:t xml:space="preserve">Phytophthora infestans</w:t>
      </w:r>
      <w:r>
        <w:rPr>
          <w:rFonts w:ascii="Arial" w:cs="Arial" w:eastAsia="Arial" w:hAnsi="Arial"/>
          <w:color w:val="111111"/>
          <w:sz w:val="22"/>
          <w:szCs w:val="22"/>
        </w:rPr>
        <w:t xml:space="preserve">; water-soaked lesions with white sporulation. Most economically destructive tomato pathogen.</w:t>
      </w:r>
    </w:p>
    <w:p>
      <w:pPr>
        <w:pStyle w:val="ListParagraph"/>
        <w:numPr>
          <w:ilvl w:val="0"/>
          <w:numId w:val="2"/>
        </w:numPr>
        <w:spacing w:after="110"/>
      </w:pPr>
      <w:r>
        <w:rPr>
          <w:rFonts w:ascii="Arial" w:cs="Arial" w:eastAsia="Arial" w:hAnsi="Arial"/>
          <w:b/>
          <w:bCs/>
          <w:color w:val="0D2137"/>
          <w:sz w:val="22"/>
          <w:szCs w:val="22"/>
        </w:rPr>
        <w:t xml:space="preserve">Tomato Leaf Mold</w:t>
      </w:r>
      <w:r>
        <w:rPr>
          <w:rFonts w:ascii="Arial" w:cs="Arial" w:eastAsia="Arial" w:hAnsi="Arial"/>
          <w:color w:val="111111"/>
          <w:sz w:val="22"/>
          <w:szCs w:val="22"/>
        </w:rPr>
        <w:t xml:space="preserve"> — Caused by </w:t>
      </w:r>
      <w:r>
        <w:rPr>
          <w:rFonts w:ascii="Arial" w:cs="Arial" w:eastAsia="Arial" w:hAnsi="Arial"/>
          <w:i/>
          <w:iCs/>
          <w:color w:val="607D8B"/>
          <w:sz w:val="22"/>
          <w:szCs w:val="22"/>
        </w:rPr>
        <w:t xml:space="preserve">Passalora fulva</w:t>
      </w:r>
      <w:r>
        <w:rPr>
          <w:rFonts w:ascii="Arial" w:cs="Arial" w:eastAsia="Arial" w:hAnsi="Arial"/>
          <w:color w:val="111111"/>
          <w:sz w:val="22"/>
          <w:szCs w:val="22"/>
        </w:rPr>
        <w:t xml:space="preserve">; yellow-green patches on upper leaf surface with olive-brown mold below.</w:t>
      </w:r>
    </w:p>
    <w:p>
      <w:pPr>
        <w:pStyle w:val="ListParagraph"/>
        <w:numPr>
          <w:ilvl w:val="0"/>
          <w:numId w:val="2"/>
        </w:numPr>
        <w:spacing w:after="110"/>
      </w:pPr>
      <w:r>
        <w:rPr>
          <w:rFonts w:ascii="Arial" w:cs="Arial" w:eastAsia="Arial" w:hAnsi="Arial"/>
          <w:b/>
          <w:bCs/>
          <w:color w:val="0D2137"/>
          <w:sz w:val="22"/>
          <w:szCs w:val="22"/>
        </w:rPr>
        <w:t xml:space="preserve">Tomato Healthy</w:t>
      </w:r>
      <w:r>
        <w:rPr>
          <w:rFonts w:ascii="Arial" w:cs="Arial" w:eastAsia="Arial" w:hAnsi="Arial"/>
          <w:color w:val="111111"/>
          <w:sz w:val="22"/>
          <w:szCs w:val="22"/>
        </w:rPr>
        <w:t xml:space="preserve"> — Disease-free leaves serving as the negative reference class (32.4% of dataset).</w:t>
      </w:r>
    </w:p>
    <w:p>
      <w:pPr>
        <w:spacing w:after="80"/>
      </w:pPr>
      <w:r>
        <w:rPr>
          <w:rFonts w:ascii="Arial" w:cs="Arial" w:eastAsia="Arial" w:hAnsi="Arial"/>
          <w:color w:val="111111"/>
          <w:sz w:val="22"/>
          <w:szCs w:val="22"/>
        </w:rPr>
        <w:t xml:space="preserve"/>
      </w:r>
    </w:p>
    <w:p>
      <w:pPr>
        <w:spacing w:after="140" w:line="310"/>
        <w:jc w:val="both"/>
      </w:pPr>
      <w:r>
        <w:rPr>
          <w:rFonts w:ascii="Arial" w:cs="Arial" w:eastAsia="Arial" w:hAnsi="Arial"/>
          <w:b/>
          <w:bCs/>
          <w:color w:val="0D2137"/>
          <w:sz w:val="22"/>
          <w:szCs w:val="22"/>
        </w:rPr>
        <w:t xml:space="preserve">Central Research Question: </w:t>
      </w:r>
      <w:r>
        <w:rPr>
          <w:rFonts w:ascii="Arial" w:cs="Arial" w:eastAsia="Arial" w:hAnsi="Arial"/>
          <w:color w:val="111111"/>
          <w:sz w:val="22"/>
          <w:szCs w:val="22"/>
        </w:rPr>
        <w:t xml:space="preserve">How does a supervised ensemble method (Random Forest with hyperparameter tuning) compare against an unsupervised clustering method (K-Means + PCA) when both are applied to raw pixel feature vectors extracted from tomato leaf images?</w:t>
      </w:r>
    </w:p>
    <w:p>
      <w:r>
        <w:br w:type="page"/>
      </w:r>
    </w:p>
    <w:p>
      <w:pPr>
        <w:pStyle w:val="Heading1"/>
        <w:pBdr>
          <w:bottom w:val="single" w:color="1565C0" w:sz="14" w:space="6"/>
        </w:pBdr>
        <w:spacing w:before="400" w:after="140"/>
      </w:pPr>
      <w:r>
        <w:rPr>
          <w:rFonts w:ascii="Arial" w:cs="Arial" w:eastAsia="Arial" w:hAnsi="Arial"/>
          <w:b/>
          <w:bCs/>
          <w:caps/>
          <w:color w:val="0D2137"/>
          <w:sz w:val="34"/>
          <w:szCs w:val="34"/>
        </w:rPr>
        <w:t xml:space="preserve">3. Dataset Description</w:t>
      </w:r>
    </w:p>
    <w:p>
      <w:pPr>
        <w:spacing w:after="140" w:line="310"/>
        <w:jc w:val="both"/>
      </w:pPr>
      <w:r>
        <w:rPr>
          <w:rFonts w:ascii="Arial" w:cs="Arial" w:eastAsia="Arial" w:hAnsi="Arial"/>
          <w:color w:val="111111"/>
          <w:sz w:val="22"/>
          <w:szCs w:val="22"/>
        </w:rPr>
        <w:t xml:space="preserve">The dataset is a structured image repository of tomato leaf photographs organised into four labelled class directories, representing three disease categories and one healthy class. Images were collected under natural field and controlled lighting conditions, providing realistic variation in leaf angle, background, and disease progression stage.</w:t>
      </w:r>
    </w:p>
    <w:p>
      <w:pPr>
        <w:spacing w:after="80"/>
      </w:pPr>
      <w:r>
        <w:rPr>
          <w:rFonts w:ascii="Arial" w:cs="Arial" w:eastAsia="Arial" w:hAnsi="Arial"/>
          <w:color w:val="111111"/>
          <w:sz w:val="22"/>
          <w:szCs w:val="22"/>
        </w:rPr>
        <w:t xml:space="preserve"/>
      </w:r>
    </w:p>
    <w:p>
      <w:pPr>
        <w:spacing w:before="180" w:after="8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76500"/>
                    </a:xfrm>
                    <a:prstGeom prst="rect">
                      <a:avLst/>
                    </a:prstGeom>
                  </pic:spPr>
                </pic:pic>
              </a:graphicData>
            </a:graphic>
          </wp:inline>
        </w:drawing>
      </w:r>
    </w:p>
    <w:p>
      <w:pPr>
        <w:spacing w:before="80" w:after="240"/>
        <w:jc w:val="center"/>
      </w:pPr>
      <w:r>
        <w:rPr>
          <w:rFonts w:ascii="Arial" w:cs="Arial" w:eastAsia="Arial" w:hAnsi="Arial"/>
          <w:b/>
          <w:bCs/>
          <w:i/>
          <w:iCs/>
          <w:color w:val="607D8B"/>
          <w:sz w:val="19"/>
          <w:szCs w:val="19"/>
        </w:rPr>
        <w:t xml:space="preserve">Figure 2 (Left): Full Dataset Distribution — K-Means (763 images)  |  Figure 2 (Right): RF Test Set Distribution (153 samples)</w:t>
      </w:r>
    </w:p>
    <w:p>
      <w:pPr>
        <w:spacing w:after="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c>
          <w:tcPr>
            <w:tcW w:type="dxa" w:w="3000"/>
            <w:tcBorders>
              <w:top w:val="single" w:color="1565C0" w:sz="2"/>
              <w:left w:val="single" w:color="1565C0" w:sz="2"/>
              <w:bottom w:val="single" w:color="1565C0" w:sz="2"/>
              <w:right w:val="single" w:color="1565C0" w:sz="2"/>
            </w:tcBorders>
            <w:shd w:fill="0D213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Disease Class</w:t>
            </w:r>
          </w:p>
        </w:tc>
        <w:tc>
          <w:tcPr>
            <w:tcW w:type="dxa" w:w="1590"/>
            <w:tcBorders>
              <w:top w:val="single" w:color="1565C0" w:sz="2"/>
              <w:left w:val="single" w:color="1565C0" w:sz="2"/>
              <w:bottom w:val="single" w:color="1565C0" w:sz="2"/>
              <w:right w:val="single" w:color="1565C0" w:sz="2"/>
            </w:tcBorders>
            <w:shd w:fill="0D213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KM Total</w:t>
            </w:r>
          </w:p>
        </w:tc>
        <w:tc>
          <w:tcPr>
            <w:tcW w:type="dxa" w:w="1590"/>
            <w:tcBorders>
              <w:top w:val="single" w:color="1565C0" w:sz="2"/>
              <w:left w:val="single" w:color="1565C0" w:sz="2"/>
              <w:bottom w:val="single" w:color="1565C0" w:sz="2"/>
              <w:right w:val="single" w:color="1565C0" w:sz="2"/>
            </w:tcBorders>
            <w:shd w:fill="0D213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RF Train</w:t>
            </w:r>
          </w:p>
        </w:tc>
        <w:tc>
          <w:tcPr>
            <w:tcW w:type="dxa" w:w="1590"/>
            <w:tcBorders>
              <w:top w:val="single" w:color="1565C0" w:sz="2"/>
              <w:left w:val="single" w:color="1565C0" w:sz="2"/>
              <w:bottom w:val="single" w:color="1565C0" w:sz="2"/>
              <w:right w:val="single" w:color="1565C0" w:sz="2"/>
            </w:tcBorders>
            <w:shd w:fill="0D213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RF Test</w:t>
            </w:r>
          </w:p>
        </w:tc>
        <w:tc>
          <w:tcPr>
            <w:tcW w:type="dxa" w:w="1590"/>
            <w:tcBorders>
              <w:top w:val="single" w:color="1565C0" w:sz="2"/>
              <w:left w:val="single" w:color="1565C0" w:sz="2"/>
              <w:bottom w:val="single" w:color="1565C0" w:sz="2"/>
              <w:right w:val="single" w:color="1565C0" w:sz="2"/>
            </w:tcBorders>
            <w:shd w:fill="0D213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Share (%)</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bCs/>
                <w:color w:val="0D2137"/>
                <w:sz w:val="20"/>
                <w:szCs w:val="20"/>
              </w:rPr>
              <w:t xml:space="preserve">Tomato Early Blight</w:t>
            </w:r>
          </w:p>
        </w:tc>
        <w:tc>
          <w:tcPr>
            <w:tcW w:type="dxa" w:w="159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144</w:t>
            </w:r>
          </w:p>
        </w:tc>
        <w:tc>
          <w:tcPr>
            <w:tcW w:type="dxa" w:w="159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~115</w:t>
            </w:r>
          </w:p>
        </w:tc>
        <w:tc>
          <w:tcPr>
            <w:tcW w:type="dxa" w:w="159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29</w:t>
            </w:r>
          </w:p>
        </w:tc>
        <w:tc>
          <w:tcPr>
            <w:tcW w:type="dxa" w:w="159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18.9%</w:t>
            </w:r>
          </w:p>
        </w:tc>
      </w:tr>
      <w:tr>
        <w:tc>
          <w:tcPr>
            <w:tcW w:type="dxa" w:w="300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bCs/>
                <w:color w:val="0D2137"/>
                <w:sz w:val="20"/>
                <w:szCs w:val="20"/>
              </w:rPr>
              <w:t xml:space="preserve">Tomato Late Blight</w:t>
            </w:r>
          </w:p>
        </w:tc>
        <w:tc>
          <w:tcPr>
            <w:tcW w:type="dxa" w:w="159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180</w:t>
            </w:r>
          </w:p>
        </w:tc>
        <w:tc>
          <w:tcPr>
            <w:tcW w:type="dxa" w:w="159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~144</w:t>
            </w:r>
          </w:p>
        </w:tc>
        <w:tc>
          <w:tcPr>
            <w:tcW w:type="dxa" w:w="159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36</w:t>
            </w:r>
          </w:p>
        </w:tc>
        <w:tc>
          <w:tcPr>
            <w:tcW w:type="dxa" w:w="159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23.6%</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bCs/>
                <w:color w:val="0D2137"/>
                <w:sz w:val="20"/>
                <w:szCs w:val="20"/>
              </w:rPr>
              <w:t xml:space="preserve">Tomato Leaf Mold</w:t>
            </w:r>
          </w:p>
        </w:tc>
        <w:tc>
          <w:tcPr>
            <w:tcW w:type="dxa" w:w="159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192</w:t>
            </w:r>
          </w:p>
        </w:tc>
        <w:tc>
          <w:tcPr>
            <w:tcW w:type="dxa" w:w="159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~154</w:t>
            </w:r>
          </w:p>
        </w:tc>
        <w:tc>
          <w:tcPr>
            <w:tcW w:type="dxa" w:w="159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38</w:t>
            </w:r>
          </w:p>
        </w:tc>
        <w:tc>
          <w:tcPr>
            <w:tcW w:type="dxa" w:w="159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25.2%</w:t>
            </w:r>
          </w:p>
        </w:tc>
      </w:tr>
      <w:tr>
        <w:tc>
          <w:tcPr>
            <w:tcW w:type="dxa" w:w="300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bCs/>
                <w:color w:val="0D2137"/>
                <w:sz w:val="20"/>
                <w:szCs w:val="20"/>
              </w:rPr>
              <w:t xml:space="preserve">Tomato Healthy</w:t>
            </w:r>
          </w:p>
        </w:tc>
        <w:tc>
          <w:tcPr>
            <w:tcW w:type="dxa" w:w="159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247</w:t>
            </w:r>
          </w:p>
        </w:tc>
        <w:tc>
          <w:tcPr>
            <w:tcW w:type="dxa" w:w="159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~197</w:t>
            </w:r>
          </w:p>
        </w:tc>
        <w:tc>
          <w:tcPr>
            <w:tcW w:type="dxa" w:w="159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50</w:t>
            </w:r>
          </w:p>
        </w:tc>
        <w:tc>
          <w:tcPr>
            <w:tcW w:type="dxa" w:w="159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32.4%</w:t>
            </w:r>
          </w:p>
        </w:tc>
      </w:tr>
      <w:tr>
        <w:tc>
          <w:tcPr>
            <w:tcW w:type="dxa" w:w="30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0D2137"/>
                <w:sz w:val="20"/>
                <w:szCs w:val="20"/>
              </w:rPr>
              <w:t xml:space="preserve">Total</w:t>
            </w:r>
          </w:p>
        </w:tc>
        <w:tc>
          <w:tcPr>
            <w:tcW w:type="dxa" w:w="159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111111"/>
                <w:sz w:val="20"/>
                <w:szCs w:val="20"/>
              </w:rPr>
              <w:t xml:space="preserve">763</w:t>
            </w:r>
          </w:p>
        </w:tc>
        <w:tc>
          <w:tcPr>
            <w:tcW w:type="dxa" w:w="159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111111"/>
                <w:sz w:val="20"/>
                <w:szCs w:val="20"/>
              </w:rPr>
              <w:t xml:space="preserve">~610</w:t>
            </w:r>
          </w:p>
        </w:tc>
        <w:tc>
          <w:tcPr>
            <w:tcW w:type="dxa" w:w="159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111111"/>
                <w:sz w:val="20"/>
                <w:szCs w:val="20"/>
              </w:rPr>
              <w:t xml:space="preserve">153</w:t>
            </w:r>
          </w:p>
        </w:tc>
        <w:tc>
          <w:tcPr>
            <w:tcW w:type="dxa" w:w="159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111111"/>
                <w:sz w:val="20"/>
                <w:szCs w:val="20"/>
              </w:rPr>
              <w:t xml:space="preserve">100%</w:t>
            </w:r>
          </w:p>
        </w:tc>
      </w:tr>
    </w:tbl>
    <w:p>
      <w:pPr>
        <w:spacing w:before="80" w:after="240"/>
        <w:jc w:val="center"/>
      </w:pPr>
      <w:r>
        <w:rPr>
          <w:rFonts w:ascii="Arial" w:cs="Arial" w:eastAsia="Arial" w:hAnsi="Arial"/>
          <w:b/>
          <w:bCs/>
          <w:i/>
          <w:iCs/>
          <w:color w:val="607D8B"/>
          <w:sz w:val="19"/>
          <w:szCs w:val="19"/>
        </w:rPr>
        <w:t xml:space="preserve">Table 1: Full dataset class distribution across both model configurations</w:t>
      </w:r>
    </w:p>
    <w:p>
      <w:pPr>
        <w:spacing w:after="80"/>
      </w:pPr>
      <w:r>
        <w:rPr>
          <w:rFonts w:ascii="Arial" w:cs="Arial" w:eastAsia="Arial" w:hAnsi="Arial"/>
          <w:color w:val="111111"/>
          <w:sz w:val="22"/>
          <w:szCs w:val="22"/>
        </w:rPr>
        <w:t xml:space="preserve"/>
      </w:r>
    </w:p>
    <w:p>
      <w:pPr>
        <w:spacing w:after="140" w:line="310"/>
        <w:jc w:val="both"/>
      </w:pPr>
      <w:r>
        <w:rPr>
          <w:rFonts w:ascii="Arial" w:cs="Arial" w:eastAsia="Arial" w:hAnsi="Arial"/>
          <w:color w:val="111111"/>
          <w:sz w:val="22"/>
          <w:szCs w:val="22"/>
        </w:rPr>
        <w:t xml:space="preserve">The dataset exhibits a mild class imbalance, with Healthy leaves comprising 32.4% and Early Blight only 18.9%. Stratified train-test splitting was applied in the Random Forest pipeline to preserve this distribution across both subsets. For K-Means, the full 763-image dataset was used without sampling, as unsupervised clustering does not require a train-test split.</w:t>
      </w:r>
    </w:p>
    <w:p>
      <w:r>
        <w:br w:type="page"/>
      </w:r>
    </w:p>
    <w:p>
      <w:pPr>
        <w:pStyle w:val="Heading1"/>
        <w:pBdr>
          <w:bottom w:val="single" w:color="1565C0" w:sz="14" w:space="6"/>
        </w:pBdr>
        <w:spacing w:before="400" w:after="140"/>
      </w:pPr>
      <w:r>
        <w:rPr>
          <w:rFonts w:ascii="Arial" w:cs="Arial" w:eastAsia="Arial" w:hAnsi="Arial"/>
          <w:b/>
          <w:bCs/>
          <w:caps/>
          <w:color w:val="0D2137"/>
          <w:sz w:val="34"/>
          <w:szCs w:val="34"/>
        </w:rPr>
        <w:t xml:space="preserve">4. Methodology</w:t>
      </w:r>
    </w:p>
    <w:p>
      <w:pPr>
        <w:pStyle w:val="Heading2"/>
        <w:pBdr>
          <w:bottom w:val="single" w:color="42A5F5" w:sz="4" w:space="4"/>
        </w:pBdr>
        <w:spacing w:before="280" w:after="120"/>
      </w:pPr>
      <w:r>
        <w:rPr>
          <w:rFonts w:ascii="Arial" w:cs="Arial" w:eastAsia="Arial" w:hAnsi="Arial"/>
          <w:b/>
          <w:bCs/>
          <w:color w:val="1565C0"/>
          <w:sz w:val="27"/>
          <w:szCs w:val="27"/>
        </w:rPr>
        <w:t xml:space="preserve">4.1  Image Preprocessing Pipeline</w:t>
      </w:r>
    </w:p>
    <w:p>
      <w:pPr>
        <w:spacing w:after="140" w:line="310"/>
        <w:jc w:val="both"/>
      </w:pPr>
      <w:r>
        <w:rPr>
          <w:rFonts w:ascii="Arial" w:cs="Arial" w:eastAsia="Arial" w:hAnsi="Arial"/>
          <w:color w:val="111111"/>
          <w:sz w:val="22"/>
          <w:szCs w:val="22"/>
        </w:rPr>
        <w:t xml:space="preserve">A consistent preprocessing strategy was applied to ensure a fair comparison between both approaches. Every image undergoes identical transformations before entering the respective model:</w:t>
      </w:r>
    </w:p>
    <w:p>
      <w:pPr>
        <w:spacing w:after="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1565C0" w:sz="2"/>
              <w:left w:val="single" w:color="1565C0" w:sz="2"/>
              <w:bottom w:val="single" w:color="1565C0" w:sz="2"/>
              <w:right w:val="single" w:color="1565C0" w:sz="2"/>
            </w:tcBorders>
            <w:shd w:fill="0D213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Step</w:t>
            </w:r>
          </w:p>
        </w:tc>
        <w:tc>
          <w:tcPr>
            <w:tcW w:type="dxa" w:w="3380"/>
            <w:tcBorders>
              <w:top w:val="single" w:color="1565C0" w:sz="2"/>
              <w:left w:val="single" w:color="1565C0" w:sz="2"/>
              <w:bottom w:val="single" w:color="1565C0" w:sz="2"/>
              <w:right w:val="single" w:color="1565C0" w:sz="2"/>
            </w:tcBorders>
            <w:shd w:fill="0D213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Random Forest Pipeline</w:t>
            </w:r>
          </w:p>
        </w:tc>
        <w:tc>
          <w:tcPr>
            <w:tcW w:type="dxa" w:w="3380"/>
            <w:tcBorders>
              <w:top w:val="single" w:color="1565C0" w:sz="2"/>
              <w:left w:val="single" w:color="1565C0" w:sz="2"/>
              <w:bottom w:val="single" w:color="1565C0" w:sz="2"/>
              <w:right w:val="single" w:color="1565C0" w:sz="2"/>
            </w:tcBorders>
            <w:shd w:fill="0D213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K-Means Pipeline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Image Resizing</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64 × 64 pixels (12,288 features)</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64 × 64 pixels (12,288 features)</w:t>
            </w:r>
          </w:p>
        </w:tc>
      </w:tr>
      <w:tr>
        <w:tc>
          <w:tcPr>
            <w:tcW w:type="dxa" w:w="26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Colour Conversion</w:t>
            </w:r>
          </w:p>
        </w:tc>
        <w:tc>
          <w:tcPr>
            <w:tcW w:type="dxa" w:w="338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BGR → RGB (OpenCV)</w:t>
            </w:r>
          </w:p>
        </w:tc>
        <w:tc>
          <w:tcPr>
            <w:tcW w:type="dxa" w:w="338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BGR → RGB (OpenCV)</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Feature Extraction</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Pixel flattening to 1D vector</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Pixel flattening → PCA (120D)</w:t>
            </w:r>
          </w:p>
        </w:tc>
      </w:tr>
      <w:tr>
        <w:tc>
          <w:tcPr>
            <w:tcW w:type="dxa" w:w="26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Label Encoding</w:t>
            </w:r>
          </w:p>
        </w:tc>
        <w:tc>
          <w:tcPr>
            <w:tcW w:type="dxa" w:w="338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LabelEncoder (0–3)</w:t>
            </w:r>
          </w:p>
        </w:tc>
        <w:tc>
          <w:tcPr>
            <w:tcW w:type="dxa" w:w="338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LabelEncoder (post-hoc mapping)</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Dataset Split</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80% train / 20% test (stratified)</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Full dataset (no split needed)</w:t>
            </w:r>
          </w:p>
        </w:tc>
      </w:tr>
      <w:tr>
        <w:tc>
          <w:tcPr>
            <w:tcW w:type="dxa" w:w="26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Sampling</w:t>
            </w:r>
          </w:p>
        </w:tc>
        <w:tc>
          <w:tcPr>
            <w:tcW w:type="dxa" w:w="338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~610 train / 153 test</w:t>
            </w:r>
          </w:p>
        </w:tc>
        <w:tc>
          <w:tcPr>
            <w:tcW w:type="dxa" w:w="338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763 total images</w:t>
            </w:r>
          </w:p>
        </w:tc>
      </w:tr>
    </w:tbl>
    <w:p>
      <w:pPr>
        <w:spacing w:before="80" w:after="240"/>
        <w:jc w:val="center"/>
      </w:pPr>
      <w:r>
        <w:rPr>
          <w:rFonts w:ascii="Arial" w:cs="Arial" w:eastAsia="Arial" w:hAnsi="Arial"/>
          <w:b/>
          <w:bCs/>
          <w:i/>
          <w:iCs/>
          <w:color w:val="607D8B"/>
          <w:sz w:val="19"/>
          <w:szCs w:val="19"/>
        </w:rPr>
        <w:t xml:space="preserve">Table 2: Preprocessing pipeline comparison across both model configurations</w:t>
      </w:r>
    </w:p>
    <w:p>
      <w:pPr>
        <w:spacing w:after="80"/>
      </w:pPr>
      <w:r>
        <w:rPr>
          <w:rFonts w:ascii="Arial" w:cs="Arial" w:eastAsia="Arial" w:hAnsi="Arial"/>
          <w:color w:val="111111"/>
          <w:sz w:val="22"/>
          <w:szCs w:val="22"/>
        </w:rPr>
        <w:t xml:space="preserve"/>
      </w:r>
    </w:p>
    <w:p>
      <w:pPr>
        <w:pStyle w:val="Heading2"/>
        <w:pBdr>
          <w:bottom w:val="single" w:color="42A5F5" w:sz="4" w:space="4"/>
        </w:pBdr>
        <w:spacing w:before="280" w:after="120"/>
      </w:pPr>
      <w:r>
        <w:rPr>
          <w:rFonts w:ascii="Arial" w:cs="Arial" w:eastAsia="Arial" w:hAnsi="Arial"/>
          <w:b/>
          <w:bCs/>
          <w:color w:val="1565C0"/>
          <w:sz w:val="27"/>
          <w:szCs w:val="27"/>
        </w:rPr>
        <w:t xml:space="preserve">4.2  Approach 1 — Random Forest (Supervised)</w:t>
      </w:r>
    </w:p>
    <w:p>
      <w:pPr>
        <w:spacing w:after="140" w:line="310"/>
        <w:jc w:val="both"/>
      </w:pPr>
      <w:r>
        <w:rPr>
          <w:rFonts w:ascii="Arial" w:cs="Arial" w:eastAsia="Arial" w:hAnsi="Arial"/>
          <w:color w:val="111111"/>
          <w:sz w:val="22"/>
          <w:szCs w:val="22"/>
        </w:rPr>
        <w:t xml:space="preserve">Random Forest (Breiman, 2001) is an ensemble method that constructs a forest of decision trees, each trained on a bootstrapped subset of the data using a random feature subset at each split. Final predictions are made by </w:t>
      </w:r>
      <w:r>
        <w:rPr>
          <w:rFonts w:ascii="Arial" w:cs="Arial" w:eastAsia="Arial" w:hAnsi="Arial"/>
          <w:b/>
          <w:bCs/>
          <w:color w:val="0D2137"/>
          <w:sz w:val="22"/>
          <w:szCs w:val="22"/>
        </w:rPr>
        <w:t xml:space="preserve">majority voting</w:t>
      </w:r>
      <w:r>
        <w:rPr>
          <w:rFonts w:ascii="Arial" w:cs="Arial" w:eastAsia="Arial" w:hAnsi="Arial"/>
          <w:color w:val="111111"/>
          <w:sz w:val="22"/>
          <w:szCs w:val="22"/>
        </w:rPr>
        <w:t xml:space="preserve"> across all trees. This bagging strategy makes Random Forest highly resistant to overfitting and robust to high-dimensional, noisy pixel inputs.</w:t>
      </w:r>
    </w:p>
    <w:p>
      <w:pPr>
        <w:pStyle w:val="Heading3"/>
        <w:spacing w:before="200" w:after="80"/>
      </w:pPr>
      <w:r>
        <w:rPr>
          <w:rFonts w:ascii="Arial" w:cs="Arial" w:eastAsia="Arial" w:hAnsi="Arial"/>
          <w:b/>
          <w:bCs/>
          <w:i w:val="false"/>
          <w:iCs w:val="false"/>
          <w:color w:val="1E88E5"/>
          <w:sz w:val="23"/>
          <w:szCs w:val="23"/>
        </w:rPr>
        <w:t xml:space="preserve">Hyperparameter Tuning via GridSearchCV</w:t>
      </w:r>
    </w:p>
    <w:p>
      <w:pPr>
        <w:spacing w:after="140" w:line="310"/>
        <w:jc w:val="both"/>
      </w:pPr>
      <w:r>
        <w:rPr>
          <w:rFonts w:ascii="Arial" w:cs="Arial" w:eastAsia="Arial" w:hAnsi="Arial"/>
          <w:color w:val="111111"/>
          <w:sz w:val="22"/>
          <w:szCs w:val="22"/>
        </w:rPr>
        <w:t xml:space="preserve">To identify the optimal model configuration, 5-fold cross-validation was performed over a parameter grid. Each fold trains on 80% and validates on 20% of the training subset, repeating 5 times for statistical stability.</w:t>
      </w:r>
    </w:p>
    <w:p>
      <w:pPr>
        <w:spacing w:after="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060"/>
        <w:gridCol w:w="2800"/>
      </w:tblGrid>
      <w:tr>
        <w:tc>
          <w:tcPr>
            <w:tcW w:type="dxa" w:w="2200"/>
            <w:tcBorders>
              <w:top w:val="single" w:color="1565C0" w:sz="2"/>
              <w:left w:val="single" w:color="1565C0" w:sz="2"/>
              <w:bottom w:val="single" w:color="1565C0" w:sz="2"/>
              <w:right w:val="single" w:color="1565C0" w:sz="2"/>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Parameter</w:t>
            </w:r>
          </w:p>
        </w:tc>
        <w:tc>
          <w:tcPr>
            <w:tcW w:type="dxa" w:w="2300"/>
            <w:tcBorders>
              <w:top w:val="single" w:color="1565C0" w:sz="2"/>
              <w:left w:val="single" w:color="1565C0" w:sz="2"/>
              <w:bottom w:val="single" w:color="1565C0" w:sz="2"/>
              <w:right w:val="single" w:color="1565C0" w:sz="2"/>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Values Tested</w:t>
            </w:r>
          </w:p>
        </w:tc>
        <w:tc>
          <w:tcPr>
            <w:tcW w:type="dxa" w:w="2060"/>
            <w:tcBorders>
              <w:top w:val="single" w:color="1565C0" w:sz="2"/>
              <w:left w:val="single" w:color="1565C0" w:sz="2"/>
              <w:bottom w:val="single" w:color="1565C0" w:sz="2"/>
              <w:right w:val="single" w:color="1565C0" w:sz="2"/>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Best Value</w:t>
            </w:r>
          </w:p>
        </w:tc>
        <w:tc>
          <w:tcPr>
            <w:tcW w:type="dxa" w:w="2800"/>
            <w:tcBorders>
              <w:top w:val="single" w:color="1565C0" w:sz="2"/>
              <w:left w:val="single" w:color="1565C0" w:sz="2"/>
              <w:bottom w:val="single" w:color="1565C0" w:sz="2"/>
              <w:right w:val="single" w:color="1565C0" w:sz="2"/>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Impact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n_estimators</w:t>
            </w:r>
          </w:p>
        </w:tc>
        <w:tc>
          <w:tcPr>
            <w:tcW w:type="dxa" w:w="2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50, 100, 200, 300</w:t>
            </w:r>
          </w:p>
        </w:tc>
        <w:tc>
          <w:tcPr>
            <w:tcW w:type="dxa" w:w="2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565C0"/>
                <w:sz w:val="20"/>
                <w:szCs w:val="20"/>
              </w:rPr>
              <w:t xml:space="preserve">300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More trees → stronger ensemble</w:t>
            </w:r>
          </w:p>
        </w:tc>
      </w:tr>
      <w:tr>
        <w:tc>
          <w:tcPr>
            <w:tcW w:type="dxa" w:w="22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max_depth</w:t>
            </w:r>
          </w:p>
        </w:tc>
        <w:tc>
          <w:tcPr>
            <w:tcW w:type="dxa" w:w="23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None, 10, 20</w:t>
            </w:r>
          </w:p>
        </w:tc>
        <w:tc>
          <w:tcPr>
            <w:tcW w:type="dxa" w:w="206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bCs/>
                <w:color w:val="1565C0"/>
                <w:sz w:val="20"/>
                <w:szCs w:val="20"/>
              </w:rPr>
              <w:t xml:space="preserve">20</w:t>
            </w:r>
          </w:p>
        </w:tc>
        <w:tc>
          <w:tcPr>
            <w:tcW w:type="dxa" w:w="28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Controls over-fitting via pruning</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min_samples_leaf</w:t>
            </w:r>
          </w:p>
        </w:tc>
        <w:tc>
          <w:tcPr>
            <w:tcW w:type="dxa" w:w="2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1, 2</w:t>
            </w:r>
          </w:p>
        </w:tc>
        <w:tc>
          <w:tcPr>
            <w:tcW w:type="dxa" w:w="2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565C0"/>
                <w:sz w:val="20"/>
                <w:szCs w:val="20"/>
              </w:rPr>
              <w:t xml:space="preserve">1</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Minimum leaf node size</w:t>
            </w:r>
          </w:p>
        </w:tc>
      </w:tr>
      <w:tr>
        <w:tc>
          <w:tcPr>
            <w:tcW w:type="dxa" w:w="22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min_samples_split</w:t>
            </w:r>
          </w:p>
        </w:tc>
        <w:tc>
          <w:tcPr>
            <w:tcW w:type="dxa" w:w="23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2, 5</w:t>
            </w:r>
          </w:p>
        </w:tc>
        <w:tc>
          <w:tcPr>
            <w:tcW w:type="dxa" w:w="206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bCs/>
                <w:color w:val="1565C0"/>
                <w:sz w:val="20"/>
                <w:szCs w:val="20"/>
              </w:rPr>
              <w:t xml:space="preserve">2</w:t>
            </w:r>
          </w:p>
        </w:tc>
        <w:tc>
          <w:tcPr>
            <w:tcW w:type="dxa" w:w="28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Minimum split threshold</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cv (folds)</w:t>
            </w:r>
          </w:p>
        </w:tc>
        <w:tc>
          <w:tcPr>
            <w:tcW w:type="dxa" w:w="2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5</w:t>
            </w:r>
          </w:p>
        </w:tc>
        <w:tc>
          <w:tcPr>
            <w:tcW w:type="dxa" w:w="2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565C0"/>
                <w:sz w:val="20"/>
                <w:szCs w:val="20"/>
              </w:rPr>
              <w:t xml:space="preserve">5</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Stable validation estimate</w:t>
            </w:r>
          </w:p>
        </w:tc>
      </w:tr>
      <w:tr>
        <w:tc>
          <w:tcPr>
            <w:tcW w:type="dxa" w:w="22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Grid candidates</w:t>
            </w:r>
          </w:p>
        </w:tc>
        <w:tc>
          <w:tcPr>
            <w:tcW w:type="dxa" w:w="23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36 combinations</w:t>
            </w:r>
          </w:p>
        </w:tc>
        <w:tc>
          <w:tcPr>
            <w:tcW w:type="dxa" w:w="206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bCs/>
                <w:color w:val="1565C0"/>
                <w:sz w:val="20"/>
                <w:szCs w:val="20"/>
              </w:rPr>
              <w:t xml:space="preserve">—</w:t>
            </w:r>
          </w:p>
        </w:tc>
        <w:tc>
          <w:tcPr>
            <w:tcW w:type="dxa" w:w="28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180 total fits</w:t>
            </w:r>
          </w:p>
        </w:tc>
      </w:tr>
    </w:tbl>
    <w:p>
      <w:pPr>
        <w:spacing w:before="80" w:after="240"/>
        <w:jc w:val="center"/>
      </w:pPr>
      <w:r>
        <w:rPr>
          <w:rFonts w:ascii="Arial" w:cs="Arial" w:eastAsia="Arial" w:hAnsi="Arial"/>
          <w:b/>
          <w:bCs/>
          <w:i/>
          <w:iCs/>
          <w:color w:val="607D8B"/>
          <w:sz w:val="19"/>
          <w:szCs w:val="19"/>
        </w:rPr>
        <w:t xml:space="preserve">Table 3: GridSearchCV hyperparameter tuning — optimal configuration</w:t>
      </w:r>
    </w:p>
    <w:p>
      <w:pPr>
        <w:spacing w:after="80"/>
      </w:pPr>
      <w:r>
        <w:rPr>
          <w:rFonts w:ascii="Arial" w:cs="Arial" w:eastAsia="Arial" w:hAnsi="Arial"/>
          <w:color w:val="111111"/>
          <w:sz w:val="22"/>
          <w:szCs w:val="22"/>
        </w:rPr>
        <w:t xml:space="preserve"/>
      </w:r>
    </w:p>
    <w:p>
      <w:pPr>
        <w:pStyle w:val="Heading2"/>
        <w:pBdr>
          <w:bottom w:val="single" w:color="42A5F5" w:sz="4" w:space="4"/>
        </w:pBdr>
        <w:spacing w:before="280" w:after="120"/>
      </w:pPr>
      <w:r>
        <w:rPr>
          <w:rFonts w:ascii="Arial" w:cs="Arial" w:eastAsia="Arial" w:hAnsi="Arial"/>
          <w:b/>
          <w:bCs/>
          <w:color w:val="1565C0"/>
          <w:sz w:val="27"/>
          <w:szCs w:val="27"/>
        </w:rPr>
        <w:t xml:space="preserve">4.3  Approach 2 — K-Means Clustering (Unsupervised)</w:t>
      </w:r>
    </w:p>
    <w:p>
      <w:pPr>
        <w:spacing w:after="140" w:line="310"/>
        <w:jc w:val="both"/>
      </w:pPr>
      <w:r>
        <w:rPr>
          <w:rFonts w:ascii="Arial" w:cs="Arial" w:eastAsia="Arial" w:hAnsi="Arial"/>
          <w:color w:val="111111"/>
          <w:sz w:val="22"/>
          <w:szCs w:val="22"/>
        </w:rPr>
        <w:t xml:space="preserve">K-Means (MacQueen, 1967) partitions data into k clusters by iteratively assigning each point to the nearest centroid and updating centroids to the cluster mean. It operates entirely </w:t>
      </w:r>
      <w:r>
        <w:rPr>
          <w:rFonts w:ascii="Arial" w:cs="Arial" w:eastAsia="Arial" w:hAnsi="Arial"/>
          <w:b/>
          <w:bCs/>
          <w:color w:val="0D2137"/>
          <w:sz w:val="22"/>
          <w:szCs w:val="22"/>
        </w:rPr>
        <w:t xml:space="preserve">without labels</w:t>
      </w:r>
      <w:r>
        <w:rPr>
          <w:rFonts w:ascii="Arial" w:cs="Arial" w:eastAsia="Arial" w:hAnsi="Arial"/>
          <w:color w:val="111111"/>
          <w:sz w:val="22"/>
          <w:szCs w:val="22"/>
        </w:rPr>
        <w:t xml:space="preserve"> during training — making it a true unsupervised method. A post-hoc </w:t>
      </w:r>
      <w:r>
        <w:rPr>
          <w:rFonts w:ascii="Arial" w:cs="Arial" w:eastAsia="Arial" w:hAnsi="Arial"/>
          <w:b/>
          <w:bCs/>
          <w:color w:val="0D2137"/>
          <w:sz w:val="22"/>
          <w:szCs w:val="22"/>
        </w:rPr>
        <w:t xml:space="preserve">majority-vote mapping</w:t>
      </w:r>
      <w:r>
        <w:rPr>
          <w:rFonts w:ascii="Arial" w:cs="Arial" w:eastAsia="Arial" w:hAnsi="Arial"/>
          <w:color w:val="111111"/>
          <w:sz w:val="22"/>
          <w:szCs w:val="22"/>
        </w:rPr>
        <w:t xml:space="preserve"> is applied to convert cluster IDs into class labels for evaluation purposes.</w:t>
      </w:r>
    </w:p>
    <w:p>
      <w:pPr>
        <w:pStyle w:val="Heading3"/>
        <w:spacing w:before="200" w:after="80"/>
      </w:pPr>
      <w:r>
        <w:rPr>
          <w:rFonts w:ascii="Arial" w:cs="Arial" w:eastAsia="Arial" w:hAnsi="Arial"/>
          <w:b/>
          <w:bCs/>
          <w:i w:val="false"/>
          <w:iCs w:val="false"/>
          <w:color w:val="1E88E5"/>
          <w:sz w:val="23"/>
          <w:szCs w:val="23"/>
        </w:rPr>
        <w:t xml:space="preserve">Why PCA is Essential Before K-Means</w:t>
      </w:r>
    </w:p>
    <w:p>
      <w:pPr>
        <w:spacing w:after="140" w:line="310"/>
        <w:jc w:val="both"/>
      </w:pPr>
      <w:r>
        <w:rPr>
          <w:rFonts w:ascii="Arial" w:cs="Arial" w:eastAsia="Arial" w:hAnsi="Arial"/>
          <w:color w:val="111111"/>
          <w:sz w:val="22"/>
          <w:szCs w:val="22"/>
        </w:rPr>
        <w:t xml:space="preserve">Raw pixel vectors from 64×64 RGB images contain 12,288 dimensions. At this scale, Euclidean distance — the core metric of K-Means — loses discriminative power due to the curse of dimensionality. All points appear equidistant, making meaningful cluster separation effectively impossible. PCA compresses this to 120 components while retaining 81.37% of the original variance, enabling K-Means to find more meaningful geometric structure.</w:t>
      </w:r>
    </w:p>
    <w:p>
      <w:pPr>
        <w:spacing w:after="80"/>
      </w:pPr>
      <w:r>
        <w:rPr>
          <w:rFonts w:ascii="Arial" w:cs="Arial" w:eastAsia="Arial" w:hAnsi="Arial"/>
          <w:color w:val="111111"/>
          <w:sz w:val="22"/>
          <w:szCs w:val="22"/>
        </w:rPr>
        <w:t xml:space="preserve"/>
      </w:r>
    </w:p>
    <w:p>
      <w:pPr>
        <w:spacing w:before="180" w:after="8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28900"/>
                    </a:xfrm>
                    <a:prstGeom prst="rect">
                      <a:avLst/>
                    </a:prstGeom>
                  </pic:spPr>
                </pic:pic>
              </a:graphicData>
            </a:graphic>
          </wp:inline>
        </w:drawing>
      </w:r>
    </w:p>
    <w:p>
      <w:pPr>
        <w:spacing w:before="80" w:after="240"/>
        <w:jc w:val="center"/>
      </w:pPr>
      <w:r>
        <w:rPr>
          <w:rFonts w:ascii="Arial" w:cs="Arial" w:eastAsia="Arial" w:hAnsi="Arial"/>
          <w:b/>
          <w:bCs/>
          <w:i/>
          <w:iCs/>
          <w:color w:val="607D8B"/>
          <w:sz w:val="19"/>
          <w:szCs w:val="19"/>
        </w:rPr>
        <w:t xml:space="preserve">Figure 3: PCA Cumulative Explained Variance — 120 components capture 81.37% of image variance</w:t>
      </w:r>
    </w:p>
    <w:p>
      <w:pPr>
        <w:spacing w:after="80"/>
      </w:pPr>
      <w:r>
        <w:rPr>
          <w:rFonts w:ascii="Arial" w:cs="Arial" w:eastAsia="Arial" w:hAnsi="Arial"/>
          <w:color w:val="111111"/>
          <w:sz w:val="22"/>
          <w:szCs w:val="22"/>
        </w:rPr>
        <w:t xml:space="preserve"/>
      </w:r>
    </w:p>
    <w:p>
      <w:pPr>
        <w:spacing w:after="140" w:line="310"/>
        <w:jc w:val="both"/>
      </w:pPr>
      <w:r>
        <w:rPr>
          <w:rFonts w:ascii="Arial" w:cs="Arial" w:eastAsia="Arial" w:hAnsi="Arial"/>
          <w:b/>
          <w:bCs/>
          <w:color w:val="0D2137"/>
          <w:sz w:val="22"/>
          <w:szCs w:val="22"/>
        </w:rPr>
        <w:t xml:space="preserve">Pipeline Steps:</w:t>
      </w:r>
    </w:p>
    <w:p>
      <w:pPr>
        <w:pStyle w:val="ListParagraph"/>
        <w:numPr>
          <w:ilvl w:val="0"/>
          <w:numId w:val="3"/>
        </w:numPr>
        <w:spacing w:after="110"/>
      </w:pPr>
      <w:r>
        <w:rPr>
          <w:rFonts w:ascii="Arial" w:cs="Arial" w:eastAsia="Arial" w:hAnsi="Arial"/>
          <w:b/>
          <w:bCs/>
          <w:color w:val="0D2137"/>
          <w:sz w:val="22"/>
          <w:szCs w:val="22"/>
        </w:rPr>
        <w:t xml:space="preserve">PCA: </w:t>
      </w:r>
      <w:r>
        <w:rPr>
          <w:rFonts w:ascii="Arial" w:cs="Arial" w:eastAsia="Arial" w:hAnsi="Arial"/>
          <w:color w:val="111111"/>
          <w:sz w:val="22"/>
          <w:szCs w:val="22"/>
        </w:rPr>
        <w:t xml:space="preserve">Fit PCA on full dataset; reduce 12,288D → 120D (81.37% variance retained)</w:t>
      </w:r>
    </w:p>
    <w:p>
      <w:pPr>
        <w:pStyle w:val="ListParagraph"/>
        <w:numPr>
          <w:ilvl w:val="0"/>
          <w:numId w:val="3"/>
        </w:numPr>
        <w:spacing w:after="110"/>
      </w:pPr>
      <w:r>
        <w:rPr>
          <w:rFonts w:ascii="Arial" w:cs="Arial" w:eastAsia="Arial" w:hAnsi="Arial"/>
          <w:b/>
          <w:bCs/>
          <w:color w:val="0D2137"/>
          <w:sz w:val="22"/>
          <w:szCs w:val="22"/>
        </w:rPr>
        <w:t xml:space="preserve">K-Means: </w:t>
      </w:r>
      <w:r>
        <w:rPr>
          <w:rFonts w:ascii="Arial" w:cs="Arial" w:eastAsia="Arial" w:hAnsi="Arial"/>
          <w:color w:val="111111"/>
          <w:sz w:val="22"/>
          <w:szCs w:val="22"/>
        </w:rPr>
        <w:t xml:space="preserve">Fit KMeans(n_clusters=4, init="k-means++", n_init=10, random_state=42) on PCA data</w:t>
      </w:r>
    </w:p>
    <w:p>
      <w:pPr>
        <w:pStyle w:val="ListParagraph"/>
        <w:numPr>
          <w:ilvl w:val="0"/>
          <w:numId w:val="3"/>
        </w:numPr>
        <w:spacing w:after="110"/>
      </w:pPr>
      <w:r>
        <w:rPr>
          <w:rFonts w:ascii="Arial" w:cs="Arial" w:eastAsia="Arial" w:hAnsi="Arial"/>
          <w:b/>
          <w:bCs/>
          <w:color w:val="0D2137"/>
          <w:sz w:val="22"/>
          <w:szCs w:val="22"/>
        </w:rPr>
        <w:t xml:space="preserve">Cluster Mapping: </w:t>
      </w:r>
      <w:r>
        <w:rPr>
          <w:rFonts w:ascii="Arial" w:cs="Arial" w:eastAsia="Arial" w:hAnsi="Arial"/>
          <w:color w:val="111111"/>
          <w:sz w:val="22"/>
          <w:szCs w:val="22"/>
        </w:rPr>
        <w:t xml:space="preserve">For each cluster, assign majority true label using scipy.stats.mode</w:t>
      </w:r>
    </w:p>
    <w:p>
      <w:pPr>
        <w:pStyle w:val="ListParagraph"/>
        <w:numPr>
          <w:ilvl w:val="0"/>
          <w:numId w:val="3"/>
        </w:numPr>
        <w:spacing w:after="110"/>
      </w:pPr>
      <w:r>
        <w:rPr>
          <w:rFonts w:ascii="Arial" w:cs="Arial" w:eastAsia="Arial" w:hAnsi="Arial"/>
          <w:b/>
          <w:bCs/>
          <w:color w:val="0D2137"/>
          <w:sz w:val="22"/>
          <w:szCs w:val="22"/>
        </w:rPr>
        <w:t xml:space="preserve">Evaluation: </w:t>
      </w:r>
      <w:r>
        <w:rPr>
          <w:rFonts w:ascii="Arial" w:cs="Arial" w:eastAsia="Arial" w:hAnsi="Arial"/>
          <w:color w:val="111111"/>
          <w:sz w:val="22"/>
          <w:szCs w:val="22"/>
        </w:rPr>
        <w:t xml:space="preserve">Map all assignments → accuracy, confusion matrix, classification report</w:t>
      </w:r>
    </w:p>
    <w:p>
      <w:pPr>
        <w:spacing w:after="80"/>
      </w:pPr>
      <w:r>
        <w:rPr>
          <w:rFonts w:ascii="Arial" w:cs="Arial" w:eastAsia="Arial" w:hAnsi="Arial"/>
          <w:color w:val="111111"/>
          <w:sz w:val="22"/>
          <w:szCs w:val="22"/>
        </w:rPr>
        <w:t xml:space="preserve"/>
      </w:r>
    </w:p>
    <w:p>
      <w:pPr>
        <w:pStyle w:val="Heading2"/>
        <w:pBdr>
          <w:bottom w:val="single" w:color="42A5F5" w:sz="4" w:space="4"/>
        </w:pBdr>
        <w:spacing w:before="280" w:after="120"/>
      </w:pPr>
      <w:r>
        <w:rPr>
          <w:rFonts w:ascii="Arial" w:cs="Arial" w:eastAsia="Arial" w:hAnsi="Arial"/>
          <w:b/>
          <w:bCs/>
          <w:color w:val="1565C0"/>
          <w:sz w:val="27"/>
          <w:szCs w:val="27"/>
        </w:rPr>
        <w:t xml:space="preserve">4.4  End-to-End Pipeline Overview</w:t>
      </w:r>
    </w:p>
    <w:p>
      <w:pPr>
        <w:spacing w:before="180" w:after="80"/>
        <w:jc w:val="center"/>
      </w:pPr>
      <w:r>
        <w:drawing>
          <wp:inline distT="0" distB="0" distL="0" distR="0">
            <wp:extent cx="5905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05075"/>
                    </a:xfrm>
                    <a:prstGeom prst="rect">
                      <a:avLst/>
                    </a:prstGeom>
                  </pic:spPr>
                </pic:pic>
              </a:graphicData>
            </a:graphic>
          </wp:inline>
        </w:drawing>
      </w:r>
    </w:p>
    <w:p>
      <w:pPr>
        <w:spacing w:before="80" w:after="240"/>
        <w:jc w:val="center"/>
      </w:pPr>
      <w:r>
        <w:rPr>
          <w:rFonts w:ascii="Arial" w:cs="Arial" w:eastAsia="Arial" w:hAnsi="Arial"/>
          <w:b/>
          <w:bCs/>
          <w:i/>
          <w:iCs/>
          <w:color w:val="607D8B"/>
          <w:sz w:val="19"/>
          <w:szCs w:val="19"/>
        </w:rPr>
        <w:t xml:space="preserve">Figure 4 (Top): Random Forest Pipeline  |  Figure 4 (Bottom): K-Means Pipeline</w:t>
      </w:r>
    </w:p>
    <w:p>
      <w:r>
        <w:br w:type="page"/>
      </w:r>
    </w:p>
    <w:p>
      <w:pPr>
        <w:pStyle w:val="Heading1"/>
        <w:pBdr>
          <w:bottom w:val="single" w:color="1565C0" w:sz="14" w:space="6"/>
        </w:pBdr>
        <w:spacing w:before="400" w:after="140"/>
      </w:pPr>
      <w:r>
        <w:rPr>
          <w:rFonts w:ascii="Arial" w:cs="Arial" w:eastAsia="Arial" w:hAnsi="Arial"/>
          <w:b/>
          <w:bCs/>
          <w:caps/>
          <w:color w:val="0D2137"/>
          <w:sz w:val="34"/>
          <w:szCs w:val="34"/>
        </w:rPr>
        <w:t xml:space="preserve">5. Experimental Results</w:t>
      </w:r>
    </w:p>
    <w:p>
      <w:pPr>
        <w:pStyle w:val="Heading2"/>
        <w:pBdr>
          <w:bottom w:val="single" w:color="42A5F5" w:sz="4" w:space="4"/>
        </w:pBdr>
        <w:spacing w:before="280" w:after="120"/>
      </w:pPr>
      <w:r>
        <w:rPr>
          <w:rFonts w:ascii="Arial" w:cs="Arial" w:eastAsia="Arial" w:hAnsi="Arial"/>
          <w:b/>
          <w:bCs/>
          <w:color w:val="1565C0"/>
          <w:sz w:val="27"/>
          <w:szCs w:val="27"/>
        </w:rPr>
        <w:t xml:space="preserve">5.1  Random Forest Results</w:t>
      </w:r>
    </w:p>
    <w:p>
      <w:pPr>
        <w:spacing w:after="140" w:line="310"/>
        <w:jc w:val="both"/>
      </w:pPr>
      <w:r>
        <w:rPr>
          <w:rFonts w:ascii="Arial" w:cs="Arial" w:eastAsia="Arial" w:hAnsi="Arial"/>
          <w:color w:val="111111"/>
          <w:sz w:val="22"/>
          <w:szCs w:val="22"/>
        </w:rPr>
        <w:t xml:space="preserve">The tuned Random Forest model (max_depth=20, n_estimators=300) achieved a test accuracy of </w:t>
      </w:r>
      <w:r>
        <w:rPr>
          <w:rFonts w:ascii="Arial" w:cs="Arial" w:eastAsia="Arial" w:hAnsi="Arial"/>
          <w:b/>
          <w:bCs/>
          <w:color w:val="1565C0"/>
          <w:sz w:val="22"/>
          <w:szCs w:val="22"/>
        </w:rPr>
        <w:t xml:space="preserve">70.59%</w:t>
      </w:r>
      <w:r>
        <w:rPr>
          <w:rFonts w:ascii="Arial" w:cs="Arial" w:eastAsia="Arial" w:hAnsi="Arial"/>
          <w:color w:val="111111"/>
          <w:sz w:val="22"/>
          <w:szCs w:val="22"/>
        </w:rPr>
        <w:t xml:space="preserve"> on 153 held-out test samples. The model demonstrates strong and consistent performance across visually distinct classes, while showing expected difficulty with spectrally similar disease categories.</w:t>
      </w:r>
    </w:p>
    <w:p>
      <w:pPr>
        <w:pStyle w:val="Heading3"/>
        <w:spacing w:before="200" w:after="80"/>
      </w:pPr>
      <w:r>
        <w:rPr>
          <w:rFonts w:ascii="Arial" w:cs="Arial" w:eastAsia="Arial" w:hAnsi="Arial"/>
          <w:b/>
          <w:bCs/>
          <w:i w:val="false"/>
          <w:iCs w:val="false"/>
          <w:color w:val="1E88E5"/>
          <w:sz w:val="23"/>
          <w:szCs w:val="23"/>
        </w:rPr>
        <w:t xml:space="preserve">5.1.1  Confusion Matrix</w:t>
      </w:r>
    </w:p>
    <w:p>
      <w:pPr>
        <w:spacing w:before="180" w:after="80"/>
        <w:jc w:val="center"/>
      </w:pPr>
      <w:r>
        <w:drawing>
          <wp:inline distT="0" distB="0" distL="0" distR="0">
            <wp:extent cx="3810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409950"/>
                    </a:xfrm>
                    <a:prstGeom prst="rect">
                      <a:avLst/>
                    </a:prstGeom>
                  </pic:spPr>
                </pic:pic>
              </a:graphicData>
            </a:graphic>
          </wp:inline>
        </w:drawing>
      </w:r>
    </w:p>
    <w:p>
      <w:pPr>
        <w:spacing w:before="80" w:after="240"/>
        <w:jc w:val="center"/>
      </w:pPr>
      <w:r>
        <w:rPr>
          <w:rFonts w:ascii="Arial" w:cs="Arial" w:eastAsia="Arial" w:hAnsi="Arial"/>
          <w:b/>
          <w:bCs/>
          <w:i/>
          <w:iCs/>
          <w:color w:val="607D8B"/>
          <w:sz w:val="19"/>
          <w:szCs w:val="19"/>
        </w:rPr>
        <w:t xml:space="preserve">Figure 5: Random Forest — Confusion Matrix (Test Set, n=153, Accuracy=70.59%)</w:t>
      </w:r>
    </w:p>
    <w:p>
      <w:pPr>
        <w:spacing w:after="80"/>
      </w:pPr>
      <w:r>
        <w:rPr>
          <w:rFonts w:ascii="Arial" w:cs="Arial" w:eastAsia="Arial" w:hAnsi="Arial"/>
          <w:color w:val="111111"/>
          <w:sz w:val="22"/>
          <w:szCs w:val="22"/>
        </w:rPr>
        <w:t xml:space="preserve"/>
      </w:r>
    </w:p>
    <w:p>
      <w:pPr>
        <w:pStyle w:val="Heading3"/>
        <w:spacing w:before="200" w:after="80"/>
      </w:pPr>
      <w:r>
        <w:rPr>
          <w:rFonts w:ascii="Arial" w:cs="Arial" w:eastAsia="Arial" w:hAnsi="Arial"/>
          <w:b/>
          <w:bCs/>
          <w:i w:val="false"/>
          <w:iCs w:val="false"/>
          <w:color w:val="1E88E5"/>
          <w:sz w:val="23"/>
          <w:szCs w:val="23"/>
        </w:rPr>
        <w:t xml:space="preserve">5.1.2  Per-Class Metrics &amp; Classification Report</w:t>
      </w:r>
    </w:p>
    <w:p>
      <w:pPr>
        <w:spacing w:before="180" w:after="80"/>
        <w:jc w:val="center"/>
      </w:pPr>
      <w:r>
        <w:drawing>
          <wp:inline distT="0" distB="0" distL="0" distR="0">
            <wp:extent cx="5524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705100"/>
                    </a:xfrm>
                    <a:prstGeom prst="rect">
                      <a:avLst/>
                    </a:prstGeom>
                  </pic:spPr>
                </pic:pic>
              </a:graphicData>
            </a:graphic>
          </wp:inline>
        </w:drawing>
      </w:r>
    </w:p>
    <w:p>
      <w:pPr>
        <w:spacing w:before="80" w:after="240"/>
        <w:jc w:val="center"/>
      </w:pPr>
      <w:r>
        <w:rPr>
          <w:rFonts w:ascii="Arial" w:cs="Arial" w:eastAsia="Arial" w:hAnsi="Arial"/>
          <w:b/>
          <w:bCs/>
          <w:i/>
          <w:iCs/>
          <w:color w:val="607D8B"/>
          <w:sz w:val="19"/>
          <w:szCs w:val="19"/>
        </w:rPr>
        <w:t xml:space="preserve">Figure 6: Random Forest — Per-Class Precision, Recall &amp; F1-Score</w:t>
      </w:r>
    </w:p>
    <w:p>
      <w:pPr>
        <w:spacing w:after="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c>
          <w:tcPr>
            <w:tcW w:type="dxa" w:w="3000"/>
            <w:tcBorders>
              <w:top w:val="single" w:color="1565C0" w:sz="2"/>
              <w:left w:val="single" w:color="1565C0" w:sz="2"/>
              <w:bottom w:val="single" w:color="1565C0" w:sz="2"/>
              <w:right w:val="single" w:color="1565C0" w:sz="2"/>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Class</w:t>
            </w:r>
          </w:p>
        </w:tc>
        <w:tc>
          <w:tcPr>
            <w:tcW w:type="dxa" w:w="1590"/>
            <w:tcBorders>
              <w:top w:val="single" w:color="1565C0" w:sz="2"/>
              <w:left w:val="single" w:color="1565C0" w:sz="2"/>
              <w:bottom w:val="single" w:color="1565C0" w:sz="2"/>
              <w:right w:val="single" w:color="1565C0" w:sz="2"/>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Precision</w:t>
            </w:r>
          </w:p>
        </w:tc>
        <w:tc>
          <w:tcPr>
            <w:tcW w:type="dxa" w:w="1590"/>
            <w:tcBorders>
              <w:top w:val="single" w:color="1565C0" w:sz="2"/>
              <w:left w:val="single" w:color="1565C0" w:sz="2"/>
              <w:bottom w:val="single" w:color="1565C0" w:sz="2"/>
              <w:right w:val="single" w:color="1565C0" w:sz="2"/>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Recall</w:t>
            </w:r>
          </w:p>
        </w:tc>
        <w:tc>
          <w:tcPr>
            <w:tcW w:type="dxa" w:w="1590"/>
            <w:tcBorders>
              <w:top w:val="single" w:color="1565C0" w:sz="2"/>
              <w:left w:val="single" w:color="1565C0" w:sz="2"/>
              <w:bottom w:val="single" w:color="1565C0" w:sz="2"/>
              <w:right w:val="single" w:color="1565C0" w:sz="2"/>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F1-Score</w:t>
            </w:r>
          </w:p>
        </w:tc>
        <w:tc>
          <w:tcPr>
            <w:tcW w:type="dxa" w:w="1590"/>
            <w:tcBorders>
              <w:top w:val="single" w:color="1565C0" w:sz="2"/>
              <w:left w:val="single" w:color="1565C0" w:sz="2"/>
              <w:bottom w:val="single" w:color="1565C0" w:sz="2"/>
              <w:right w:val="single" w:color="1565C0" w:sz="2"/>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Support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bCs/>
                <w:color w:val="0D2137"/>
                <w:sz w:val="20"/>
                <w:szCs w:val="20"/>
              </w:rPr>
              <w:t xml:space="preserve">Tomato Early Blight</w:t>
            </w:r>
          </w:p>
        </w:tc>
        <w:tc>
          <w:tcPr>
            <w:tcW w:type="dxa" w:w="159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0.57</w:t>
            </w:r>
          </w:p>
        </w:tc>
        <w:tc>
          <w:tcPr>
            <w:tcW w:type="dxa" w:w="159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0.41</w:t>
            </w:r>
          </w:p>
        </w:tc>
        <w:tc>
          <w:tcPr>
            <w:tcW w:type="dxa" w:w="159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0.48</w:t>
            </w:r>
          </w:p>
        </w:tc>
        <w:tc>
          <w:tcPr>
            <w:tcW w:type="dxa" w:w="159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29</w:t>
            </w:r>
          </w:p>
        </w:tc>
      </w:tr>
      <w:tr>
        <w:tc>
          <w:tcPr>
            <w:tcW w:type="dxa" w:w="300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bCs/>
                <w:color w:val="0D2137"/>
                <w:sz w:val="20"/>
                <w:szCs w:val="20"/>
              </w:rPr>
              <w:t xml:space="preserve">Tomato Late Blight</w:t>
            </w:r>
          </w:p>
        </w:tc>
        <w:tc>
          <w:tcPr>
            <w:tcW w:type="dxa" w:w="159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0.82</w:t>
            </w:r>
          </w:p>
        </w:tc>
        <w:tc>
          <w:tcPr>
            <w:tcW w:type="dxa" w:w="159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0.50</w:t>
            </w:r>
          </w:p>
        </w:tc>
        <w:tc>
          <w:tcPr>
            <w:tcW w:type="dxa" w:w="159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0.62</w:t>
            </w:r>
          </w:p>
        </w:tc>
        <w:tc>
          <w:tcPr>
            <w:tcW w:type="dxa" w:w="159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36</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bCs/>
                <w:color w:val="0D2137"/>
                <w:sz w:val="20"/>
                <w:szCs w:val="20"/>
              </w:rPr>
              <w:t xml:space="preserve">Tomato Leaf Mold</w:t>
            </w:r>
          </w:p>
        </w:tc>
        <w:tc>
          <w:tcPr>
            <w:tcW w:type="dxa" w:w="159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0.62</w:t>
            </w:r>
          </w:p>
        </w:tc>
        <w:tc>
          <w:tcPr>
            <w:tcW w:type="dxa" w:w="159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0.87</w:t>
            </w:r>
          </w:p>
        </w:tc>
        <w:tc>
          <w:tcPr>
            <w:tcW w:type="dxa" w:w="159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0.73</w:t>
            </w:r>
          </w:p>
        </w:tc>
        <w:tc>
          <w:tcPr>
            <w:tcW w:type="dxa" w:w="159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38</w:t>
            </w:r>
          </w:p>
        </w:tc>
      </w:tr>
      <w:tr>
        <w:tc>
          <w:tcPr>
            <w:tcW w:type="dxa" w:w="300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bCs/>
                <w:color w:val="0D2137"/>
                <w:sz w:val="20"/>
                <w:szCs w:val="20"/>
              </w:rPr>
              <w:t xml:space="preserve">Tomato Healthy</w:t>
            </w:r>
          </w:p>
        </w:tc>
        <w:tc>
          <w:tcPr>
            <w:tcW w:type="dxa" w:w="159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0.79</w:t>
            </w:r>
          </w:p>
        </w:tc>
        <w:tc>
          <w:tcPr>
            <w:tcW w:type="dxa" w:w="159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0.90</w:t>
            </w:r>
          </w:p>
        </w:tc>
        <w:tc>
          <w:tcPr>
            <w:tcW w:type="dxa" w:w="159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0.84</w:t>
            </w:r>
          </w:p>
        </w:tc>
        <w:tc>
          <w:tcPr>
            <w:tcW w:type="dxa" w:w="159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50</w:t>
            </w:r>
          </w:p>
        </w:tc>
      </w:tr>
      <w:tr>
        <w:tc>
          <w:tcPr>
            <w:tcW w:type="dxa" w:w="30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0D2137"/>
                <w:sz w:val="20"/>
                <w:szCs w:val="20"/>
              </w:rPr>
              <w:t xml:space="preserve">Macro Average</w:t>
            </w:r>
          </w:p>
        </w:tc>
        <w:tc>
          <w:tcPr>
            <w:tcW w:type="dxa" w:w="159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111111"/>
                <w:sz w:val="20"/>
                <w:szCs w:val="20"/>
              </w:rPr>
              <w:t xml:space="preserve">0.70</w:t>
            </w:r>
          </w:p>
        </w:tc>
        <w:tc>
          <w:tcPr>
            <w:tcW w:type="dxa" w:w="159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111111"/>
                <w:sz w:val="20"/>
                <w:szCs w:val="20"/>
              </w:rPr>
              <w:t xml:space="preserve">0.67</w:t>
            </w:r>
          </w:p>
        </w:tc>
        <w:tc>
          <w:tcPr>
            <w:tcW w:type="dxa" w:w="159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111111"/>
                <w:sz w:val="20"/>
                <w:szCs w:val="20"/>
              </w:rPr>
              <w:t xml:space="preserve">0.67</w:t>
            </w:r>
          </w:p>
        </w:tc>
        <w:tc>
          <w:tcPr>
            <w:tcW w:type="dxa" w:w="159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111111"/>
                <w:sz w:val="20"/>
                <w:szCs w:val="20"/>
              </w:rPr>
              <w:t xml:space="preserve">153</w:t>
            </w:r>
          </w:p>
        </w:tc>
      </w:tr>
      <w:tr>
        <w:tc>
          <w:tcPr>
            <w:tcW w:type="dxa" w:w="30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0D2137"/>
                <w:sz w:val="20"/>
                <w:szCs w:val="20"/>
              </w:rPr>
              <w:t xml:space="preserve">Weighted Average</w:t>
            </w:r>
          </w:p>
        </w:tc>
        <w:tc>
          <w:tcPr>
            <w:tcW w:type="dxa" w:w="159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111111"/>
                <w:sz w:val="20"/>
                <w:szCs w:val="20"/>
              </w:rPr>
              <w:t xml:space="preserve">0.71</w:t>
            </w:r>
          </w:p>
        </w:tc>
        <w:tc>
          <w:tcPr>
            <w:tcW w:type="dxa" w:w="159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111111"/>
                <w:sz w:val="20"/>
                <w:szCs w:val="20"/>
              </w:rPr>
              <w:t xml:space="preserve">0.71</w:t>
            </w:r>
          </w:p>
        </w:tc>
        <w:tc>
          <w:tcPr>
            <w:tcW w:type="dxa" w:w="159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111111"/>
                <w:sz w:val="20"/>
                <w:szCs w:val="20"/>
              </w:rPr>
              <w:t xml:space="preserve">0.69</w:t>
            </w:r>
          </w:p>
        </w:tc>
        <w:tc>
          <w:tcPr>
            <w:tcW w:type="dxa" w:w="159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111111"/>
                <w:sz w:val="20"/>
                <w:szCs w:val="20"/>
              </w:rPr>
              <w:t xml:space="preserve">153</w:t>
            </w:r>
          </w:p>
        </w:tc>
      </w:tr>
    </w:tbl>
    <w:p>
      <w:pPr>
        <w:spacing w:before="80" w:after="240"/>
        <w:jc w:val="center"/>
      </w:pPr>
      <w:r>
        <w:rPr>
          <w:rFonts w:ascii="Arial" w:cs="Arial" w:eastAsia="Arial" w:hAnsi="Arial"/>
          <w:b/>
          <w:bCs/>
          <w:i/>
          <w:iCs/>
          <w:color w:val="607D8B"/>
          <w:sz w:val="19"/>
          <w:szCs w:val="19"/>
        </w:rPr>
        <w:t xml:space="preserve">Table 4: Random Forest — Complete Classification Report</w:t>
      </w:r>
    </w:p>
    <w:p>
      <w:pPr>
        <w:spacing w:after="80"/>
      </w:pPr>
      <w:r>
        <w:rPr>
          <w:rFonts w:ascii="Arial" w:cs="Arial" w:eastAsia="Arial" w:hAnsi="Arial"/>
          <w:color w:val="111111"/>
          <w:sz w:val="22"/>
          <w:szCs w:val="22"/>
        </w:rPr>
        <w:t xml:space="preserve"/>
      </w:r>
    </w:p>
    <w:p>
      <w:pPr>
        <w:spacing w:after="140" w:line="310"/>
        <w:jc w:val="both"/>
      </w:pPr>
      <w:r>
        <w:rPr>
          <w:rFonts w:ascii="Arial" w:cs="Arial" w:eastAsia="Arial" w:hAnsi="Arial"/>
          <w:b/>
          <w:bCs/>
          <w:color w:val="0D2137"/>
          <w:sz w:val="22"/>
          <w:szCs w:val="22"/>
        </w:rPr>
        <w:t xml:space="preserve">Key observations:</w:t>
      </w:r>
    </w:p>
    <w:p>
      <w:pPr>
        <w:pStyle w:val="ListParagraph"/>
        <w:numPr>
          <w:ilvl w:val="0"/>
          <w:numId w:val="2"/>
        </w:numPr>
        <w:spacing w:after="110"/>
      </w:pPr>
      <w:r>
        <w:rPr>
          <w:rFonts w:ascii="Arial" w:cs="Arial" w:eastAsia="Arial" w:hAnsi="Arial"/>
          <w:b/>
          <w:bCs/>
          <w:color w:val="0D2137"/>
          <w:sz w:val="22"/>
          <w:szCs w:val="22"/>
        </w:rPr>
        <w:t xml:space="preserve">Healthy class</w:t>
      </w:r>
      <w:r>
        <w:rPr>
          <w:rFonts w:ascii="Arial" w:cs="Arial" w:eastAsia="Arial" w:hAnsi="Arial"/>
          <w:color w:val="111111"/>
          <w:sz w:val="22"/>
          <w:szCs w:val="22"/>
        </w:rPr>
        <w:t xml:space="preserve">: Highest recall (0.90) and F1-score (0.84) — the model reliably identifies disease-free leaves, critical for avoiding unnecessary treatment costs.</w:t>
      </w:r>
    </w:p>
    <w:p>
      <w:pPr>
        <w:pStyle w:val="ListParagraph"/>
        <w:numPr>
          <w:ilvl w:val="0"/>
          <w:numId w:val="2"/>
        </w:numPr>
        <w:spacing w:after="110"/>
      </w:pPr>
      <w:r>
        <w:rPr>
          <w:rFonts w:ascii="Arial" w:cs="Arial" w:eastAsia="Arial" w:hAnsi="Arial"/>
          <w:b/>
          <w:bCs/>
          <w:color w:val="0D2137"/>
          <w:sz w:val="22"/>
          <w:szCs w:val="22"/>
        </w:rPr>
        <w:t xml:space="preserve">Late Blight</w:t>
      </w:r>
      <w:r>
        <w:rPr>
          <w:rFonts w:ascii="Arial" w:cs="Arial" w:eastAsia="Arial" w:hAnsi="Arial"/>
          <w:color w:val="111111"/>
          <w:sz w:val="22"/>
          <w:szCs w:val="22"/>
        </w:rPr>
        <w:t xml:space="preserve">: Highest precision (0.82) — when predicted, it is correct 82% of the time, indicating reliable detection of the most economically damaging disease.</w:t>
      </w:r>
    </w:p>
    <w:p>
      <w:pPr>
        <w:pStyle w:val="ListParagraph"/>
        <w:numPr>
          <w:ilvl w:val="0"/>
          <w:numId w:val="2"/>
        </w:numPr>
        <w:spacing w:after="110"/>
      </w:pPr>
      <w:r>
        <w:rPr>
          <w:rFonts w:ascii="Arial" w:cs="Arial" w:eastAsia="Arial" w:hAnsi="Arial"/>
          <w:b/>
          <w:bCs/>
          <w:color w:val="0D2137"/>
          <w:sz w:val="22"/>
          <w:szCs w:val="22"/>
        </w:rPr>
        <w:t xml:space="preserve">Early Blight</w:t>
      </w:r>
      <w:r>
        <w:rPr>
          <w:rFonts w:ascii="Arial" w:cs="Arial" w:eastAsia="Arial" w:hAnsi="Arial"/>
          <w:color w:val="111111"/>
          <w:sz w:val="22"/>
          <w:szCs w:val="22"/>
        </w:rPr>
        <w:t xml:space="preserve">: Most challenging class (F1=0.48, recall=0.41). Confusion matrix reveals 10 of 29 Early Blight samples misclassified as Leaf Mold, suggesting visual overlap at 64×64 resolution.</w:t>
      </w:r>
    </w:p>
    <w:p>
      <w:pPr>
        <w:pStyle w:val="ListParagraph"/>
        <w:numPr>
          <w:ilvl w:val="0"/>
          <w:numId w:val="2"/>
        </w:numPr>
        <w:spacing w:after="110"/>
      </w:pPr>
      <w:r>
        <w:rPr>
          <w:rFonts w:ascii="Arial" w:cs="Arial" w:eastAsia="Arial" w:hAnsi="Arial"/>
          <w:b/>
          <w:bCs/>
          <w:color w:val="0D2137"/>
          <w:sz w:val="22"/>
          <w:szCs w:val="22"/>
        </w:rPr>
        <w:t xml:space="preserve">Leaf Mold</w:t>
      </w:r>
      <w:r>
        <w:rPr>
          <w:rFonts w:ascii="Arial" w:cs="Arial" w:eastAsia="Arial" w:hAnsi="Arial"/>
          <w:color w:val="111111"/>
          <w:sz w:val="22"/>
          <w:szCs w:val="22"/>
        </w:rPr>
        <w:t xml:space="preserve">: High recall (0.87) but lower precision (0.62) — the model over-predicts this class, absorbing ambiguous samples from Early Blight.</w:t>
      </w:r>
    </w:p>
    <w:p>
      <w:r>
        <w:br w:type="page"/>
      </w:r>
    </w:p>
    <w:p>
      <w:pPr>
        <w:pStyle w:val="Heading2"/>
        <w:pBdr>
          <w:bottom w:val="single" w:color="42A5F5" w:sz="4" w:space="4"/>
        </w:pBdr>
        <w:spacing w:before="280" w:after="120"/>
      </w:pPr>
      <w:r>
        <w:rPr>
          <w:rFonts w:ascii="Arial" w:cs="Arial" w:eastAsia="Arial" w:hAnsi="Arial"/>
          <w:b/>
          <w:bCs/>
          <w:color w:val="1565C0"/>
          <w:sz w:val="27"/>
          <w:szCs w:val="27"/>
        </w:rPr>
        <w:t xml:space="preserve">5.2  K-Means Clustering Results</w:t>
      </w:r>
    </w:p>
    <w:p>
      <w:pPr>
        <w:spacing w:after="140" w:line="310"/>
        <w:jc w:val="both"/>
      </w:pPr>
      <w:r>
        <w:rPr>
          <w:rFonts w:ascii="Arial" w:cs="Arial" w:eastAsia="Arial" w:hAnsi="Arial"/>
          <w:color w:val="111111"/>
          <w:sz w:val="22"/>
          <w:szCs w:val="22"/>
        </w:rPr>
        <w:t xml:space="preserve">The K-Means model achieved a clustering accuracy of </w:t>
      </w:r>
      <w:r>
        <w:rPr>
          <w:rFonts w:ascii="Arial" w:cs="Arial" w:eastAsia="Arial" w:hAnsi="Arial"/>
          <w:b/>
          <w:bCs/>
          <w:color w:val="1E88E5"/>
          <w:sz w:val="22"/>
          <w:szCs w:val="22"/>
        </w:rPr>
        <w:t xml:space="preserve">38.01%</w:t>
      </w:r>
      <w:r>
        <w:rPr>
          <w:rFonts w:ascii="Arial" w:cs="Arial" w:eastAsia="Arial" w:hAnsi="Arial"/>
          <w:color w:val="111111"/>
          <w:sz w:val="22"/>
          <w:szCs w:val="22"/>
        </w:rPr>
        <w:t xml:space="preserve"> across all 763 images following cluster-label majority-vote mapping. This result is consistent with the known limitations of K-Means on raw pixel data, where disease class boundaries are non-linear and visually overlapping.</w:t>
      </w:r>
    </w:p>
    <w:p>
      <w:pPr>
        <w:pStyle w:val="Heading3"/>
        <w:spacing w:before="200" w:after="80"/>
      </w:pPr>
      <w:r>
        <w:rPr>
          <w:rFonts w:ascii="Arial" w:cs="Arial" w:eastAsia="Arial" w:hAnsi="Arial"/>
          <w:b/>
          <w:bCs/>
          <w:i w:val="false"/>
          <w:iCs w:val="false"/>
          <w:color w:val="1E88E5"/>
          <w:sz w:val="23"/>
          <w:szCs w:val="23"/>
        </w:rPr>
        <w:t xml:space="preserve">5.2.1  Cluster-to-Disease Mapping</w:t>
      </w:r>
    </w:p>
    <w:p>
      <w:pPr>
        <w:spacing w:after="140" w:line="310"/>
        <w:jc w:val="both"/>
      </w:pPr>
      <w:r>
        <w:rPr>
          <w:rFonts w:ascii="Arial" w:cs="Arial" w:eastAsia="Arial" w:hAnsi="Arial"/>
          <w:color w:val="111111"/>
          <w:sz w:val="22"/>
          <w:szCs w:val="22"/>
        </w:rPr>
        <w:t xml:space="preserve">Cluster-to-disease assignment via majority vote yielded: Cluster 0 → Tomato Leaf Mold | Cluster 1 → Tomato Healthy | Cluster 2 → Tomato Late Blight | Cluster 3 → Tomato Leaf Mold. Notably, two clusters (0 and 3) both mapped to Leaf Mold, with no cluster formed for Early Blight — a fundamental indicator of poor class separability in PCA feature space.</w:t>
      </w:r>
    </w:p>
    <w:p>
      <w:pPr>
        <w:spacing w:after="80"/>
      </w:pPr>
      <w:r>
        <w:rPr>
          <w:rFonts w:ascii="Arial" w:cs="Arial" w:eastAsia="Arial" w:hAnsi="Arial"/>
          <w:color w:val="111111"/>
          <w:sz w:val="22"/>
          <w:szCs w:val="22"/>
        </w:rPr>
        <w:t xml:space="preserve"/>
      </w:r>
    </w:p>
    <w:p>
      <w:pPr>
        <w:pStyle w:val="Heading3"/>
        <w:spacing w:before="200" w:after="80"/>
      </w:pPr>
      <w:r>
        <w:rPr>
          <w:rFonts w:ascii="Arial" w:cs="Arial" w:eastAsia="Arial" w:hAnsi="Arial"/>
          <w:b/>
          <w:bCs/>
          <w:i w:val="false"/>
          <w:iCs w:val="false"/>
          <w:color w:val="1E88E5"/>
          <w:sz w:val="23"/>
          <w:szCs w:val="23"/>
        </w:rPr>
        <w:t xml:space="preserve">5.2.2  Confusion Matrix</w:t>
      </w:r>
    </w:p>
    <w:p>
      <w:pPr>
        <w:spacing w:before="180" w:after="80"/>
        <w:jc w:val="center"/>
      </w:pPr>
      <w:r>
        <w:drawing>
          <wp:inline distT="0" distB="0" distL="0" distR="0">
            <wp:extent cx="3810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371850"/>
                    </a:xfrm>
                    <a:prstGeom prst="rect">
                      <a:avLst/>
                    </a:prstGeom>
                  </pic:spPr>
                </pic:pic>
              </a:graphicData>
            </a:graphic>
          </wp:inline>
        </w:drawing>
      </w:r>
    </w:p>
    <w:p>
      <w:pPr>
        <w:spacing w:before="80" w:after="240"/>
        <w:jc w:val="center"/>
      </w:pPr>
      <w:r>
        <w:rPr>
          <w:rFonts w:ascii="Arial" w:cs="Arial" w:eastAsia="Arial" w:hAnsi="Arial"/>
          <w:b/>
          <w:bCs/>
          <w:i/>
          <w:iCs/>
          <w:color w:val="607D8B"/>
          <w:sz w:val="19"/>
          <w:szCs w:val="19"/>
        </w:rPr>
        <w:t xml:space="preserve">Figure 7: K-Means — Confusion Matrix (Full Dataset, n=763, Accuracy=38.01%)</w:t>
      </w:r>
    </w:p>
    <w:p>
      <w:pPr>
        <w:spacing w:after="80"/>
      </w:pPr>
      <w:r>
        <w:rPr>
          <w:rFonts w:ascii="Arial" w:cs="Arial" w:eastAsia="Arial" w:hAnsi="Arial"/>
          <w:color w:val="111111"/>
          <w:sz w:val="22"/>
          <w:szCs w:val="22"/>
        </w:rPr>
        <w:t xml:space="preserve"/>
      </w:r>
    </w:p>
    <w:p>
      <w:pPr>
        <w:pStyle w:val="Heading3"/>
        <w:spacing w:before="200" w:after="80"/>
      </w:pPr>
      <w:r>
        <w:rPr>
          <w:rFonts w:ascii="Arial" w:cs="Arial" w:eastAsia="Arial" w:hAnsi="Arial"/>
          <w:b/>
          <w:bCs/>
          <w:i w:val="false"/>
          <w:iCs w:val="false"/>
          <w:color w:val="1E88E5"/>
          <w:sz w:val="23"/>
          <w:szCs w:val="23"/>
        </w:rPr>
        <w:t xml:space="preserve">5.2.3  Per-Class Metrics &amp; Classification Report</w:t>
      </w:r>
    </w:p>
    <w:p>
      <w:pPr>
        <w:spacing w:before="180" w:after="80"/>
        <w:jc w:val="center"/>
      </w:pPr>
      <w:r>
        <w:drawing>
          <wp:inline distT="0" distB="0" distL="0" distR="0">
            <wp:extent cx="5524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695575"/>
                    </a:xfrm>
                    <a:prstGeom prst="rect">
                      <a:avLst/>
                    </a:prstGeom>
                  </pic:spPr>
                </pic:pic>
              </a:graphicData>
            </a:graphic>
          </wp:inline>
        </w:drawing>
      </w:r>
    </w:p>
    <w:p>
      <w:pPr>
        <w:spacing w:before="80" w:after="240"/>
        <w:jc w:val="center"/>
      </w:pPr>
      <w:r>
        <w:rPr>
          <w:rFonts w:ascii="Arial" w:cs="Arial" w:eastAsia="Arial" w:hAnsi="Arial"/>
          <w:b/>
          <w:bCs/>
          <w:i/>
          <w:iCs/>
          <w:color w:val="607D8B"/>
          <w:sz w:val="19"/>
          <w:szCs w:val="19"/>
        </w:rPr>
        <w:t xml:space="preserve">Figure 8: K-Means — Per-Class Precision, Recall &amp; F1-Score (Post Majority-Vote Mapping)</w:t>
      </w:r>
    </w:p>
    <w:p>
      <w:pPr>
        <w:spacing w:after="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c>
          <w:tcPr>
            <w:tcW w:type="dxa" w:w="3000"/>
            <w:tcBorders>
              <w:top w:val="single" w:color="1565C0" w:sz="2"/>
              <w:left w:val="single" w:color="1565C0" w:sz="2"/>
              <w:bottom w:val="single" w:color="1565C0" w:sz="2"/>
              <w:right w:val="single" w:color="1565C0" w:sz="2"/>
            </w:tcBorders>
            <w:shd w:fill="1E88E5"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Class</w:t>
            </w:r>
          </w:p>
        </w:tc>
        <w:tc>
          <w:tcPr>
            <w:tcW w:type="dxa" w:w="1590"/>
            <w:tcBorders>
              <w:top w:val="single" w:color="1565C0" w:sz="2"/>
              <w:left w:val="single" w:color="1565C0" w:sz="2"/>
              <w:bottom w:val="single" w:color="1565C0" w:sz="2"/>
              <w:right w:val="single" w:color="1565C0" w:sz="2"/>
            </w:tcBorders>
            <w:shd w:fill="1E88E5"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Precision</w:t>
            </w:r>
          </w:p>
        </w:tc>
        <w:tc>
          <w:tcPr>
            <w:tcW w:type="dxa" w:w="1590"/>
            <w:tcBorders>
              <w:top w:val="single" w:color="1565C0" w:sz="2"/>
              <w:left w:val="single" w:color="1565C0" w:sz="2"/>
              <w:bottom w:val="single" w:color="1565C0" w:sz="2"/>
              <w:right w:val="single" w:color="1565C0" w:sz="2"/>
            </w:tcBorders>
            <w:shd w:fill="1E88E5"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Recall</w:t>
            </w:r>
          </w:p>
        </w:tc>
        <w:tc>
          <w:tcPr>
            <w:tcW w:type="dxa" w:w="1590"/>
            <w:tcBorders>
              <w:top w:val="single" w:color="1565C0" w:sz="2"/>
              <w:left w:val="single" w:color="1565C0" w:sz="2"/>
              <w:bottom w:val="single" w:color="1565C0" w:sz="2"/>
              <w:right w:val="single" w:color="1565C0" w:sz="2"/>
            </w:tcBorders>
            <w:shd w:fill="1E88E5"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F1-Score</w:t>
            </w:r>
          </w:p>
        </w:tc>
        <w:tc>
          <w:tcPr>
            <w:tcW w:type="dxa" w:w="1590"/>
            <w:tcBorders>
              <w:top w:val="single" w:color="1565C0" w:sz="2"/>
              <w:left w:val="single" w:color="1565C0" w:sz="2"/>
              <w:bottom w:val="single" w:color="1565C0" w:sz="2"/>
              <w:right w:val="single" w:color="1565C0" w:sz="2"/>
            </w:tcBorders>
            <w:shd w:fill="1E88E5"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Support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bCs/>
                <w:color w:val="0D2137"/>
                <w:sz w:val="20"/>
                <w:szCs w:val="20"/>
              </w:rPr>
              <w:t xml:space="preserve">Tomato Early Blight</w:t>
            </w:r>
          </w:p>
        </w:tc>
        <w:tc>
          <w:tcPr>
            <w:tcW w:type="dxa" w:w="159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0.00</w:t>
            </w:r>
          </w:p>
        </w:tc>
        <w:tc>
          <w:tcPr>
            <w:tcW w:type="dxa" w:w="159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0.00</w:t>
            </w:r>
          </w:p>
        </w:tc>
        <w:tc>
          <w:tcPr>
            <w:tcW w:type="dxa" w:w="159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0.00</w:t>
            </w:r>
          </w:p>
        </w:tc>
        <w:tc>
          <w:tcPr>
            <w:tcW w:type="dxa" w:w="159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144</w:t>
            </w:r>
          </w:p>
        </w:tc>
      </w:tr>
      <w:tr>
        <w:tc>
          <w:tcPr>
            <w:tcW w:type="dxa" w:w="300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bCs/>
                <w:color w:val="0D2137"/>
                <w:sz w:val="20"/>
                <w:szCs w:val="20"/>
              </w:rPr>
              <w:t xml:space="preserve">Tomato Late Blight</w:t>
            </w:r>
          </w:p>
        </w:tc>
        <w:tc>
          <w:tcPr>
            <w:tcW w:type="dxa" w:w="159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1.00</w:t>
            </w:r>
          </w:p>
        </w:tc>
        <w:tc>
          <w:tcPr>
            <w:tcW w:type="dxa" w:w="159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0.04</w:t>
            </w:r>
          </w:p>
        </w:tc>
        <w:tc>
          <w:tcPr>
            <w:tcW w:type="dxa" w:w="159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0.09</w:t>
            </w:r>
          </w:p>
        </w:tc>
        <w:tc>
          <w:tcPr>
            <w:tcW w:type="dxa" w:w="159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180</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bCs/>
                <w:color w:val="0D2137"/>
                <w:sz w:val="20"/>
                <w:szCs w:val="20"/>
              </w:rPr>
              <w:t xml:space="preserve">Tomato Leaf Mold</w:t>
            </w:r>
          </w:p>
        </w:tc>
        <w:tc>
          <w:tcPr>
            <w:tcW w:type="dxa" w:w="159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0.32</w:t>
            </w:r>
          </w:p>
        </w:tc>
        <w:tc>
          <w:tcPr>
            <w:tcW w:type="dxa" w:w="159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0.74</w:t>
            </w:r>
          </w:p>
        </w:tc>
        <w:tc>
          <w:tcPr>
            <w:tcW w:type="dxa" w:w="159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0.45</w:t>
            </w:r>
          </w:p>
        </w:tc>
        <w:tc>
          <w:tcPr>
            <w:tcW w:type="dxa" w:w="159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192</w:t>
            </w:r>
          </w:p>
        </w:tc>
      </w:tr>
      <w:tr>
        <w:tc>
          <w:tcPr>
            <w:tcW w:type="dxa" w:w="300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bCs/>
                <w:color w:val="0D2137"/>
                <w:sz w:val="20"/>
                <w:szCs w:val="20"/>
              </w:rPr>
              <w:t xml:space="preserve">Tomato Healthy</w:t>
            </w:r>
          </w:p>
        </w:tc>
        <w:tc>
          <w:tcPr>
            <w:tcW w:type="dxa" w:w="159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0.45</w:t>
            </w:r>
          </w:p>
        </w:tc>
        <w:tc>
          <w:tcPr>
            <w:tcW w:type="dxa" w:w="159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0.56</w:t>
            </w:r>
          </w:p>
        </w:tc>
        <w:tc>
          <w:tcPr>
            <w:tcW w:type="dxa" w:w="159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0.50</w:t>
            </w:r>
          </w:p>
        </w:tc>
        <w:tc>
          <w:tcPr>
            <w:tcW w:type="dxa" w:w="1590"/>
            <w:tcBorders>
              <w:top w:val="single" w:color="DDDDDD" w:sz="1"/>
              <w:left w:val="single" w:color="DDDDDD" w:sz="1"/>
              <w:bottom w:val="single" w:color="DDDDDD" w:sz="1"/>
              <w:right w:val="single" w:color="DDDDDD" w:sz="1"/>
            </w:tcBorders>
            <w:shd w:fill="ECEFF1" w:val="clear"/>
            <w:tcMar>
              <w:top w:type="dxa" w:w="100"/>
              <w:left w:type="dxa" w:w="150"/>
              <w:bottom w:type="dxa" w:w="100"/>
              <w:right w:type="dxa" w:w="150"/>
            </w:tcMar>
          </w:tcPr>
          <w:p>
            <w:pPr>
              <w:jc w:val="center"/>
            </w:pPr>
            <w:r>
              <w:rPr>
                <w:rFonts w:ascii="Arial" w:cs="Arial" w:eastAsia="Arial" w:hAnsi="Arial"/>
                <w:b w:val="false"/>
                <w:bCs w:val="false"/>
                <w:color w:val="111111"/>
                <w:sz w:val="20"/>
                <w:szCs w:val="20"/>
              </w:rPr>
              <w:t xml:space="preserve">247</w:t>
            </w:r>
          </w:p>
        </w:tc>
      </w:tr>
      <w:tr>
        <w:tc>
          <w:tcPr>
            <w:tcW w:type="dxa" w:w="30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0D2137"/>
                <w:sz w:val="20"/>
                <w:szCs w:val="20"/>
              </w:rPr>
              <w:t xml:space="preserve">Macro Average</w:t>
            </w:r>
          </w:p>
        </w:tc>
        <w:tc>
          <w:tcPr>
            <w:tcW w:type="dxa" w:w="159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111111"/>
                <w:sz w:val="20"/>
                <w:szCs w:val="20"/>
              </w:rPr>
              <w:t xml:space="preserve">0.44</w:t>
            </w:r>
          </w:p>
        </w:tc>
        <w:tc>
          <w:tcPr>
            <w:tcW w:type="dxa" w:w="159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111111"/>
                <w:sz w:val="20"/>
                <w:szCs w:val="20"/>
              </w:rPr>
              <w:t xml:space="preserve">0.34</w:t>
            </w:r>
          </w:p>
        </w:tc>
        <w:tc>
          <w:tcPr>
            <w:tcW w:type="dxa" w:w="159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111111"/>
                <w:sz w:val="20"/>
                <w:szCs w:val="20"/>
              </w:rPr>
              <w:t xml:space="preserve">0.26</w:t>
            </w:r>
          </w:p>
        </w:tc>
        <w:tc>
          <w:tcPr>
            <w:tcW w:type="dxa" w:w="159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111111"/>
                <w:sz w:val="20"/>
                <w:szCs w:val="20"/>
              </w:rPr>
              <w:t xml:space="preserve">763</w:t>
            </w:r>
          </w:p>
        </w:tc>
      </w:tr>
      <w:tr>
        <w:tc>
          <w:tcPr>
            <w:tcW w:type="dxa" w:w="30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0D2137"/>
                <w:sz w:val="20"/>
                <w:szCs w:val="20"/>
              </w:rPr>
              <w:t xml:space="preserve">Weighted Average</w:t>
            </w:r>
          </w:p>
        </w:tc>
        <w:tc>
          <w:tcPr>
            <w:tcW w:type="dxa" w:w="159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111111"/>
                <w:sz w:val="20"/>
                <w:szCs w:val="20"/>
              </w:rPr>
              <w:t xml:space="preserve">0.46</w:t>
            </w:r>
          </w:p>
        </w:tc>
        <w:tc>
          <w:tcPr>
            <w:tcW w:type="dxa" w:w="159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111111"/>
                <w:sz w:val="20"/>
                <w:szCs w:val="20"/>
              </w:rPr>
              <w:t xml:space="preserve">0.38</w:t>
            </w:r>
          </w:p>
        </w:tc>
        <w:tc>
          <w:tcPr>
            <w:tcW w:type="dxa" w:w="159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111111"/>
                <w:sz w:val="20"/>
                <w:szCs w:val="20"/>
              </w:rPr>
              <w:t xml:space="preserve">0.29</w:t>
            </w:r>
          </w:p>
        </w:tc>
        <w:tc>
          <w:tcPr>
            <w:tcW w:type="dxa" w:w="159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center"/>
            </w:pPr>
            <w:r>
              <w:rPr>
                <w:rFonts w:ascii="Arial" w:cs="Arial" w:eastAsia="Arial" w:hAnsi="Arial"/>
                <w:b/>
                <w:bCs/>
                <w:color w:val="111111"/>
                <w:sz w:val="20"/>
                <w:szCs w:val="20"/>
              </w:rPr>
              <w:t xml:space="preserve">763</w:t>
            </w:r>
          </w:p>
        </w:tc>
      </w:tr>
    </w:tbl>
    <w:p>
      <w:pPr>
        <w:spacing w:before="80" w:after="240"/>
        <w:jc w:val="center"/>
      </w:pPr>
      <w:r>
        <w:rPr>
          <w:rFonts w:ascii="Arial" w:cs="Arial" w:eastAsia="Arial" w:hAnsi="Arial"/>
          <w:b/>
          <w:bCs/>
          <w:i/>
          <w:iCs/>
          <w:color w:val="607D8B"/>
          <w:sz w:val="19"/>
          <w:szCs w:val="19"/>
        </w:rPr>
        <w:t xml:space="preserve">Table 5: K-Means — Complete Classification Report (Post Majority-Vote Label Mapping)</w:t>
      </w:r>
    </w:p>
    <w:p>
      <w:pPr>
        <w:spacing w:after="80"/>
      </w:pPr>
      <w:r>
        <w:rPr>
          <w:rFonts w:ascii="Arial" w:cs="Arial" w:eastAsia="Arial" w:hAnsi="Arial"/>
          <w:color w:val="111111"/>
          <w:sz w:val="22"/>
          <w:szCs w:val="22"/>
        </w:rPr>
        <w:t xml:space="preserve"/>
      </w:r>
    </w:p>
    <w:p>
      <w:pPr>
        <w:pStyle w:val="ListParagraph"/>
        <w:numPr>
          <w:ilvl w:val="0"/>
          <w:numId w:val="2"/>
        </w:numPr>
        <w:spacing w:after="110"/>
      </w:pPr>
      <w:r>
        <w:rPr>
          <w:rFonts w:ascii="Arial" w:cs="Arial" w:eastAsia="Arial" w:hAnsi="Arial"/>
          <w:b/>
          <w:bCs/>
          <w:color w:val="0D2137"/>
          <w:sz w:val="22"/>
          <w:szCs w:val="22"/>
        </w:rPr>
        <w:t xml:space="preserve">Early Blight</w:t>
      </w:r>
      <w:r>
        <w:rPr>
          <w:rFonts w:ascii="Arial" w:cs="Arial" w:eastAsia="Arial" w:hAnsi="Arial"/>
          <w:color w:val="111111"/>
          <w:sz w:val="22"/>
          <w:szCs w:val="22"/>
        </w:rPr>
        <w:t xml:space="preserve">: F1=0.00. No dedicated cluster formed. All Early Blight images absorbed into Leaf Mold and Healthy clusters — confirms visual indistinguishability at pixel level.</w:t>
      </w:r>
    </w:p>
    <w:p>
      <w:pPr>
        <w:pStyle w:val="ListParagraph"/>
        <w:numPr>
          <w:ilvl w:val="0"/>
          <w:numId w:val="2"/>
        </w:numPr>
        <w:spacing w:after="110"/>
      </w:pPr>
      <w:r>
        <w:rPr>
          <w:rFonts w:ascii="Arial" w:cs="Arial" w:eastAsia="Arial" w:hAnsi="Arial"/>
          <w:b/>
          <w:bCs/>
          <w:color w:val="0D2137"/>
          <w:sz w:val="22"/>
          <w:szCs w:val="22"/>
        </w:rPr>
        <w:t xml:space="preserve">Late Blight</w:t>
      </w:r>
      <w:r>
        <w:rPr>
          <w:rFonts w:ascii="Arial" w:cs="Arial" w:eastAsia="Arial" w:hAnsi="Arial"/>
          <w:color w:val="111111"/>
          <w:sz w:val="22"/>
          <w:szCs w:val="22"/>
        </w:rPr>
        <w:t xml:space="preserve">: Precision=1.00 but Recall=0.04. Cluster 2 was exceptionally pure (8 correct) but contained only 8 of 180 Late Blight images — a trivially small, well-separated sub-group.</w:t>
      </w:r>
    </w:p>
    <w:p>
      <w:pPr>
        <w:pStyle w:val="ListParagraph"/>
        <w:numPr>
          <w:ilvl w:val="0"/>
          <w:numId w:val="2"/>
        </w:numPr>
        <w:spacing w:after="110"/>
      </w:pPr>
      <w:r>
        <w:rPr>
          <w:rFonts w:ascii="Arial" w:cs="Arial" w:eastAsia="Arial" w:hAnsi="Arial"/>
          <w:b/>
          <w:bCs/>
          <w:color w:val="0D2137"/>
          <w:sz w:val="22"/>
          <w:szCs w:val="22"/>
        </w:rPr>
        <w:t xml:space="preserve">Leaf Mold</w:t>
      </w:r>
      <w:r>
        <w:rPr>
          <w:rFonts w:ascii="Arial" w:cs="Arial" w:eastAsia="Arial" w:hAnsi="Arial"/>
          <w:color w:val="111111"/>
          <w:sz w:val="22"/>
          <w:szCs w:val="22"/>
        </w:rPr>
        <w:t xml:space="preserve">: Best unsupervised performance (F1=0.45, Recall=0.74), suggesting this disease has relatively distinctive pixel-level colour characteristics.</w:t>
      </w:r>
    </w:p>
    <w:p>
      <w:pPr>
        <w:pStyle w:val="ListParagraph"/>
        <w:numPr>
          <w:ilvl w:val="0"/>
          <w:numId w:val="2"/>
        </w:numPr>
        <w:spacing w:after="110"/>
      </w:pPr>
      <w:r>
        <w:rPr>
          <w:rFonts w:ascii="Arial" w:cs="Arial" w:eastAsia="Arial" w:hAnsi="Arial"/>
          <w:b/>
          <w:bCs/>
          <w:color w:val="0D2137"/>
          <w:sz w:val="22"/>
          <w:szCs w:val="22"/>
        </w:rPr>
        <w:t xml:space="preserve">Healthy</w:t>
      </w:r>
      <w:r>
        <w:rPr>
          <w:rFonts w:ascii="Arial" w:cs="Arial" w:eastAsia="Arial" w:hAnsi="Arial"/>
          <w:color w:val="111111"/>
          <w:sz w:val="22"/>
          <w:szCs w:val="22"/>
        </w:rPr>
        <w:t xml:space="preserve">: F1=0.50, confirming that while Healthy leaves are the most visually distinct, K-Means still achieves only 56% recall on the largest class.</w:t>
      </w:r>
    </w:p>
    <w:p>
      <w:pPr>
        <w:pStyle w:val="Heading3"/>
        <w:spacing w:before="200" w:after="80"/>
      </w:pPr>
      <w:r>
        <w:rPr>
          <w:rFonts w:ascii="Arial" w:cs="Arial" w:eastAsia="Arial" w:hAnsi="Arial"/>
          <w:b/>
          <w:bCs/>
          <w:i w:val="false"/>
          <w:iCs w:val="false"/>
          <w:color w:val="1E88E5"/>
          <w:sz w:val="23"/>
          <w:szCs w:val="23"/>
        </w:rPr>
        <w:t xml:space="preserve">5.2.4  Cluster Visualisation (PCA 2D)</w:t>
      </w:r>
    </w:p>
    <w:p>
      <w:pPr>
        <w:spacing w:before="180" w:after="80"/>
        <w:jc w:val="center"/>
      </w:pPr>
      <w:r>
        <w:drawing>
          <wp:inline distT="0" distB="0" distL="0" distR="0">
            <wp:extent cx="4572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695575"/>
                    </a:xfrm>
                    <a:prstGeom prst="rect">
                      <a:avLst/>
                    </a:prstGeom>
                  </pic:spPr>
                </pic:pic>
              </a:graphicData>
            </a:graphic>
          </wp:inline>
        </w:drawing>
      </w:r>
    </w:p>
    <w:p>
      <w:pPr>
        <w:spacing w:before="80" w:after="240"/>
        <w:jc w:val="center"/>
      </w:pPr>
      <w:r>
        <w:rPr>
          <w:rFonts w:ascii="Arial" w:cs="Arial" w:eastAsia="Arial" w:hAnsi="Arial"/>
          <w:b/>
          <w:bCs/>
          <w:i/>
          <w:iCs/>
          <w:color w:val="607D8B"/>
          <w:sz w:val="19"/>
          <w:szCs w:val="19"/>
        </w:rPr>
        <w:t xml:space="preserve">Figure 9: K-Means Cluster Distribution in 2D PCA Space — significant inter-class overlap confirms non-spherical cluster boundaries</w:t>
      </w:r>
    </w:p>
    <w:p>
      <w:pPr>
        <w:spacing w:after="80"/>
      </w:pPr>
      <w:r>
        <w:rPr>
          <w:rFonts w:ascii="Arial" w:cs="Arial" w:eastAsia="Arial" w:hAnsi="Arial"/>
          <w:color w:val="111111"/>
          <w:sz w:val="22"/>
          <w:szCs w:val="22"/>
        </w:rPr>
        <w:t xml:space="preserve"/>
      </w:r>
    </w:p>
    <w:p>
      <w:pPr>
        <w:spacing w:after="140" w:line="310"/>
        <w:jc w:val="both"/>
      </w:pPr>
      <w:r>
        <w:rPr>
          <w:rFonts w:ascii="Arial" w:cs="Arial" w:eastAsia="Arial" w:hAnsi="Arial"/>
          <w:color w:val="111111"/>
          <w:sz w:val="22"/>
          <w:szCs w:val="22"/>
        </w:rPr>
        <w:t xml:space="preserve">The 2D PCA projection visually confirms that tomato disease features do not form cleanly separable clusters in pixel-intensity space. The extensive overlap — particularly between Early Blight and all other classes — directly explains the 38% accuracy and the failure to assign any cluster to Early Blight.</w:t>
      </w:r>
    </w:p>
    <w:p>
      <w:r>
        <w:br w:type="page"/>
      </w:r>
    </w:p>
    <w:p>
      <w:pPr>
        <w:pStyle w:val="Heading1"/>
        <w:pBdr>
          <w:bottom w:val="single" w:color="1565C0" w:sz="14" w:space="6"/>
        </w:pBdr>
        <w:spacing w:before="400" w:after="140"/>
      </w:pPr>
      <w:r>
        <w:rPr>
          <w:rFonts w:ascii="Arial" w:cs="Arial" w:eastAsia="Arial" w:hAnsi="Arial"/>
          <w:b/>
          <w:bCs/>
          <w:caps/>
          <w:color w:val="0D2137"/>
          <w:sz w:val="34"/>
          <w:szCs w:val="34"/>
        </w:rPr>
        <w:t xml:space="preserve">6. Comparative Analysis</w:t>
      </w:r>
    </w:p>
    <w:p>
      <w:pPr>
        <w:spacing w:before="180" w:after="80"/>
        <w:jc w:val="center"/>
      </w:pPr>
      <w:r>
        <w:drawing>
          <wp:inline distT="0" distB="0" distL="0" distR="0">
            <wp:extent cx="54292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29250" cy="3019425"/>
                    </a:xfrm>
                    <a:prstGeom prst="rect">
                      <a:avLst/>
                    </a:prstGeom>
                  </pic:spPr>
                </pic:pic>
              </a:graphicData>
            </a:graphic>
          </wp:inline>
        </w:drawing>
      </w:r>
    </w:p>
    <w:p>
      <w:pPr>
        <w:spacing w:before="80" w:after="240"/>
        <w:jc w:val="center"/>
      </w:pPr>
      <w:r>
        <w:rPr>
          <w:rFonts w:ascii="Arial" w:cs="Arial" w:eastAsia="Arial" w:hAnsi="Arial"/>
          <w:b/>
          <w:bCs/>
          <w:i/>
          <w:iCs/>
          <w:color w:val="607D8B"/>
          <w:sz w:val="19"/>
          <w:szCs w:val="19"/>
        </w:rPr>
        <w:t xml:space="preserve">Figure 10: Overall Accuracy — Random Forest vs K-Means vs 25% Random Baseline</w:t>
      </w:r>
    </w:p>
    <w:p>
      <w:pPr>
        <w:spacing w:after="80"/>
      </w:pPr>
      <w:r>
        <w:rPr>
          <w:rFonts w:ascii="Arial" w:cs="Arial" w:eastAsia="Arial" w:hAnsi="Arial"/>
          <w:color w:val="111111"/>
          <w:sz w:val="22"/>
          <w:szCs w:val="22"/>
        </w:rPr>
        <w:t xml:space="preserve"/>
      </w:r>
    </w:p>
    <w:p>
      <w:pPr>
        <w:spacing w:before="180" w:after="80"/>
        <w:jc w:val="center"/>
      </w:pPr>
      <w:r>
        <w:drawing>
          <wp:inline distT="0" distB="0" distL="0" distR="0">
            <wp:extent cx="5905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390775"/>
                    </a:xfrm>
                    <a:prstGeom prst="rect">
                      <a:avLst/>
                    </a:prstGeom>
                  </pic:spPr>
                </pic:pic>
              </a:graphicData>
            </a:graphic>
          </wp:inline>
        </w:drawing>
      </w:r>
    </w:p>
    <w:p>
      <w:pPr>
        <w:spacing w:before="80" w:after="240"/>
        <w:jc w:val="center"/>
      </w:pPr>
      <w:r>
        <w:rPr>
          <w:rFonts w:ascii="Arial" w:cs="Arial" w:eastAsia="Arial" w:hAnsi="Arial"/>
          <w:b/>
          <w:bCs/>
          <w:i/>
          <w:iCs/>
          <w:color w:val="607D8B"/>
          <w:sz w:val="19"/>
          <w:szCs w:val="19"/>
        </w:rPr>
        <w:t xml:space="preserve">Figure 11: Per-Class F1-Score Comparison (Left) and RF F1 Lollipop Chart (Right)</w:t>
      </w:r>
    </w:p>
    <w:p>
      <w:pPr>
        <w:spacing w:after="80"/>
      </w:pPr>
      <w:r>
        <w:rPr>
          <w:rFonts w:ascii="Arial" w:cs="Arial" w:eastAsia="Arial" w:hAnsi="Arial"/>
          <w:color w:val="111111"/>
          <w:sz w:val="22"/>
          <w:szCs w:val="22"/>
        </w:rPr>
        <w:t xml:space="preserve"/>
      </w:r>
    </w:p>
    <w:p>
      <w:pPr>
        <w:spacing w:before="180" w:after="80"/>
        <w:jc w:val="center"/>
      </w:pPr>
      <w:r>
        <w:drawing>
          <wp:inline distT="0" distB="0" distL="0" distR="0">
            <wp:extent cx="352425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524250" cy="2886075"/>
                    </a:xfrm>
                    <a:prstGeom prst="rect">
                      <a:avLst/>
                    </a:prstGeom>
                  </pic:spPr>
                </pic:pic>
              </a:graphicData>
            </a:graphic>
          </wp:inline>
        </w:drawing>
      </w:r>
    </w:p>
    <w:p>
      <w:pPr>
        <w:spacing w:before="80" w:after="240"/>
        <w:jc w:val="center"/>
      </w:pPr>
      <w:r>
        <w:rPr>
          <w:rFonts w:ascii="Arial" w:cs="Arial" w:eastAsia="Arial" w:hAnsi="Arial"/>
          <w:b/>
          <w:bCs/>
          <w:i/>
          <w:iCs/>
          <w:color w:val="607D8B"/>
          <w:sz w:val="19"/>
          <w:szCs w:val="19"/>
        </w:rPr>
        <w:t xml:space="preserve">Figure 12: Multi-Dimensional Radar Chart — RF dominates all predictive metrics; K-Means leads only on speed and scalability</w:t>
      </w:r>
    </w:p>
    <w:p>
      <w:pPr>
        <w:spacing w:after="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1565C0" w:sz="2"/>
              <w:left w:val="single" w:color="1565C0" w:sz="2"/>
              <w:bottom w:val="single" w:color="1565C0" w:sz="2"/>
              <w:right w:val="single" w:color="1565C0" w:sz="2"/>
            </w:tcBorders>
            <w:shd w:fill="0D213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Criterion</w:t>
            </w:r>
          </w:p>
        </w:tc>
        <w:tc>
          <w:tcPr>
            <w:tcW w:type="dxa" w:w="3080"/>
            <w:tcBorders>
              <w:top w:val="single" w:color="1565C0" w:sz="2"/>
              <w:left w:val="single" w:color="1565C0" w:sz="2"/>
              <w:bottom w:val="single" w:color="1565C0" w:sz="2"/>
              <w:right w:val="single" w:color="1565C0" w:sz="2"/>
            </w:tcBorders>
            <w:shd w:fill="0D213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Random Forest</w:t>
            </w:r>
          </w:p>
        </w:tc>
        <w:tc>
          <w:tcPr>
            <w:tcW w:type="dxa" w:w="3080"/>
            <w:tcBorders>
              <w:top w:val="single" w:color="1565C0" w:sz="2"/>
              <w:left w:val="single" w:color="1565C0" w:sz="2"/>
              <w:bottom w:val="single" w:color="1565C0" w:sz="2"/>
              <w:right w:val="single" w:color="1565C0" w:sz="2"/>
            </w:tcBorders>
            <w:shd w:fill="0D213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K-Means + PCA</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Learning Paradigm</w:t>
            </w:r>
          </w:p>
        </w:tc>
        <w:tc>
          <w:tcPr>
            <w:tcW w:type="dxa" w:w="30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Supervised</w:t>
            </w:r>
          </w:p>
        </w:tc>
        <w:tc>
          <w:tcPr>
            <w:tcW w:type="dxa" w:w="30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Unsupervised</w:t>
            </w:r>
          </w:p>
        </w:tc>
      </w:tr>
      <w:tr>
        <w:tc>
          <w:tcPr>
            <w:tcW w:type="dxa" w:w="32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Overall Accuracy</w:t>
            </w:r>
          </w:p>
        </w:tc>
        <w:tc>
          <w:tcPr>
            <w:tcW w:type="dxa" w:w="3080"/>
            <w:tcBorders>
              <w:top w:val="single" w:color="DDDDDD" w:sz="1"/>
              <w:left w:val="single" w:color="DDDDDD" w:sz="1"/>
              <w:bottom w:val="single" w:color="DDDDDD" w:sz="1"/>
              <w:right w:val="single" w:color="DDDDDD" w:sz="1"/>
            </w:tcBorders>
            <w:shd w:fill="DBEAFE"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70.59%</w:t>
            </w:r>
          </w:p>
        </w:tc>
        <w:tc>
          <w:tcPr>
            <w:tcW w:type="dxa" w:w="308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38.01%</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Weighted F1-Score</w:t>
            </w:r>
          </w:p>
        </w:tc>
        <w:tc>
          <w:tcPr>
            <w:tcW w:type="dxa" w:w="3080"/>
            <w:tcBorders>
              <w:top w:val="single" w:color="DDDDDD" w:sz="1"/>
              <w:left w:val="single" w:color="DDDDDD" w:sz="1"/>
              <w:bottom w:val="single" w:color="DDDDDD" w:sz="1"/>
              <w:right w:val="single" w:color="DDDDDD" w:sz="1"/>
            </w:tcBorders>
            <w:shd w:fill="DBEAFE"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0.69</w:t>
            </w:r>
          </w:p>
        </w:tc>
        <w:tc>
          <w:tcPr>
            <w:tcW w:type="dxa" w:w="30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0.29</w:t>
            </w:r>
          </w:p>
        </w:tc>
      </w:tr>
      <w:tr>
        <w:tc>
          <w:tcPr>
            <w:tcW w:type="dxa" w:w="32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Macro Avg F1</w:t>
            </w:r>
          </w:p>
        </w:tc>
        <w:tc>
          <w:tcPr>
            <w:tcW w:type="dxa" w:w="308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0.67</w:t>
            </w:r>
          </w:p>
        </w:tc>
        <w:tc>
          <w:tcPr>
            <w:tcW w:type="dxa" w:w="308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0.26</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Best Per-Class F1</w:t>
            </w:r>
          </w:p>
        </w:tc>
        <w:tc>
          <w:tcPr>
            <w:tcW w:type="dxa" w:w="30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Healthy: 0.84</w:t>
            </w:r>
          </w:p>
        </w:tc>
        <w:tc>
          <w:tcPr>
            <w:tcW w:type="dxa" w:w="30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Healthy: 0.50</w:t>
            </w:r>
          </w:p>
        </w:tc>
      </w:tr>
      <w:tr>
        <w:tc>
          <w:tcPr>
            <w:tcW w:type="dxa" w:w="32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Weakest Per-Class F1</w:t>
            </w:r>
          </w:p>
        </w:tc>
        <w:tc>
          <w:tcPr>
            <w:tcW w:type="dxa" w:w="308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Early Blight: 0.48</w:t>
            </w:r>
          </w:p>
        </w:tc>
        <w:tc>
          <w:tcPr>
            <w:tcW w:type="dxa" w:w="308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Early Blight: 0.00</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Requires Labelled Data?</w:t>
            </w:r>
          </w:p>
        </w:tc>
        <w:tc>
          <w:tcPr>
            <w:tcW w:type="dxa" w:w="30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Yes</w:t>
            </w:r>
          </w:p>
        </w:tc>
        <w:tc>
          <w:tcPr>
            <w:tcW w:type="dxa" w:w="30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No</w:t>
            </w:r>
          </w:p>
        </w:tc>
      </w:tr>
      <w:tr>
        <w:tc>
          <w:tcPr>
            <w:tcW w:type="dxa" w:w="32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Hyperparameter Tuning</w:t>
            </w:r>
          </w:p>
        </w:tc>
        <w:tc>
          <w:tcPr>
            <w:tcW w:type="dxa" w:w="308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GridSearchCV (5-fold CV)</w:t>
            </w:r>
          </w:p>
        </w:tc>
        <w:tc>
          <w:tcPr>
            <w:tcW w:type="dxa" w:w="308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k, n_init, PCA components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Feature Dimensionality</w:t>
            </w:r>
          </w:p>
        </w:tc>
        <w:tc>
          <w:tcPr>
            <w:tcW w:type="dxa" w:w="30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12,288 (64×64×3)</w:t>
            </w:r>
          </w:p>
        </w:tc>
        <w:tc>
          <w:tcPr>
            <w:tcW w:type="dxa" w:w="30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120 PCA components</w:t>
            </w:r>
          </w:p>
        </w:tc>
      </w:tr>
      <w:tr>
        <w:tc>
          <w:tcPr>
            <w:tcW w:type="dxa" w:w="32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PCA Variance Retained</w:t>
            </w:r>
          </w:p>
        </w:tc>
        <w:tc>
          <w:tcPr>
            <w:tcW w:type="dxa" w:w="308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w:t>
            </w:r>
          </w:p>
        </w:tc>
        <w:tc>
          <w:tcPr>
            <w:tcW w:type="dxa" w:w="308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81.37%</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Training Time (relative)</w:t>
            </w:r>
          </w:p>
        </w:tc>
        <w:tc>
          <w:tcPr>
            <w:tcW w:type="dxa" w:w="30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Moderate</w:t>
            </w:r>
          </w:p>
        </w:tc>
        <w:tc>
          <w:tcPr>
            <w:tcW w:type="dxa" w:w="30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Fast</w:t>
            </w:r>
          </w:p>
        </w:tc>
      </w:tr>
      <w:tr>
        <w:tc>
          <w:tcPr>
            <w:tcW w:type="dxa" w:w="32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Scalability</w:t>
            </w:r>
          </w:p>
        </w:tc>
        <w:tc>
          <w:tcPr>
            <w:tcW w:type="dxa" w:w="308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Moderate</w:t>
            </w:r>
          </w:p>
        </w:tc>
        <w:tc>
          <w:tcPr>
            <w:tcW w:type="dxa" w:w="308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High</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Interpretability</w:t>
            </w:r>
          </w:p>
        </w:tc>
        <w:tc>
          <w:tcPr>
            <w:tcW w:type="dxa" w:w="30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Moderate (feature importance)</w:t>
            </w:r>
          </w:p>
        </w:tc>
        <w:tc>
          <w:tcPr>
            <w:tcW w:type="dxa" w:w="30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Low</w:t>
            </w:r>
          </w:p>
        </w:tc>
      </w:tr>
      <w:tr>
        <w:tc>
          <w:tcPr>
            <w:tcW w:type="dxa" w:w="32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Best Use Case</w:t>
            </w:r>
          </w:p>
        </w:tc>
        <w:tc>
          <w:tcPr>
            <w:tcW w:type="dxa" w:w="308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Labelled production system</w:t>
            </w:r>
          </w:p>
        </w:tc>
        <w:tc>
          <w:tcPr>
            <w:tcW w:type="dxa" w:w="308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Exploratory / label-scarce</w:t>
            </w:r>
          </w:p>
        </w:tc>
      </w:tr>
    </w:tbl>
    <w:p>
      <w:pPr>
        <w:spacing w:before="80" w:after="240"/>
        <w:jc w:val="center"/>
      </w:pPr>
      <w:r>
        <w:rPr>
          <w:rFonts w:ascii="Arial" w:cs="Arial" w:eastAsia="Arial" w:hAnsi="Arial"/>
          <w:b/>
          <w:bCs/>
          <w:i/>
          <w:iCs/>
          <w:color w:val="607D8B"/>
          <w:sz w:val="19"/>
          <w:szCs w:val="19"/>
        </w:rPr>
        <w:t xml:space="preserve">Table 6: Comprehensive head-to-head comparison across 15 criteria</w:t>
      </w:r>
    </w:p>
    <w:p>
      <w:r>
        <w:br w:type="page"/>
      </w:r>
    </w:p>
    <w:p>
      <w:pPr>
        <w:pStyle w:val="Heading1"/>
        <w:pBdr>
          <w:bottom w:val="single" w:color="1565C0" w:sz="14" w:space="6"/>
        </w:pBdr>
        <w:spacing w:before="400" w:after="140"/>
      </w:pPr>
      <w:r>
        <w:rPr>
          <w:rFonts w:ascii="Arial" w:cs="Arial" w:eastAsia="Arial" w:hAnsi="Arial"/>
          <w:b/>
          <w:bCs/>
          <w:caps/>
          <w:color w:val="0D2137"/>
          <w:sz w:val="34"/>
          <w:szCs w:val="34"/>
        </w:rPr>
        <w:t xml:space="preserve">7. Discussion</w:t>
      </w:r>
    </w:p>
    <w:p>
      <w:pPr>
        <w:pStyle w:val="Heading2"/>
        <w:pBdr>
          <w:bottom w:val="single" w:color="42A5F5" w:sz="4" w:space="4"/>
        </w:pBdr>
        <w:spacing w:before="280" w:after="120"/>
      </w:pPr>
      <w:r>
        <w:rPr>
          <w:rFonts w:ascii="Arial" w:cs="Arial" w:eastAsia="Arial" w:hAnsi="Arial"/>
          <w:b/>
          <w:bCs/>
          <w:color w:val="1565C0"/>
          <w:sz w:val="27"/>
          <w:szCs w:val="27"/>
        </w:rPr>
        <w:t xml:space="preserve">7.1  Why Random Forest Outperforms K-Means</w:t>
      </w:r>
    </w:p>
    <w:p>
      <w:pPr>
        <w:spacing w:after="140" w:line="310"/>
        <w:jc w:val="both"/>
      </w:pPr>
      <w:r>
        <w:rPr>
          <w:rFonts w:ascii="Arial" w:cs="Arial" w:eastAsia="Arial" w:hAnsi="Arial"/>
          <w:color w:val="111111"/>
          <w:sz w:val="22"/>
          <w:szCs w:val="22"/>
        </w:rPr>
        <w:t xml:space="preserve">The 32.6 percentage-point accuracy gap is not surprising given the fundamental differences in learning paradigms. Three primary factors explain the performance disparity:</w:t>
      </w:r>
    </w:p>
    <w:p>
      <w:pPr>
        <w:pStyle w:val="ListParagraph"/>
        <w:numPr>
          <w:ilvl w:val="0"/>
          <w:numId w:val="2"/>
        </w:numPr>
        <w:spacing w:after="110"/>
      </w:pPr>
      <w:r>
        <w:rPr>
          <w:rFonts w:ascii="Arial" w:cs="Arial" w:eastAsia="Arial" w:hAnsi="Arial"/>
          <w:b/>
          <w:bCs/>
          <w:color w:val="0D2137"/>
          <w:sz w:val="22"/>
          <w:szCs w:val="22"/>
        </w:rPr>
        <w:t xml:space="preserve">Label Supervision: </w:t>
      </w:r>
      <w:r>
        <w:rPr>
          <w:rFonts w:ascii="Arial" w:cs="Arial" w:eastAsia="Arial" w:hAnsi="Arial"/>
          <w:color w:val="111111"/>
          <w:sz w:val="22"/>
          <w:szCs w:val="22"/>
        </w:rPr>
        <w:t xml:space="preserve">Random Forest directly optimises decision boundaries using class labels during training. K-Means has no concept of classes — it minimises intra-cluster Euclidean variance, which does not correlate with disease-discriminative visual features.</w:t>
      </w:r>
    </w:p>
    <w:p>
      <w:pPr>
        <w:pStyle w:val="ListParagraph"/>
        <w:numPr>
          <w:ilvl w:val="0"/>
          <w:numId w:val="2"/>
        </w:numPr>
        <w:spacing w:after="110"/>
      </w:pPr>
      <w:r>
        <w:rPr>
          <w:rFonts w:ascii="Arial" w:cs="Arial" w:eastAsia="Arial" w:hAnsi="Arial"/>
          <w:b/>
          <w:bCs/>
          <w:color w:val="0D2137"/>
          <w:sz w:val="22"/>
          <w:szCs w:val="22"/>
        </w:rPr>
        <w:t xml:space="preserve">Feature Relevance: </w:t>
      </w:r>
      <w:r>
        <w:rPr>
          <w:rFonts w:ascii="Arial" w:cs="Arial" w:eastAsia="Arial" w:hAnsi="Arial"/>
          <w:color w:val="111111"/>
          <w:sz w:val="22"/>
          <w:szCs w:val="22"/>
        </w:rPr>
        <w:t xml:space="preserve">Random Forest implicitly selects the most discriminative pixel regions through its Gini impurity split criteria. K-Means treats all 120 PCA dimensions equally, diluting discriminative signal with background noise and lighting variation.</w:t>
      </w:r>
    </w:p>
    <w:p>
      <w:pPr>
        <w:pStyle w:val="ListParagraph"/>
        <w:numPr>
          <w:ilvl w:val="0"/>
          <w:numId w:val="2"/>
        </w:numPr>
        <w:spacing w:after="110"/>
      </w:pPr>
      <w:r>
        <w:rPr>
          <w:rFonts w:ascii="Arial" w:cs="Arial" w:eastAsia="Arial" w:hAnsi="Arial"/>
          <w:b/>
          <w:bCs/>
          <w:color w:val="0D2137"/>
          <w:sz w:val="22"/>
          <w:szCs w:val="22"/>
        </w:rPr>
        <w:t xml:space="preserve">Cluster-Class Mismatch: </w:t>
      </w:r>
      <w:r>
        <w:rPr>
          <w:rFonts w:ascii="Arial" w:cs="Arial" w:eastAsia="Arial" w:hAnsi="Arial"/>
          <w:color w:val="111111"/>
          <w:sz w:val="22"/>
          <w:szCs w:val="22"/>
        </w:rPr>
        <w:t xml:space="preserve">Tomato diseases share similar colour and texture distributions in RGB space. K-Means groups visually similar images regardless of disease type, causing multiple classes to be absorbed into a single dominant cluster.</w:t>
      </w:r>
    </w:p>
    <w:p>
      <w:pPr>
        <w:pStyle w:val="Heading2"/>
        <w:pBdr>
          <w:bottom w:val="single" w:color="42A5F5" w:sz="4" w:space="4"/>
        </w:pBdr>
        <w:spacing w:before="280" w:after="120"/>
      </w:pPr>
      <w:r>
        <w:rPr>
          <w:rFonts w:ascii="Arial" w:cs="Arial" w:eastAsia="Arial" w:hAnsi="Arial"/>
          <w:b/>
          <w:bCs/>
          <w:color w:val="1565C0"/>
          <w:sz w:val="27"/>
          <w:szCs w:val="27"/>
        </w:rPr>
        <w:t xml:space="preserve">7.2  Analysing K-Means Failure Modes</w:t>
      </w:r>
    </w:p>
    <w:p>
      <w:pPr>
        <w:spacing w:after="140" w:line="310"/>
        <w:jc w:val="both"/>
      </w:pPr>
      <w:r>
        <w:rPr>
          <w:rFonts w:ascii="Arial" w:cs="Arial" w:eastAsia="Arial" w:hAnsi="Arial"/>
          <w:color w:val="111111"/>
          <w:sz w:val="22"/>
          <w:szCs w:val="22"/>
        </w:rPr>
        <w:t xml:space="preserve">The classification report reveals that K-Means produced only two effective clusters — Leaf Mold (absorbing Early Blight) and Healthy — with Late Blight partially isolated in a tiny cluster. This is a classic K-Means failure pattern:</w:t>
      </w:r>
    </w:p>
    <w:p>
      <w:pPr>
        <w:pStyle w:val="ListParagraph"/>
        <w:numPr>
          <w:ilvl w:val="0"/>
          <w:numId w:val="2"/>
        </w:numPr>
        <w:spacing w:after="110"/>
      </w:pPr>
      <w:r>
        <w:rPr>
          <w:rFonts w:ascii="Arial" w:cs="Arial" w:eastAsia="Arial" w:hAnsi="Arial"/>
          <w:b/>
          <w:bCs/>
          <w:color w:val="0D2137"/>
          <w:sz w:val="22"/>
          <w:szCs w:val="22"/>
        </w:rPr>
        <w:t xml:space="preserve">Non-spherical disease boundaries: </w:t>
      </w:r>
      <w:r>
        <w:rPr>
          <w:rFonts w:ascii="Arial" w:cs="Arial" w:eastAsia="Arial" w:hAnsi="Arial"/>
          <w:color w:val="111111"/>
          <w:sz w:val="22"/>
          <w:szCs w:val="22"/>
        </w:rPr>
        <w:t xml:space="preserve">Disease textures create irregular, elongated clusters in PCA space that K-Means circular Voronoi partitioning cannot correctly segment.</w:t>
      </w:r>
    </w:p>
    <w:p>
      <w:pPr>
        <w:pStyle w:val="ListParagraph"/>
        <w:numPr>
          <w:ilvl w:val="0"/>
          <w:numId w:val="2"/>
        </w:numPr>
        <w:spacing w:after="110"/>
      </w:pPr>
      <w:r>
        <w:rPr>
          <w:rFonts w:ascii="Arial" w:cs="Arial" w:eastAsia="Arial" w:hAnsi="Arial"/>
          <w:b/>
          <w:bCs/>
          <w:color w:val="0D2137"/>
          <w:sz w:val="22"/>
          <w:szCs w:val="22"/>
        </w:rPr>
        <w:t xml:space="preserve">Uniform PCA weighting: </w:t>
      </w:r>
      <w:r>
        <w:rPr>
          <w:rFonts w:ascii="Arial" w:cs="Arial" w:eastAsia="Arial" w:hAnsi="Arial"/>
          <w:color w:val="111111"/>
          <w:sz w:val="22"/>
          <w:szCs w:val="22"/>
        </w:rPr>
        <w:t xml:space="preserve">The top 120 principal components capture general image variance (lighting, background colour, leaf shape) rather than disease-specific lesion features.</w:t>
      </w:r>
    </w:p>
    <w:p>
      <w:pPr>
        <w:pStyle w:val="ListParagraph"/>
        <w:numPr>
          <w:ilvl w:val="0"/>
          <w:numId w:val="2"/>
        </w:numPr>
        <w:spacing w:after="110"/>
      </w:pPr>
      <w:r>
        <w:rPr>
          <w:rFonts w:ascii="Arial" w:cs="Arial" w:eastAsia="Arial" w:hAnsi="Arial"/>
          <w:b/>
          <w:bCs/>
          <w:color w:val="0D2137"/>
          <w:sz w:val="22"/>
          <w:szCs w:val="22"/>
        </w:rPr>
        <w:t xml:space="preserve">Initialisation sensitivity: </w:t>
      </w:r>
      <w:r>
        <w:rPr>
          <w:rFonts w:ascii="Arial" w:cs="Arial" w:eastAsia="Arial" w:hAnsi="Arial"/>
          <w:color w:val="111111"/>
          <w:sz w:val="22"/>
          <w:szCs w:val="22"/>
        </w:rPr>
        <w:t xml:space="preserve">Despite n_init=10, all initialisations converge to suboptimal solutions due to the fundamental inseparability of disease classes in raw pixel feature space.</w:t>
      </w:r>
    </w:p>
    <w:p>
      <w:pPr>
        <w:pStyle w:val="Heading2"/>
        <w:pBdr>
          <w:bottom w:val="single" w:color="42A5F5" w:sz="4" w:space="4"/>
        </w:pBdr>
        <w:spacing w:before="280" w:after="120"/>
      </w:pPr>
      <w:r>
        <w:rPr>
          <w:rFonts w:ascii="Arial" w:cs="Arial" w:eastAsia="Arial" w:hAnsi="Arial"/>
          <w:b/>
          <w:bCs/>
          <w:color w:val="1565C0"/>
          <w:sz w:val="27"/>
          <w:szCs w:val="27"/>
        </w:rPr>
        <w:t xml:space="preserve">7.3  Where K-Means Retains Strategic Value</w:t>
      </w:r>
    </w:p>
    <w:p>
      <w:pPr>
        <w:pStyle w:val="ListParagraph"/>
        <w:numPr>
          <w:ilvl w:val="0"/>
          <w:numId w:val="2"/>
        </w:numPr>
        <w:spacing w:after="110"/>
      </w:pPr>
      <w:r>
        <w:rPr>
          <w:rFonts w:ascii="Arial" w:cs="Arial" w:eastAsia="Arial" w:hAnsi="Arial"/>
          <w:b/>
          <w:bCs/>
          <w:color w:val="0D2137"/>
          <w:sz w:val="22"/>
          <w:szCs w:val="22"/>
        </w:rPr>
        <w:t xml:space="preserve">Zero annotation cost: </w:t>
      </w:r>
      <w:r>
        <w:rPr>
          <w:rFonts w:ascii="Arial" w:cs="Arial" w:eastAsia="Arial" w:hAnsi="Arial"/>
          <w:color w:val="111111"/>
          <w:sz w:val="22"/>
          <w:szCs w:val="22"/>
        </w:rPr>
        <w:t xml:space="preserve">Can process entirely unlabelled field datasets — critical when expert annotation is unavailable or cost-prohibitive in emerging agricultural markets.</w:t>
      </w:r>
    </w:p>
    <w:p>
      <w:pPr>
        <w:pStyle w:val="ListParagraph"/>
        <w:numPr>
          <w:ilvl w:val="0"/>
          <w:numId w:val="2"/>
        </w:numPr>
        <w:spacing w:after="110"/>
      </w:pPr>
      <w:r>
        <w:rPr>
          <w:rFonts w:ascii="Arial" w:cs="Arial" w:eastAsia="Arial" w:hAnsi="Arial"/>
          <w:b/>
          <w:bCs/>
          <w:color w:val="0D2137"/>
          <w:sz w:val="22"/>
          <w:szCs w:val="22"/>
        </w:rPr>
        <w:t xml:space="preserve">Exploratory data analysis: </w:t>
      </w:r>
      <w:r>
        <w:rPr>
          <w:rFonts w:ascii="Arial" w:cs="Arial" w:eastAsia="Arial" w:hAnsi="Arial"/>
          <w:color w:val="111111"/>
          <w:sz w:val="22"/>
          <w:szCs w:val="22"/>
        </w:rPr>
        <w:t xml:space="preserve">Provides an unsupervised view of dataset structure and natural image groupings before committing resources to supervised labelling.</w:t>
      </w:r>
    </w:p>
    <w:p>
      <w:pPr>
        <w:pStyle w:val="ListParagraph"/>
        <w:numPr>
          <w:ilvl w:val="0"/>
          <w:numId w:val="2"/>
        </w:numPr>
        <w:spacing w:after="110"/>
      </w:pPr>
      <w:r>
        <w:rPr>
          <w:rFonts w:ascii="Arial" w:cs="Arial" w:eastAsia="Arial" w:hAnsi="Arial"/>
          <w:b/>
          <w:bCs/>
          <w:color w:val="0D2137"/>
          <w:sz w:val="22"/>
          <w:szCs w:val="22"/>
        </w:rPr>
        <w:t xml:space="preserve">Anomaly flagging: </w:t>
      </w:r>
      <w:r>
        <w:rPr>
          <w:rFonts w:ascii="Arial" w:cs="Arial" w:eastAsia="Arial" w:hAnsi="Arial"/>
          <w:color w:val="111111"/>
          <w:sz w:val="22"/>
          <w:szCs w:val="22"/>
        </w:rPr>
        <w:t xml:space="preserve">Unusual cluster assignments can signal novel disease patterns or data quality issues not accounted for in the original class taxonomy.</w:t>
      </w:r>
    </w:p>
    <w:p>
      <w:pPr>
        <w:pStyle w:val="ListParagraph"/>
        <w:numPr>
          <w:ilvl w:val="0"/>
          <w:numId w:val="2"/>
        </w:numPr>
        <w:spacing w:after="110"/>
      </w:pPr>
      <w:r>
        <w:rPr>
          <w:rFonts w:ascii="Arial" w:cs="Arial" w:eastAsia="Arial" w:hAnsi="Arial"/>
          <w:b/>
          <w:bCs/>
          <w:color w:val="0D2137"/>
          <w:sz w:val="22"/>
          <w:szCs w:val="22"/>
        </w:rPr>
        <w:t xml:space="preserve">Semi-supervised bootstrapping: </w:t>
      </w:r>
      <w:r>
        <w:rPr>
          <w:rFonts w:ascii="Arial" w:cs="Arial" w:eastAsia="Arial" w:hAnsi="Arial"/>
          <w:color w:val="111111"/>
          <w:sz w:val="22"/>
          <w:szCs w:val="22"/>
        </w:rPr>
        <w:t xml:space="preserve">K-Means pseudo-labels can seed semi-supervised training pipelines, reducing the number of manually labelled examples required for competitive accuracy.</w:t>
      </w:r>
    </w:p>
    <w:p>
      <w:r>
        <w:br w:type="page"/>
      </w:r>
    </w:p>
    <w:p>
      <w:pPr>
        <w:pStyle w:val="Heading1"/>
        <w:pBdr>
          <w:bottom w:val="single" w:color="1565C0" w:sz="14" w:space="6"/>
        </w:pBdr>
        <w:spacing w:before="400" w:after="140"/>
      </w:pPr>
      <w:r>
        <w:rPr>
          <w:rFonts w:ascii="Arial" w:cs="Arial" w:eastAsia="Arial" w:hAnsi="Arial"/>
          <w:b/>
          <w:bCs/>
          <w:caps/>
          <w:color w:val="0D2137"/>
          <w:sz w:val="34"/>
          <w:szCs w:val="34"/>
        </w:rPr>
        <w:t xml:space="preserve">8. End-to-End Prediction</w:t>
      </w:r>
    </w:p>
    <w:p>
      <w:pPr>
        <w:spacing w:after="140" w:line="310"/>
        <w:jc w:val="both"/>
      </w:pPr>
      <w:r>
        <w:rPr>
          <w:rFonts w:ascii="Arial" w:cs="Arial" w:eastAsia="Arial" w:hAnsi="Arial"/>
          <w:color w:val="111111"/>
          <w:sz w:val="22"/>
          <w:szCs w:val="22"/>
        </w:rPr>
        <w:t xml:space="preserve">Both models were validated with a live prediction pipeline that accepts a raw image file path, applies the full preprocessing and PCA transformation used during training, and returns a human-readable disease category string. The pipeline demonstrates production-readiness of the inference flow.</w:t>
      </w:r>
    </w:p>
    <w:p>
      <w:pPr>
        <w:spacing w:after="80"/>
      </w:pPr>
      <w:r>
        <w:rPr>
          <w:rFonts w:ascii="Arial" w:cs="Arial" w:eastAsia="Arial" w:hAnsi="Arial"/>
          <w:color w:val="111111"/>
          <w:sz w:val="22"/>
          <w:szCs w:val="22"/>
        </w:rPr>
        <w:t xml:space="preserve"/>
      </w:r>
    </w:p>
    <w:p>
      <w:pPr>
        <w:spacing w:before="180" w:after="80"/>
        <w:jc w:val="center"/>
      </w:pPr>
      <w:r>
        <w:drawing>
          <wp:inline distT="0" distB="0" distL="0" distR="0">
            <wp:extent cx="29527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52750" cy="3286125"/>
                    </a:xfrm>
                    <a:prstGeom prst="rect">
                      <a:avLst/>
                    </a:prstGeom>
                  </pic:spPr>
                </pic:pic>
              </a:graphicData>
            </a:graphic>
          </wp:inline>
        </w:drawing>
      </w:r>
    </w:p>
    <w:p>
      <w:pPr>
        <w:spacing w:before="80" w:after="240"/>
        <w:jc w:val="center"/>
      </w:pPr>
      <w:r>
        <w:rPr>
          <w:rFonts w:ascii="Arial" w:cs="Arial" w:eastAsia="Arial" w:hAnsi="Arial"/>
          <w:b/>
          <w:bCs/>
          <w:i/>
          <w:iCs/>
          <w:color w:val="607D8B"/>
          <w:sz w:val="19"/>
          <w:szCs w:val="19"/>
        </w:rPr>
        <w:t xml:space="preserve">Figure 13: K-Means live prediction — correctly classifies unseen tomato leaf as "Tomato Healthy"</w:t>
      </w:r>
    </w:p>
    <w:p>
      <w:pPr>
        <w:spacing w:after="80"/>
      </w:pPr>
      <w:r>
        <w:rPr>
          <w:rFonts w:ascii="Arial" w:cs="Arial" w:eastAsia="Arial" w:hAnsi="Arial"/>
          <w:color w:val="111111"/>
          <w:sz w:val="22"/>
          <w:szCs w:val="22"/>
        </w:rPr>
        <w:t xml:space="preserve"/>
      </w:r>
    </w:p>
    <w:p>
      <w:pPr>
        <w:spacing w:after="140" w:line="310"/>
        <w:jc w:val="both"/>
      </w:pPr>
      <w:r>
        <w:rPr>
          <w:rFonts w:ascii="Arial" w:cs="Arial" w:eastAsia="Arial" w:hAnsi="Arial"/>
          <w:color w:val="111111"/>
          <w:sz w:val="22"/>
          <w:szCs w:val="22"/>
        </w:rPr>
        <w:t xml:space="preserve">The Random Forest model additionally supports class probability output via predict_proba(), enabling confidence-aware predictions and rejection of low-confidence cases — a critical feature for production agricultural advisory systems.</w:t>
      </w:r>
    </w:p>
    <w:p>
      <w:pPr>
        <w:spacing w:after="80"/>
      </w:pPr>
      <w:r>
        <w:rPr>
          <w:rFonts w:ascii="Arial" w:cs="Arial" w:eastAsia="Arial" w:hAnsi="Arial"/>
          <w:color w:val="111111"/>
          <w:sz w:val="22"/>
          <w:szCs w:val="22"/>
        </w:rPr>
        <w:t xml:space="preserve"/>
      </w:r>
    </w:p>
    <w:p>
      <w:pPr>
        <w:pStyle w:val="Heading1"/>
        <w:pBdr>
          <w:bottom w:val="single" w:color="1565C0" w:sz="14" w:space="6"/>
        </w:pBdr>
        <w:spacing w:before="400" w:after="140"/>
      </w:pPr>
      <w:r>
        <w:rPr>
          <w:rFonts w:ascii="Arial" w:cs="Arial" w:eastAsia="Arial" w:hAnsi="Arial"/>
          <w:b/>
          <w:bCs/>
          <w:caps/>
          <w:color w:val="0D2137"/>
          <w:sz w:val="34"/>
          <w:szCs w:val="34"/>
        </w:rPr>
        <w:t xml:space="preserve">9. Potential Improvements</w:t>
      </w:r>
    </w:p>
    <w:p>
      <w:pPr>
        <w:spacing w:after="140" w:line="310"/>
        <w:jc w:val="both"/>
      </w:pPr>
      <w:r>
        <w:rPr>
          <w:rFonts w:ascii="Arial" w:cs="Arial" w:eastAsia="Arial" w:hAnsi="Arial"/>
          <w:color w:val="111111"/>
          <w:sz w:val="22"/>
          <w:szCs w:val="22"/>
        </w:rPr>
        <w:t xml:space="preserve">Both approaches can be substantially enhanced with the following techniques, ordered by expected performance impact:</w:t>
      </w:r>
    </w:p>
    <w:p>
      <w:pPr>
        <w:spacing w:after="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565C0" w:sz="2"/>
              <w:left w:val="single" w:color="1565C0" w:sz="2"/>
              <w:bottom w:val="single" w:color="1565C0" w:sz="2"/>
              <w:right w:val="single" w:color="1565C0" w:sz="2"/>
            </w:tcBorders>
            <w:shd w:fill="0D213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Direction</w:t>
            </w:r>
          </w:p>
        </w:tc>
        <w:tc>
          <w:tcPr>
            <w:tcW w:type="dxa" w:w="6760"/>
            <w:tcBorders>
              <w:top w:val="single" w:color="1565C0" w:sz="2"/>
              <w:left w:val="single" w:color="1565C0" w:sz="2"/>
              <w:bottom w:val="single" w:color="1565C0" w:sz="2"/>
              <w:right w:val="single" w:color="1565C0" w:sz="2"/>
            </w:tcBorders>
            <w:shd w:fill="0D213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Description &amp; Expected Impact</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565C0"/>
                <w:sz w:val="20"/>
                <w:szCs w:val="20"/>
              </w:rPr>
              <w:t xml:space="preserve">CNN Architecture</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Replace PCA + pixel features with convolutional layers. Expected: &gt;90% accuracy.</w:t>
            </w:r>
          </w:p>
        </w:tc>
      </w:tr>
      <w:tr>
        <w:tc>
          <w:tcPr>
            <w:tcW w:type="dxa" w:w="26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bCs/>
                <w:color w:val="1565C0"/>
                <w:sz w:val="20"/>
                <w:szCs w:val="20"/>
              </w:rPr>
              <w:t xml:space="preserve">Transfer Learning</w:t>
            </w:r>
          </w:p>
        </w:tc>
        <w:tc>
          <w:tcPr>
            <w:tcW w:type="dxa" w:w="676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Pre-trained ResNet-50 / EfficientNet-B0 as feature extractors. Ideal for small datasets.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565C0"/>
                <w:sz w:val="20"/>
                <w:szCs w:val="20"/>
              </w:rPr>
              <w:t xml:space="preserve">Data Augmentation</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Flip, rotate ±30°, colour jitter, random crop. Improves generalisation and class balance.</w:t>
            </w:r>
          </w:p>
        </w:tc>
      </w:tr>
      <w:tr>
        <w:tc>
          <w:tcPr>
            <w:tcW w:type="dxa" w:w="26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bCs/>
                <w:color w:val="1565C0"/>
                <w:sz w:val="20"/>
                <w:szCs w:val="20"/>
              </w:rPr>
              <w:t xml:space="preserve">Semi-Supervised Learning</w:t>
            </w:r>
          </w:p>
        </w:tc>
        <w:tc>
          <w:tcPr>
            <w:tcW w:type="dxa" w:w="676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Use K-Means pseudo-labels to expand labelled set, then refine Random Forest.</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565C0"/>
                <w:sz w:val="20"/>
                <w:szCs w:val="20"/>
              </w:rPr>
              <w:t xml:space="preserve">Gaussian Mixture Models</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Probabilistic clustering that handles non-spherical class boundaries better than K-Means.</w:t>
            </w:r>
          </w:p>
        </w:tc>
      </w:tr>
      <w:tr>
        <w:tc>
          <w:tcPr>
            <w:tcW w:type="dxa" w:w="26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bCs/>
                <w:color w:val="1565C0"/>
                <w:sz w:val="20"/>
                <w:szCs w:val="20"/>
              </w:rPr>
              <w:t xml:space="preserve">Web API Deployment</w:t>
            </w:r>
          </w:p>
        </w:tc>
        <w:tc>
          <w:tcPr>
            <w:tcW w:type="dxa" w:w="676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FastAPI endpoint: upload leaf image → instant diagnosis. Mobile-friendly.</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565C0"/>
                <w:sz w:val="20"/>
                <w:szCs w:val="20"/>
              </w:rPr>
              <w:t xml:space="preserve">Explainability (XAI)</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LIME / SHAP heatmaps showing which leaf regions drove predictions. Critical for adoption.</w:t>
            </w:r>
          </w:p>
        </w:tc>
      </w:tr>
    </w:tbl>
    <w:p>
      <w:pPr>
        <w:spacing w:before="80" w:after="240"/>
        <w:jc w:val="center"/>
      </w:pPr>
      <w:r>
        <w:rPr>
          <w:rFonts w:ascii="Arial" w:cs="Arial" w:eastAsia="Arial" w:hAnsi="Arial"/>
          <w:b/>
          <w:bCs/>
          <w:i/>
          <w:iCs/>
          <w:color w:val="607D8B"/>
          <w:sz w:val="19"/>
          <w:szCs w:val="19"/>
        </w:rPr>
        <w:t xml:space="preserve">Table 7: Proposed Future Improvements — ordered by expected performance impact</w:t>
      </w:r>
    </w:p>
    <w:p>
      <w:pPr>
        <w:spacing w:after="80"/>
      </w:pPr>
      <w:r>
        <w:rPr>
          <w:rFonts w:ascii="Arial" w:cs="Arial" w:eastAsia="Arial" w:hAnsi="Arial"/>
          <w:color w:val="111111"/>
          <w:sz w:val="22"/>
          <w:szCs w:val="22"/>
        </w:rPr>
        <w:t xml:space="preserve"/>
      </w:r>
    </w:p>
    <w:p>
      <w:pPr>
        <w:pStyle w:val="ListParagraph"/>
        <w:numPr>
          <w:ilvl w:val="0"/>
          <w:numId w:val="2"/>
        </w:numPr>
        <w:spacing w:after="110"/>
      </w:pPr>
      <w:r>
        <w:rPr>
          <w:rFonts w:ascii="Arial" w:cs="Arial" w:eastAsia="Arial" w:hAnsi="Arial"/>
          <w:b/>
          <w:bCs/>
          <w:color w:val="0D2137"/>
          <w:sz w:val="22"/>
          <w:szCs w:val="22"/>
        </w:rPr>
        <w:t xml:space="preserve">Deep Feature Extraction (CNN Embeddings): </w:t>
      </w:r>
      <w:r>
        <w:rPr>
          <w:rFonts w:ascii="Arial" w:cs="Arial" w:eastAsia="Arial" w:hAnsi="Arial"/>
          <w:color w:val="111111"/>
          <w:sz w:val="22"/>
          <w:szCs w:val="22"/>
        </w:rPr>
        <w:t xml:space="preserve">Replacing raw pixels with features from a pre-trained ResNet-50 or EfficientNet-B0 typically raises K-Means accuracy to 55–75% and Random Forest accuracy to 85–92% on this class of dataset.</w:t>
      </w:r>
    </w:p>
    <w:p>
      <w:pPr>
        <w:pStyle w:val="ListParagraph"/>
        <w:numPr>
          <w:ilvl w:val="0"/>
          <w:numId w:val="2"/>
        </w:numPr>
        <w:spacing w:after="110"/>
      </w:pPr>
      <w:r>
        <w:rPr>
          <w:rFonts w:ascii="Arial" w:cs="Arial" w:eastAsia="Arial" w:hAnsi="Arial"/>
          <w:b/>
          <w:bCs/>
          <w:color w:val="0D2137"/>
          <w:sz w:val="22"/>
          <w:szCs w:val="22"/>
        </w:rPr>
        <w:t xml:space="preserve">Full Dataset Training: </w:t>
      </w:r>
      <w:r>
        <w:rPr>
          <w:rFonts w:ascii="Arial" w:cs="Arial" w:eastAsia="Arial" w:hAnsi="Arial"/>
          <w:color w:val="111111"/>
          <w:sz w:val="22"/>
          <w:szCs w:val="22"/>
        </w:rPr>
        <w:t xml:space="preserve">Random Forest was trained on a ~610-sample subset. Training on the full augmented dataset with n_estimators=300 is expected to push accuracy above 80%.</w:t>
      </w:r>
    </w:p>
    <w:p>
      <w:pPr>
        <w:pStyle w:val="ListParagraph"/>
        <w:numPr>
          <w:ilvl w:val="0"/>
          <w:numId w:val="2"/>
        </w:numPr>
        <w:spacing w:after="110"/>
      </w:pPr>
      <w:r>
        <w:rPr>
          <w:rFonts w:ascii="Arial" w:cs="Arial" w:eastAsia="Arial" w:hAnsi="Arial"/>
          <w:b/>
          <w:bCs/>
          <w:color w:val="0D2137"/>
          <w:sz w:val="22"/>
          <w:szCs w:val="22"/>
        </w:rPr>
        <w:t xml:space="preserve">Gaussian Mixture Models (GMM): </w:t>
      </w:r>
      <w:r>
        <w:rPr>
          <w:rFonts w:ascii="Arial" w:cs="Arial" w:eastAsia="Arial" w:hAnsi="Arial"/>
          <w:color w:val="111111"/>
          <w:sz w:val="22"/>
          <w:szCs w:val="22"/>
        </w:rPr>
        <w:t xml:space="preserve">A probabilistic generative alternative to K-Means that handles non-spherical, overlapping clusters and produces soft cluster assignments — better suited to this dataset's class geometry.</w:t>
      </w:r>
    </w:p>
    <w:p>
      <w:r>
        <w:br w:type="page"/>
      </w:r>
    </w:p>
    <w:p>
      <w:pPr>
        <w:pStyle w:val="Heading1"/>
        <w:pBdr>
          <w:bottom w:val="single" w:color="1565C0" w:sz="14" w:space="6"/>
        </w:pBdr>
        <w:spacing w:before="400" w:after="140"/>
      </w:pPr>
      <w:r>
        <w:rPr>
          <w:rFonts w:ascii="Arial" w:cs="Arial" w:eastAsia="Arial" w:hAnsi="Arial"/>
          <w:b/>
          <w:bCs/>
          <w:caps/>
          <w:color w:val="0D2137"/>
          <w:sz w:val="34"/>
          <w:szCs w:val="34"/>
        </w:rPr>
        <w:t xml:space="preserve">10. Conclusion</w:t>
      </w:r>
    </w:p>
    <w:p>
      <w:pPr>
        <w:spacing w:after="140" w:line="310"/>
        <w:jc w:val="both"/>
      </w:pPr>
      <w:r>
        <w:rPr>
          <w:rFonts w:ascii="Arial" w:cs="Arial" w:eastAsia="Arial" w:hAnsi="Arial"/>
          <w:color w:val="111111"/>
          <w:sz w:val="22"/>
          <w:szCs w:val="22"/>
        </w:rPr>
        <w:t xml:space="preserve">This project successfully designed, implemented, and rigorously compared two machine learning approaches for automated tomato leaf disease classification. The Random Forest classifier, tuned with max_depth=20 and n_estimators=300 via GridSearchCV, delivered a robust 70.59% test accuracy with per-class F1-scores ranging from 0.48 (Early Blight) to 0.84 (Healthy). The Healthy class achieved the highest recall (0.90), while Late Blight achieved the highest precision (0.82).</w:t>
      </w:r>
    </w:p>
    <w:p>
      <w:pPr>
        <w:spacing w:after="140" w:line="310"/>
        <w:jc w:val="both"/>
      </w:pPr>
      <w:r>
        <w:rPr>
          <w:rFonts w:ascii="Arial" w:cs="Arial" w:eastAsia="Arial" w:hAnsi="Arial"/>
          <w:color w:val="111111"/>
          <w:sz w:val="22"/>
          <w:szCs w:val="22"/>
        </w:rPr>
        <w:t xml:space="preserve">The K-Means + PCA approach achieved 38.01% clustering accuracy — a result that, while well below classification standards, is informationally significant. It confirms that tomato disease classes are not linearly separable in raw pixel space and that Euclidean distance on pixel-intensity features is insufficient for reliable cluster formation across pathologically distinct leaf categories. This finding directly motivates future work on semantic feature extraction via convolutional neural networks.</w:t>
      </w:r>
    </w:p>
    <w:p>
      <w:pPr>
        <w:spacing w:after="140" w:line="310"/>
        <w:jc w:val="both"/>
      </w:pPr>
      <w:r>
        <w:rPr>
          <w:rFonts w:ascii="Arial" w:cs="Arial" w:eastAsia="Arial" w:hAnsi="Arial"/>
          <w:b/>
          <w:bCs/>
          <w:color w:val="0D2137"/>
          <w:sz w:val="22"/>
          <w:szCs w:val="22"/>
        </w:rPr>
        <w:t xml:space="preserve">Core Takeaway for Practitioners and Recruiters: </w:t>
      </w:r>
      <w:r>
        <w:rPr>
          <w:rFonts w:ascii="Arial" w:cs="Arial" w:eastAsia="Arial" w:hAnsi="Arial"/>
          <w:color w:val="111111"/>
          <w:sz w:val="22"/>
          <w:szCs w:val="22"/>
        </w:rPr>
        <w:t xml:space="preserve">When labelled data is available, supervised methods should always be preferred for classification tasks. Unsupervised methods like K-Means are best reserved for exploratory data analysis, anomaly detection, or scenarios where annotation is prohibitively expensive. The 32.6 percentage-point accuracy gap observed here quantifies — concretely and with real data — the value of annotation investment in machine learning pipelines.</w:t>
      </w:r>
    </w:p>
    <w:p>
      <w:pPr>
        <w:spacing w:after="80"/>
      </w:pPr>
      <w:r>
        <w:rPr>
          <w:rFonts w:ascii="Arial" w:cs="Arial" w:eastAsia="Arial" w:hAnsi="Arial"/>
          <w:color w:val="111111"/>
          <w:sz w:val="22"/>
          <w:szCs w:val="22"/>
        </w:rPr>
        <w:t xml:space="preserve"/>
      </w:r>
    </w:p>
    <w:p>
      <w:pPr>
        <w:spacing w:after="80"/>
      </w:pPr>
      <w:r>
        <w:rPr>
          <w:rFonts w:ascii="Arial" w:cs="Arial" w:eastAsia="Arial" w:hAnsi="Arial"/>
          <w:color w:val="111111"/>
          <w:sz w:val="22"/>
          <w:szCs w:val="22"/>
        </w:rPr>
        <w:t xml:space="preserve"/>
      </w:r>
    </w:p>
    <w:p>
      <w:pPr>
        <w:pStyle w:val="Heading1"/>
        <w:pBdr>
          <w:bottom w:val="single" w:color="1565C0" w:sz="14" w:space="6"/>
        </w:pBdr>
        <w:spacing w:before="400" w:after="140"/>
      </w:pPr>
      <w:r>
        <w:rPr>
          <w:rFonts w:ascii="Arial" w:cs="Arial" w:eastAsia="Arial" w:hAnsi="Arial"/>
          <w:b/>
          <w:bCs/>
          <w:caps/>
          <w:color w:val="0D2137"/>
          <w:sz w:val="34"/>
          <w:szCs w:val="34"/>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c>
          <w:tcPr>
            <w:tcW w:type="dxa" w:w="2200"/>
            <w:tcBorders>
              <w:top w:val="single" w:color="1565C0" w:sz="2"/>
              <w:left w:val="single" w:color="1565C0" w:sz="2"/>
              <w:bottom w:val="single" w:color="1565C0" w:sz="2"/>
              <w:right w:val="single" w:color="1565C0" w:sz="2"/>
            </w:tcBorders>
            <w:shd w:fill="0D213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Category</w:t>
            </w:r>
          </w:p>
        </w:tc>
        <w:tc>
          <w:tcPr>
            <w:tcW w:type="dxa" w:w="2560"/>
            <w:tcBorders>
              <w:top w:val="single" w:color="1565C0" w:sz="2"/>
              <w:left w:val="single" w:color="1565C0" w:sz="2"/>
              <w:bottom w:val="single" w:color="1565C0" w:sz="2"/>
              <w:right w:val="single" w:color="1565C0" w:sz="2"/>
            </w:tcBorders>
            <w:shd w:fill="0D213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Library / Version</w:t>
            </w:r>
          </w:p>
        </w:tc>
        <w:tc>
          <w:tcPr>
            <w:tcW w:type="dxa" w:w="4600"/>
            <w:tcBorders>
              <w:top w:val="single" w:color="1565C0" w:sz="2"/>
              <w:left w:val="single" w:color="1565C0" w:sz="2"/>
              <w:bottom w:val="single" w:color="1565C0" w:sz="2"/>
              <w:right w:val="single" w:color="1565C0" w:sz="2"/>
            </w:tcBorders>
            <w:shd w:fill="0D213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Language</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Python 3.14</w:t>
            </w:r>
          </w:p>
        </w:tc>
        <w:tc>
          <w:tcPr>
            <w:tcW w:type="dxa" w:w="4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Core programming language</w:t>
            </w:r>
          </w:p>
        </w:tc>
      </w:tr>
      <w:tr>
        <w:tc>
          <w:tcPr>
            <w:tcW w:type="dxa" w:w="22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Image Processing</w:t>
            </w:r>
          </w:p>
        </w:tc>
        <w:tc>
          <w:tcPr>
            <w:tcW w:type="dxa" w:w="256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OpenCV (cv2) 4.13.0</w:t>
            </w:r>
          </w:p>
        </w:tc>
        <w:tc>
          <w:tcPr>
            <w:tcW w:type="dxa" w:w="46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Image I/O, resizing, colour conversion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ML Framework</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scikit-learn 1.8.0</w:t>
            </w:r>
          </w:p>
        </w:tc>
        <w:tc>
          <w:tcPr>
            <w:tcW w:type="dxa" w:w="4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KMeans, RandomForest, PCA, GridSearchCV, metrics</w:t>
            </w:r>
          </w:p>
        </w:tc>
      </w:tr>
      <w:tr>
        <w:tc>
          <w:tcPr>
            <w:tcW w:type="dxa" w:w="22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Numerics</w:t>
            </w:r>
          </w:p>
        </w:tc>
        <w:tc>
          <w:tcPr>
            <w:tcW w:type="dxa" w:w="256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NumPy 2.4.3</w:t>
            </w:r>
          </w:p>
        </w:tc>
        <w:tc>
          <w:tcPr>
            <w:tcW w:type="dxa" w:w="46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Array ops, matrix operations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Data Analysis</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Pandas 3.0.1</w:t>
            </w:r>
          </w:p>
        </w:tc>
        <w:tc>
          <w:tcPr>
            <w:tcW w:type="dxa" w:w="4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DataFrame management, reporting</w:t>
            </w:r>
          </w:p>
        </w:tc>
      </w:tr>
      <w:tr>
        <w:tc>
          <w:tcPr>
            <w:tcW w:type="dxa" w:w="22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Visualisation</w:t>
            </w:r>
          </w:p>
        </w:tc>
        <w:tc>
          <w:tcPr>
            <w:tcW w:type="dxa" w:w="256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Matplotlib 3.10 + Seaborn 0.13</w:t>
            </w:r>
          </w:p>
        </w:tc>
        <w:tc>
          <w:tcPr>
            <w:tcW w:type="dxa" w:w="46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Confusion matrices, cluster plots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Statistics</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SciPy 1.17.1</w:t>
            </w:r>
          </w:p>
        </w:tc>
        <w:tc>
          <w:tcPr>
            <w:tcW w:type="dxa" w:w="4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Mode function for cluster-label mapping</w:t>
            </w:r>
          </w:p>
        </w:tc>
      </w:tr>
      <w:tr>
        <w:tc>
          <w:tcPr>
            <w:tcW w:type="dxa" w:w="22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bCs/>
                <w:color w:val="0D2137"/>
                <w:sz w:val="20"/>
                <w:szCs w:val="20"/>
              </w:rPr>
              <w:t xml:space="preserve">IDE / Notebook</w:t>
            </w:r>
          </w:p>
        </w:tc>
        <w:tc>
          <w:tcPr>
            <w:tcW w:type="dxa" w:w="256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VS Code + Jupyter Notebook</w:t>
            </w:r>
          </w:p>
        </w:tc>
        <w:tc>
          <w:tcPr>
            <w:tcW w:type="dxa" w:w="4600"/>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Development &amp; experimentation environment</w:t>
            </w:r>
          </w:p>
        </w:tc>
      </w:tr>
    </w:tbl>
    <w:p>
      <w:pPr>
        <w:spacing w:before="80" w:after="240"/>
        <w:jc w:val="center"/>
      </w:pPr>
      <w:r>
        <w:rPr>
          <w:rFonts w:ascii="Arial" w:cs="Arial" w:eastAsia="Arial" w:hAnsi="Arial"/>
          <w:b/>
          <w:bCs/>
          <w:i/>
          <w:iCs/>
          <w:color w:val="607D8B"/>
          <w:sz w:val="19"/>
          <w:szCs w:val="19"/>
        </w:rPr>
        <w:t xml:space="preserve">Table 8: Full Technology Stack with Library Versions</w:t>
      </w:r>
    </w:p>
    <w:p>
      <w:pPr>
        <w:spacing w:after="80"/>
      </w:pPr>
      <w:r>
        <w:rPr>
          <w:rFonts w:ascii="Arial" w:cs="Arial" w:eastAsia="Arial" w:hAnsi="Arial"/>
          <w:color w:val="111111"/>
          <w:sz w:val="22"/>
          <w:szCs w:val="22"/>
        </w:rPr>
        <w:t xml:space="preserve"/>
      </w:r>
    </w:p>
    <w:p>
      <w:pPr>
        <w:spacing w:after="80"/>
      </w:pPr>
      <w:r>
        <w:rPr>
          <w:rFonts w:ascii="Arial" w:cs="Arial" w:eastAsia="Arial" w:hAnsi="Arial"/>
          <w:color w:val="111111"/>
          <w:sz w:val="22"/>
          <w:szCs w:val="22"/>
        </w:rPr>
        <w:t xml:space="preserve"/>
      </w:r>
    </w:p>
    <w:p>
      <w:pPr>
        <w:pStyle w:val="Heading1"/>
        <w:pBdr>
          <w:bottom w:val="single" w:color="1565C0" w:sz="14" w:space="6"/>
        </w:pBdr>
        <w:spacing w:before="400" w:after="140"/>
      </w:pPr>
      <w:r>
        <w:rPr>
          <w:rFonts w:ascii="Arial" w:cs="Arial" w:eastAsia="Arial" w:hAnsi="Arial"/>
          <w:b/>
          <w:bCs/>
          <w:caps/>
          <w:color w:val="0D2137"/>
          <w:sz w:val="34"/>
          <w:szCs w:val="34"/>
        </w:rPr>
        <w:t xml:space="preserve">12. References</w:t>
      </w:r>
    </w:p>
    <w:p>
      <w:pPr>
        <w:pStyle w:val="ListParagraph"/>
        <w:numPr>
          <w:ilvl w:val="0"/>
          <w:numId w:val="4"/>
        </w:numPr>
        <w:spacing w:after="120"/>
      </w:pPr>
      <w:r>
        <w:rPr>
          <w:rFonts w:ascii="Arial" w:cs="Arial" w:eastAsia="Arial" w:hAnsi="Arial"/>
          <w:color w:val="111111"/>
          <w:sz w:val="22"/>
          <w:szCs w:val="22"/>
        </w:rPr>
        <w:t xml:space="preserve">Hughes, D. P., &amp; Salathé, M. (2015). An open access repository of images on plant health to enable the development of mobile disease diagnostics. </w:t>
      </w:r>
      <w:r>
        <w:rPr>
          <w:rFonts w:ascii="Arial" w:cs="Arial" w:eastAsia="Arial" w:hAnsi="Arial"/>
          <w:i/>
          <w:iCs/>
          <w:color w:val="607D8B"/>
          <w:sz w:val="22"/>
          <w:szCs w:val="22"/>
        </w:rPr>
        <w:t xml:space="preserve">arXiv:1511.08060.</w:t>
      </w:r>
    </w:p>
    <w:p>
      <w:pPr>
        <w:pStyle w:val="ListParagraph"/>
        <w:numPr>
          <w:ilvl w:val="0"/>
          <w:numId w:val="4"/>
        </w:numPr>
        <w:spacing w:after="120"/>
      </w:pPr>
      <w:r>
        <w:rPr>
          <w:rFonts w:ascii="Arial" w:cs="Arial" w:eastAsia="Arial" w:hAnsi="Arial"/>
          <w:color w:val="111111"/>
          <w:sz w:val="22"/>
          <w:szCs w:val="22"/>
        </w:rPr>
        <w:t xml:space="preserve">Breiman, L. (2001). Random forests. </w:t>
      </w:r>
      <w:r>
        <w:rPr>
          <w:rFonts w:ascii="Arial" w:cs="Arial" w:eastAsia="Arial" w:hAnsi="Arial"/>
          <w:i/>
          <w:iCs/>
          <w:color w:val="607D8B"/>
          <w:sz w:val="22"/>
          <w:szCs w:val="22"/>
        </w:rPr>
        <w:t xml:space="preserve">Machine Learning, 45</w:t>
      </w:r>
      <w:r>
        <w:rPr>
          <w:rFonts w:ascii="Arial" w:cs="Arial" w:eastAsia="Arial" w:hAnsi="Arial"/>
          <w:color w:val="111111"/>
          <w:sz w:val="22"/>
          <w:szCs w:val="22"/>
        </w:rPr>
        <w:t xml:space="preserve">(1), 5–32. https://doi.org/10.1023/A:1010933404324</w:t>
      </w:r>
    </w:p>
    <w:p>
      <w:pPr>
        <w:pStyle w:val="ListParagraph"/>
        <w:numPr>
          <w:ilvl w:val="0"/>
          <w:numId w:val="4"/>
        </w:numPr>
        <w:spacing w:after="120"/>
      </w:pPr>
      <w:r>
        <w:rPr>
          <w:rFonts w:ascii="Arial" w:cs="Arial" w:eastAsia="Arial" w:hAnsi="Arial"/>
          <w:color w:val="111111"/>
          <w:sz w:val="22"/>
          <w:szCs w:val="22"/>
        </w:rPr>
        <w:t xml:space="preserve">MacQueen, J. B. (1967). Some methods for classification and analysis of multivariate observations. </w:t>
      </w:r>
      <w:r>
        <w:rPr>
          <w:rFonts w:ascii="Arial" w:cs="Arial" w:eastAsia="Arial" w:hAnsi="Arial"/>
          <w:i/>
          <w:iCs/>
          <w:color w:val="607D8B"/>
          <w:sz w:val="22"/>
          <w:szCs w:val="22"/>
        </w:rPr>
        <w:t xml:space="preserve">Proceedings of the 5th Berkeley Symposium on Mathematical Statistics and Probability</w:t>
      </w:r>
      <w:r>
        <w:rPr>
          <w:rFonts w:ascii="Arial" w:cs="Arial" w:eastAsia="Arial" w:hAnsi="Arial"/>
          <w:color w:val="111111"/>
          <w:sz w:val="22"/>
          <w:szCs w:val="22"/>
        </w:rPr>
        <w:t xml:space="preserve">, 281–297.</w:t>
      </w:r>
    </w:p>
    <w:p>
      <w:pPr>
        <w:pStyle w:val="ListParagraph"/>
        <w:numPr>
          <w:ilvl w:val="0"/>
          <w:numId w:val="4"/>
        </w:numPr>
        <w:spacing w:after="120"/>
      </w:pPr>
      <w:r>
        <w:rPr>
          <w:rFonts w:ascii="Arial" w:cs="Arial" w:eastAsia="Arial" w:hAnsi="Arial"/>
          <w:color w:val="111111"/>
          <w:sz w:val="22"/>
          <w:szCs w:val="22"/>
        </w:rPr>
        <w:t xml:space="preserve">Pedregosa, F., et al. (2011). Scikit-learn: Machine learning in Python. </w:t>
      </w:r>
      <w:r>
        <w:rPr>
          <w:rFonts w:ascii="Arial" w:cs="Arial" w:eastAsia="Arial" w:hAnsi="Arial"/>
          <w:i/>
          <w:iCs/>
          <w:color w:val="607D8B"/>
          <w:sz w:val="22"/>
          <w:szCs w:val="22"/>
        </w:rPr>
        <w:t xml:space="preserve">Journal of Machine Learning Research, 12</w:t>
      </w:r>
      <w:r>
        <w:rPr>
          <w:rFonts w:ascii="Arial" w:cs="Arial" w:eastAsia="Arial" w:hAnsi="Arial"/>
          <w:color w:val="111111"/>
          <w:sz w:val="22"/>
          <w:szCs w:val="22"/>
        </w:rPr>
        <w:t xml:space="preserve">, 2825–2830.</w:t>
      </w:r>
    </w:p>
    <w:p>
      <w:pPr>
        <w:pStyle w:val="ListParagraph"/>
        <w:numPr>
          <w:ilvl w:val="0"/>
          <w:numId w:val="4"/>
        </w:numPr>
        <w:spacing w:after="120"/>
      </w:pPr>
      <w:r>
        <w:rPr>
          <w:rFonts w:ascii="Arial" w:cs="Arial" w:eastAsia="Arial" w:hAnsi="Arial"/>
          <w:color w:val="111111"/>
          <w:sz w:val="22"/>
          <w:szCs w:val="22"/>
        </w:rPr>
        <w:t xml:space="preserve">Jolliffe, I. T. (2002). </w:t>
      </w:r>
      <w:r>
        <w:rPr>
          <w:rFonts w:ascii="Arial" w:cs="Arial" w:eastAsia="Arial" w:hAnsi="Arial"/>
          <w:i/>
          <w:iCs/>
          <w:color w:val="607D8B"/>
          <w:sz w:val="22"/>
          <w:szCs w:val="22"/>
        </w:rPr>
        <w:t xml:space="preserve">Principal Component Analysis</w:t>
      </w:r>
      <w:r>
        <w:rPr>
          <w:rFonts w:ascii="Arial" w:cs="Arial" w:eastAsia="Arial" w:hAnsi="Arial"/>
          <w:color w:val="111111"/>
          <w:sz w:val="22"/>
          <w:szCs w:val="22"/>
        </w:rPr>
        <w:t xml:space="preserve"> (2nd ed.). Springer Series in Statistics.</w:t>
      </w:r>
    </w:p>
    <w:p>
      <w:pPr>
        <w:pStyle w:val="ListParagraph"/>
        <w:numPr>
          <w:ilvl w:val="0"/>
          <w:numId w:val="4"/>
        </w:numPr>
        <w:spacing w:after="120"/>
      </w:pPr>
      <w:r>
        <w:rPr>
          <w:rFonts w:ascii="Arial" w:cs="Arial" w:eastAsia="Arial" w:hAnsi="Arial"/>
          <w:color w:val="111111"/>
          <w:sz w:val="22"/>
          <w:szCs w:val="22"/>
        </w:rPr>
        <w:t xml:space="preserve">Bradski, G. (2000). The OpenCV Library. </w:t>
      </w:r>
      <w:r>
        <w:rPr>
          <w:rFonts w:ascii="Arial" w:cs="Arial" w:eastAsia="Arial" w:hAnsi="Arial"/>
          <w:i/>
          <w:iCs/>
          <w:color w:val="607D8B"/>
          <w:sz w:val="22"/>
          <w:szCs w:val="22"/>
        </w:rPr>
        <w:t xml:space="preserve">Dr. Dobb's Journal of Software Tools.</w:t>
      </w:r>
    </w:p>
    <w:p>
      <w:pPr>
        <w:spacing w:after="80"/>
      </w:pPr>
      <w:r>
        <w:rPr>
          <w:rFonts w:ascii="Arial" w:cs="Arial" w:eastAsia="Arial" w:hAnsi="Arial"/>
          <w:color w:val="111111"/>
          <w:sz w:val="22"/>
          <w:szCs w:val="22"/>
        </w:rPr>
        <w:t xml:space="preserve"/>
      </w:r>
    </w:p>
    <w:p>
      <w:pPr>
        <w:spacing w:after="80"/>
      </w:pPr>
      <w:r>
        <w:rPr>
          <w:rFonts w:ascii="Arial" w:cs="Arial" w:eastAsia="Arial" w:hAnsi="Arial"/>
          <w:color w:val="111111"/>
          <w:sz w:val="22"/>
          <w:szCs w:val="22"/>
        </w:rPr>
        <w:t xml:space="preserve"/>
      </w:r>
    </w:p>
    <w:p>
      <w:pPr>
        <w:pBdr>
          <w:bottom w:val="single" w:color="42A5F5" w:sz="6" w:space="4"/>
        </w:pBdr>
        <w:spacing w:before="0" w:after="0"/>
      </w:pPr>
      <w:r>
        <w:rPr>
          <w:rFonts w:ascii="Arial" w:cs="Arial" w:eastAsia="Arial" w:hAnsi="Arial"/>
          <w:color w:val="111111"/>
          <w:sz w:val="22"/>
          <w:szCs w:val="22"/>
        </w:rPr>
        <w:t xml:space="preserve"/>
      </w:r>
    </w:p>
    <w:p>
      <w:pPr>
        <w:spacing w:after="80"/>
      </w:pPr>
      <w:r>
        <w:rPr>
          <w:rFonts w:ascii="Arial" w:cs="Arial" w:eastAsia="Arial" w:hAnsi="Arial"/>
          <w:color w:val="111111"/>
          <w:sz w:val="22"/>
          <w:szCs w:val="22"/>
        </w:rPr>
        <w:t xml:space="preserve"/>
      </w:r>
    </w:p>
    <w:p>
      <w:pPr>
        <w:spacing w:before="80" w:after="80"/>
        <w:jc w:val="center"/>
      </w:pPr>
      <w:r>
        <w:rPr>
          <w:rFonts w:ascii="Arial" w:cs="Arial" w:eastAsia="Arial" w:hAnsi="Arial"/>
          <w:b/>
          <w:bCs/>
          <w:i/>
          <w:iCs/>
          <w:color w:val="607D8B"/>
          <w:sz w:val="22"/>
          <w:szCs w:val="22"/>
        </w:rPr>
        <w:t xml:space="preserve">— End of Report —</w:t>
      </w:r>
    </w:p>
    <w:p>
      <w:pPr>
        <w:jc w:val="center"/>
      </w:pPr>
      <w:r>
        <w:rPr>
          <w:rFonts w:ascii="Arial" w:cs="Arial" w:eastAsia="Arial" w:hAnsi="Arial"/>
          <w:color w:val="607D8B"/>
          <w:sz w:val="18"/>
          <w:szCs w:val="18"/>
        </w:rPr>
        <w:t xml:space="preserve">Karan  |  B.Tech Artificial Intelligence &amp; Machine Learning  |  Manipal University Jaipur  |  2025–26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4" w:space="4"/>
      </w:pBdr>
      <w:tabs>
        <w:tab w:val="right" w:pos="10080"/>
      </w:tabs>
      <w:spacing w:before="80"/>
    </w:pPr>
    <w:r>
      <w:rPr>
        <w:rFonts w:ascii="Arial" w:cs="Arial" w:eastAsia="Arial" w:hAnsi="Arial"/>
        <w:i/>
        <w:iCs/>
        <w:color w:val="607D8B"/>
        <w:sz w:val="16"/>
        <w:szCs w:val="16"/>
      </w:rPr>
      <w:t xml:space="preserve">For Academic &amp; Recruitment Use  |  2025–26</w:t>
    </w:r>
    <w:r>
      <w:rPr>
        <w:rFonts w:ascii="Arial" w:cs="Arial" w:eastAsia="Arial" w:hAnsi="Arial"/>
        <w:sz w:val="16"/>
        <w:szCs w:val="16"/>
      </w:rPr>
      <w:t xml:space="preserve">	</w:t>
    </w:r>
    <w:r>
      <w:rPr>
        <w:rFonts w:ascii="Arial" w:cs="Arial" w:eastAsia="Arial" w:hAnsi="Arial"/>
        <w:color w:val="607D8B"/>
        <w:sz w:val="16"/>
        <w:szCs w:val="16"/>
      </w:rPr>
      <w:t xml:space="preserve">Page </w:t>
    </w:r>
    <w:fldSimple w:instr="PAGE"/>
    <w:r>
      <w:rPr>
        <w:rFonts w:ascii="Arial" w:cs="Arial" w:eastAsia="Arial" w:hAnsi="Arial"/>
        <w:color w:val="607D8B"/>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8" w:space="4"/>
      </w:pBdr>
      <w:tabs>
        <w:tab w:val="right" w:pos="10080"/>
      </w:tabs>
      <w:spacing w:after="80"/>
    </w:pPr>
    <w:r>
      <w:rPr>
        <w:rFonts w:ascii="Arial" w:cs="Arial" w:eastAsia="Arial" w:hAnsi="Arial"/>
        <w:b/>
        <w:bCs/>
        <w:color w:val="0D2137"/>
        <w:sz w:val="17"/>
        <w:szCs w:val="17"/>
      </w:rPr>
      <w:t xml:space="preserve">TOMATO DISEASE DETECTION  |  ML COMPARATIVE STUDY</w:t>
    </w:r>
    <w:r>
      <w:rPr>
        <w:rFonts w:ascii="Arial" w:cs="Arial" w:eastAsia="Arial" w:hAnsi="Arial"/>
        <w:sz w:val="17"/>
        <w:szCs w:val="17"/>
      </w:rPr>
      <w:t xml:space="preserve">	</w:t>
    </w:r>
    <w:r>
      <w:rPr>
        <w:rFonts w:ascii="Arial" w:cs="Arial" w:eastAsia="Arial" w:hAnsi="Arial"/>
        <w:color w:val="607D8B"/>
        <w:sz w:val="17"/>
        <w:szCs w:val="17"/>
      </w:rPr>
      <w:t xml:space="preserve">Karan  |  B.Tech AI &amp; ML  |  Manipal University Jaipur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aps/>
      <w:color w:val="0D2137"/>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1565C0"/>
      <w:sz w:val="27"/>
      <w:szCs w:val="27"/>
    </w:rPr>
  </w:style>
  <w:style w:type="paragraph" w:styleId="Heading3">
    <w:name w:val="Heading 3"/>
    <w:basedOn w:val="Normal"/>
    <w:next w:val="Normal"/>
    <w:qFormat/>
    <w:pPr>
      <w:spacing w:before="200" w:after="80"/>
      <w:outlineLvl w:val="2"/>
    </w:pPr>
    <w:rPr>
      <w:rFonts w:ascii="Arial" w:cs="Arial" w:eastAsia="Arial" w:hAnsi="Arial"/>
      <w:b/>
      <w:bCs/>
      <w:color w:val="1E88E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c7ad8ad32891a25314a9ca68311876eb544871d.png"/><Relationship Id="rId9" Type="http://schemas.openxmlformats.org/officeDocument/2006/relationships/image" Target="media/58fe6e52c71be63effbbc28a4475c039657ace96.png"/><Relationship Id="rId10" Type="http://schemas.openxmlformats.org/officeDocument/2006/relationships/image" Target="media/e351abd0120ac8e40aad29f13770ba3e37e22b70.png"/><Relationship Id="rId11" Type="http://schemas.openxmlformats.org/officeDocument/2006/relationships/image" Target="media/afb31a929ea515f05396ea095a85b3f643753fda.png"/><Relationship Id="rId12" Type="http://schemas.openxmlformats.org/officeDocument/2006/relationships/image" Target="media/31ae06c5b1c0f70adbe53cef33c0dd33158a9a47.png"/><Relationship Id="rId13" Type="http://schemas.openxmlformats.org/officeDocument/2006/relationships/image" Target="media/9cf9bd41b2084f9913930f7dd8a92ca166e056a6.png"/><Relationship Id="rId14" Type="http://schemas.openxmlformats.org/officeDocument/2006/relationships/image" Target="media/add925afa0362a55d5ab5cd7ad7890df0ce3c550.png"/><Relationship Id="rId15" Type="http://schemas.openxmlformats.org/officeDocument/2006/relationships/image" Target="media/90c99bada448939efec6ef6cf88290436f720583.png"/><Relationship Id="rId16" Type="http://schemas.openxmlformats.org/officeDocument/2006/relationships/image" Target="media/6456c35a334350af11ec679b268529e0077e4725.png"/><Relationship Id="rId17" Type="http://schemas.openxmlformats.org/officeDocument/2006/relationships/image" Target="media/81e88aad0e9b0cd99881bac0feaf9419312f6eb0.png"/><Relationship Id="rId18" Type="http://schemas.openxmlformats.org/officeDocument/2006/relationships/image" Target="media/d8db4aa605f6e8789bf8758a07af2a7caf6691b7.png"/><Relationship Id="rId19" Type="http://schemas.openxmlformats.org/officeDocument/2006/relationships/image" Target="media/957b820640306361611cd90fec2f4e021c86a484.png"/><Relationship Id="rId20" Type="http://schemas.openxmlformats.org/officeDocument/2006/relationships/image" Target="media/170e7afffc77cd140c4b721562e527a27ecb838b.png"/><Relationship Id="rId21" Type="http://schemas.openxmlformats.org/officeDocument/2006/relationships/fontTable" Target="fontTable.xml"/><Relationship Id="rId22" Type="http://schemas.openxmlformats.org/officeDocument/2006/relationships/image" Target="media/cover_page_v2.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2026-03-15T10:35:21.670Z</dcterms:created>
  <dcterms:modified xsi:type="dcterms:W3CDTF">2026-03-15T10:35:21.671Z</dcterms:modified>
</cp:coreProperties>
</file>

<file path=docProps/custom.xml><?xml version="1.0" encoding="utf-8"?>
<Properties xmlns="http://schemas.openxmlformats.org/officeDocument/2006/custom-properties" xmlns:vt="http://schemas.openxmlformats.org/officeDocument/2006/docPropsVTypes"/>
</file>