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controls assessment checklist, refer to the information provided in the </w:t>
      </w:r>
      <w:hyperlink r:id="rId6">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control, including the type and purpose, refer to the </w:t>
      </w:r>
      <w:hyperlink r:id="rId7">
        <w:r w:rsidDel="00000000" w:rsidR="00000000" w:rsidRPr="00000000">
          <w:rPr>
            <w:rFonts w:ascii="Google Sans" w:cs="Google Sans" w:eastAsia="Google Sans" w:hAnsi="Google Sans"/>
            <w:color w:val="1155cc"/>
            <w:sz w:val="24"/>
            <w:szCs w:val="24"/>
            <w:u w:val="single"/>
            <w:rtl w:val="0"/>
          </w:rPr>
          <w:t xml:space="preserve">control categories</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have this control in place? </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compliance checklist, refer to the information provided in the </w:t>
      </w:r>
      <w:hyperlink r:id="rId8">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compliance regulation, review the </w:t>
      </w:r>
      <w:hyperlink r:id="rId9">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reading.</w:t>
      </w:r>
    </w:p>
    <w:p w:rsidR="00000000" w:rsidDel="00000000" w:rsidP="00000000" w:rsidRDefault="00000000" w:rsidRPr="00000000" w14:paraId="0000003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C">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p>
    <w:p w:rsidR="00000000" w:rsidDel="00000000" w:rsidP="00000000" w:rsidRDefault="00000000" w:rsidRPr="00000000" w14:paraId="0000003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E">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3F">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0">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5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2">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6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4">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74">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5">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Recommendations :</w:t>
      </w:r>
      <w:r w:rsidDel="00000000" w:rsidR="00000000" w:rsidRPr="00000000">
        <w:rPr>
          <w:rFonts w:ascii="Google Sans" w:cs="Google Sans" w:eastAsia="Google Sans" w:hAnsi="Google Sans"/>
          <w:sz w:val="24"/>
          <w:szCs w:val="24"/>
          <w:rtl w:val="0"/>
        </w:rPr>
        <w:t xml:space="preserve">This section, outline recommendations related to controls and compliance needs that the IT manager can communicate to stakeholders to mitigate risks to assets and enhance Botium Toys' security posture. To achieve this, multiple controls must be implemented, including the principle of Least Privilege, disaster recovery plans, robust password policies, separation of duties, intrusion detection systems (IDS), ongoing management of legacy systems, encryption, and a secure password management system.                         </w:t>
      </w:r>
    </w:p>
    <w:p w:rsidR="00000000" w:rsidDel="00000000" w:rsidP="00000000" w:rsidRDefault="00000000" w:rsidRPr="00000000" w14:paraId="00000077">
      <w:pPr>
        <w:spacing w:after="240" w:before="24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close gaps in compliance, Botium Toys should adopt controls such as Least Privilege, separation of duties, and encryption. Additionally, the company should classify its assets appropriately to identify any further controls that may be necessary to strengthen its security posture and better safeguard sensitive information.</w:t>
      </w:r>
    </w:p>
    <w:p w:rsidR="00000000" w:rsidDel="00000000" w:rsidP="00000000" w:rsidRDefault="00000000" w:rsidRPr="00000000" w14:paraId="00000078">
      <w:pPr>
        <w:spacing w:after="200" w:line="360" w:lineRule="auto"/>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foundations-of-cybersecurity/supplement/xu4pr/controls-frameworks-and-compliance" TargetMode="External"/><Relationship Id="rId5" Type="http://schemas.openxmlformats.org/officeDocument/2006/relationships/styles" Target="styles.xml"/><Relationship Id="rId6" Type="http://schemas.openxmlformats.org/officeDocument/2006/relationships/hyperlink" Target="https://docs.google.com/document/d/1s2u_RuhRAI40JSh-eZHvaFsV1ZMxcNSWXifHDTOsgFc/template/preview#heading=h.evidx83t54sc" TargetMode="External"/><Relationship Id="rId7" Type="http://schemas.openxmlformats.org/officeDocument/2006/relationships/hyperlink" Target="https://docs.google.com/document/d/1btezuy_bMKWoK8pd97ZuzdWB9y6au_zfkrpkfVf8ktI/template/preview" TargetMode="External"/><Relationship Id="rId8" Type="http://schemas.openxmlformats.org/officeDocument/2006/relationships/hyperlink" Target="https://docs.google.com/document/d/1s2u_RuhRAI40JSh-eZHvaFsV1ZMxcNSWXifHDTOsgFc/template/previe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