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t>C. Financial Monitoring &amp; Documentation The system visualizes budget utilization progress (Planned vs. Actual). Data regarding payments and acts of completed works are imported via XLS files, enabling dynamic charts and payment timelines. Payment and advance records are classified by purpose: works, equipment, technical supervision, or engineer-consultant contracts. All financial charts are displayed in EUR. When a UAH financial record is saved, OMS retrieves the official daily NBU EUR rate for the act date, calculates the EUR equivalent and permanently stores the rate, effective date and converted amount with that record.</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Invoices, acts, payments and advances; payment_purpose is works or equipment</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Financial chart values are aggregated from stored EUR equivalents;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t>GET /dashboard. Required active account role: viewer, inspector, project_manager or admin. Anonymous Guest sessions cannot access the dashboard. Returns permitted project, inspection, financial and procurement analytics: monthly project starts, subproject funding by oblast, subproject completion, monthly act payments in EUR, equipment payments in EUR, procurement-status counts, signed-construction-contract counts, monthly SIR counts and monthly ESHS finding counts.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the project-start chart counts subprojects by work start month. Approved funding is the subproject contract amount, falling back to its planned budget, grouped visually by oblast. Subproject completion is the sum of completed-work acts for the subproject and its parts divided by its contract amount. Monthly act payments are grouped by payment date (or act date when no payment date is recorded).</w:t>
      </w:r>
    </w:p>
    <w:p>
      <w:pPr/>
      <w:r>
        <w:t>The dashboard uses live aggregated API data and refreshes after project, report, financial-record or procurement changes. Every analytic widget has an empty state. Individual subproject funding and completion bars open the corresponding project-detail page. Recent audit activity is shown in Administration rather than on the dashboard.</w:t>
      </w:r>
    </w:p>
    <w:p>
      <w:pPr/>
      <w:r>
        <w:t>Dashboard financial and procurement analytics: the dashboard presents monthly agreed-act payments in EUR, approved subproject funding by oblast, subproject completion, and the number of subprojects in each procurement status. The Financial Monitoring module additionally presents monthly payments in EUR for equipment, technical supervision, and engineer-consultant contracts. For UAH records, the EUR amount is calculated at save time as UAH divided by the official NBU EUR rate for the act date; the applied rate, its effective date and the EUR-cent amount are stored and never recalculated for historical charts.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 standalone KPI-card strip in the current MVP. The dashboard uses live analytical cards and a last-inspection photo slider.</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Not displayed on the dashboard; recent audit activity is available in Administration.</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project-start chart: number of subprojects by work start month.</w:t>
            </w:r>
          </w:p>
        </w:tc>
      </w:tr>
      <w:tr>
        <w:tc>
          <w:tcPr>
            <w:tcW w:type="dxa" w:w="3000"/>
          </w:tcPr>
          <w:p>
            <w:r>
              <w:t>Inspection reports chart</w:t>
            </w:r>
          </w:p>
        </w:tc>
        <w:tc>
          <w:tcPr>
            <w:tcW w:type="dxa" w:w="6360"/>
          </w:tcPr>
          <w:p>
            <w:r>
              <w:t>Available on the Inspection Reports screen: monthly SIR count and monthly ESHS finding count.</w:t>
            </w:r>
          </w:p>
        </w:tc>
      </w:tr>
      <w:tr>
        <w:tc>
          <w:tcPr>
            <w:tcW w:type="dxa" w:w="3000"/>
          </w:tcPr>
          <w:p>
            <w:r>
              <w:t>Regional chart</w:t>
            </w:r>
          </w:p>
        </w:tc>
        <w:tc>
          <w:tcPr>
            <w:tcW w:type="dxa" w:w="6360"/>
          </w:tcPr>
          <w:p>
            <w:r>
              <w:t>Approved funding by oblast. Each subproject has its own shade and amount; clicking its bar opens the subproject detail.</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Monthly agreed-act payments, subproject completion (acts ÷ contract amount), and procurement status by unique subproject. Widgets refresh from live API data after related mutations.</w:t>
            </w:r>
          </w:p>
        </w:tc>
      </w:tr>
      <w:tr>
        <w:tc>
          <w:tcPr>
            <w:tcW w:type="dxa" w:w="3000"/>
          </w:tcPr>
          <w:p>
            <w:r>
              <w:t>Data states</w:t>
            </w:r>
          </w:p>
        </w:tc>
        <w:tc>
          <w:tcPr>
            <w:tcW w:type="dxa" w:w="6360"/>
          </w:tcPr>
          <w:p>
            <w:r>
              <w:t>Every widget displays an empty state when no data exists.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pPr>
        <w:pStyle w:val="3"/>
      </w:pPr>
      <w:r>
        <w:t>4.1.3.3 Project Create / Edit Contract and Currency Fields</w:t>
      </w:r>
    </w:p>
    <w:p>
      <w:r>
        <w:t>The create and edit views use one shared field definition and three primary light-background sections with Material icons: General information, Designer information, and Construction contractor information.</w:t>
      </w:r>
    </w:p>
    <w:p>
      <w:pPr/>
      <w:r>
        <w:t>Designer fields. Designer name, contract number, contract date, and a free-text design term.</w:t>
      </w:r>
    </w:p>
    <w:p>
      <w:pPr/>
      <w:r>
        <w:t>Construction contractor fields. Contractor name, contract number, contract date, construction start date, planned completion date, and construction-contract amount.</w:t>
      </w:r>
    </w:p>
    <w:p>
      <w:pPr/>
      <w:r>
        <w:t>Currency entry. Every monetary field independently supports EUR and UAH; EUR is the default for new values. The form displays and permits editing of the opposite-currency equivalent and the UAH-per-EUR rate.</w:t>
      </w:r>
    </w:p>
    <w:p>
      <w:pPr/>
      <w:r>
        <w:t>Rate snapshot. The official NBU EUR rate for the current Kyiv date is loaded by default. The saved snapshot contains the source amount/currency, converted amount, rate, effective rate date, and a manual-edit flag. Previously saved snapshots retain their historical rate unless the user explicitly refreshes it.</w:t>
      </w:r>
    </w:p>
    <w:p>
      <w:pPr/>
      <w:r>
        <w:t>Compatibility. Exact values use decimal storage. Existing whole-UAH project totals remain compatibility projections used by current aggregate calculations.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r>
        <w:tc>
          <w:tcPr>
            <w:tcW w:type="dxa" w:w="3000"/>
          </w:tcPr>
          <w:p>
            <w:r>
              <w:t>Purpose</w:t>
            </w:r>
          </w:p>
        </w:tc>
        <w:tc>
          <w:tcPr>
            <w:tcW w:type="dxa" w:w="6360"/>
          </w:tcPr>
          <w:p>
            <w:r>
              <w:t>Management of all site inspection reports (SIR). The chart header occupies the upper part of the screen and the sortable/filterable report list follows below.</w:t>
            </w:r>
          </w:p>
        </w:tc>
      </w:tr>
      <w:tr>
        <w:tc>
          <w:tcPr>
            <w:tcW w:type="dxa" w:w="3000"/>
          </w:tcPr>
          <w:p>
            <w:r>
              <w:t>Analytics header</w:t>
            </w:r>
          </w:p>
        </w:tc>
        <w:tc>
          <w:tcPr>
            <w:tcW w:type="dxa" w:w="6360"/>
          </w:tcPr>
          <w:p>
            <w:r>
              <w:t>Two horizontal cards: Number of inspections (month → SIR count) and Number of ESHS violations (month → count of ESHS/HSE finding categories).</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Bar chart of payments and advances by month. Values are EUR equivalents stored with each financial record at save time.</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a light, scrollable editor (PM/Admin only). Saving a UAH record retrieves the official NBU EUR rate for its record date and stores the EUR equivalent, rate and rate date.</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file picker. XLS/XLSX imports and exports support the optional payment_purpose column (works|equipment); omitted values default to works.</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r>
        <w:tc>
          <w:tcPr>
            <w:tcW w:type="dxa" w:w="3000"/>
          </w:tcPr>
          <w:p>
            <w:r>
              <w:t>Chart: equipment procurement</w:t>
            </w:r>
          </w:p>
        </w:tc>
        <w:tc>
          <w:tcPr>
            <w:tcW w:type="dxa" w:w="6360"/>
          </w:tcPr>
          <w:p>
            <w:r>
              <w:t>Bar chart of payments and advances with payment_purpose=equipment, grouped by month and displayed in EUR.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The dashboard uses live backend project, inspection, financial and procurement aggregates. It provides start-month, approved-funding-by-oblast, subproject-completion, procurement-status and monthly-act-payment charts, followed by the last-inspection photo slider. Individual subproject bars open the relevant project detail. Recent audit activity is displayed in Administration. The dashboard content has explicit mouse-accessible Up/Down scroll controls and keyboard navigation: Arrow Up/Down, Page Up/Page Down, Home and End.</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 The screen places monthly SIR and ESHS-finding charts above the report list.</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 live vertical monthly payments chart; and dedicated monthly charts for equipment procurement, technical supervision, and engineer-consultant contract payments. Payment and advance records require one of the business purposes Works, Equipment, Technical Supervision, or Engineer-consultant; imports and exports include the payment_purpose column. Financial charts are always shown in EUR. Saving a UAH record obtains the official NBU EUR rate for its record (act) date and stores eur_exchange_rate, eur_exchange_date and amount_eur_cents with the record.</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in Administration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Customer analytics delivered: dashboard funding, completion, procurement and monthly act-payment charts; Inspection Reports monthly SIR and ESHS charts; Financial Monitoring monthly equipment-payment, technical-supervision-payment, and engineer-consultant-payment charts; and Procurement status and signed-contract charts. A dashboard mini-map remains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aggregated backend project, inspection, financial, procurement and audit data. The Web UI provides project-start, funding-by-oblast, completion, procurement-status and financial visualisations;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a Works/Equipment/Technical Supervision/Engineer-consultant payment-purpose classification, per-project summaries, monthly payment charts, and monthly charts for equipment procurement, technical supervision, and engineer-consultant contract payments. Financial charts use the frozen stored EUR equivalent: EUR records use rate 1; UAH records are converted using the official NBU EUR rate for the record date.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p>
      <w:r>
        <w:br w:type="page"/>
      </w:r>
    </w:p>
    <w:p>
      <w:pPr>
        <w:pStyle w:val="1"/>
      </w:pPr>
      <w:r>
        <w:t>Appendix A - URP III Operational Data Baseline</w:t>
      </w:r>
    </w:p>
    <w:p>
      <w:r>
        <w:t>This appendix is normative for the current Phase 1 operational dataset and supersedes prototype/demo-data assumptions elsewhere in this specification. The Ukrainian copy is not maintained as a separate source; this English specification remains authoritative.</w:t>
      </w:r>
    </w:p>
    <w:p>
      <w:pPr>
        <w:pStyle w:val="2"/>
      </w:pPr>
      <w:r>
        <w:t>A.1 Authoritative programme</w:t>
      </w:r>
    </w:p>
    <w:tbl>
      <w:tblPr>
        <w:tblW w:type="auto" w:w="0"/>
        <w:tblLayout w:type="fixed"/>
        <w:tblLook w:firstColumn="1" w:firstRow="1" w:lastColumn="0" w:lastRow="0" w:noHBand="0" w:noVBand="1" w:val="04A0"/>
      </w:tblPr>
      <w:tblGrid>
        <w:gridCol w:w="5040"/>
        <w:gridCol w:w="5040"/>
      </w:tblGrid>
      <w:tr>
        <w:tc>
          <w:tcPr>
            <w:tcW w:type="dxa" w:w="3024"/>
            <w:vAlign w:val="center"/>
          </w:tcPr>
          <w:p>
            <w:r>
              <w:rPr>
                <w:b/>
              </w:rPr>
              <w:t>Programme</w:t>
            </w:r>
          </w:p>
        </w:tc>
        <w:tc>
          <w:tcPr>
            <w:tcW w:type="dxa" w:w="6336"/>
            <w:vAlign w:val="center"/>
          </w:tcPr>
          <w:p>
            <w:r>
              <w:t>Ukraine Recovery Programme III</w:t>
            </w:r>
          </w:p>
        </w:tc>
      </w:tr>
      <w:tr>
        <w:tc>
          <w:tcPr>
            <w:tcW w:type="dxa" w:w="3024"/>
            <w:vAlign w:val="center"/>
          </w:tcPr>
          <w:p>
            <w:r>
              <w:rPr>
                <w:b/>
              </w:rPr>
              <w:t>Implementor</w:t>
            </w:r>
          </w:p>
        </w:tc>
        <w:tc>
          <w:tcPr>
            <w:tcW w:type="dxa" w:w="6336"/>
            <w:vAlign w:val="center"/>
          </w:tcPr>
          <w:p>
            <w:r>
              <w:t>Ministry for Development of Communities and Territories of Ukraine</w:t>
            </w:r>
          </w:p>
        </w:tc>
      </w:tr>
      <w:tr>
        <w:tc>
          <w:tcPr>
            <w:tcW w:type="dxa" w:w="3024"/>
            <w:vAlign w:val="center"/>
          </w:tcPr>
          <w:p>
            <w:r>
              <w:rPr>
                <w:b/>
              </w:rPr>
              <w:t>Financing institution</w:t>
            </w:r>
          </w:p>
        </w:tc>
        <w:tc>
          <w:tcPr>
            <w:tcW w:type="dxa" w:w="6336"/>
            <w:vAlign w:val="center"/>
          </w:tcPr>
          <w:p>
            <w:r>
              <w:t>European Investment Bank</w:t>
            </w:r>
          </w:p>
        </w:tc>
      </w:tr>
      <w:tr>
        <w:tc>
          <w:tcPr>
            <w:tcW w:type="dxa" w:w="3024"/>
            <w:vAlign w:val="center"/>
          </w:tcPr>
          <w:p>
            <w:r>
              <w:rPr>
                <w:b/>
              </w:rPr>
              <w:t>Finance contract</w:t>
            </w:r>
          </w:p>
        </w:tc>
        <w:tc>
          <w:tcPr>
            <w:tcW w:type="dxa" w:w="6336"/>
            <w:vAlign w:val="center"/>
          </w:tcPr>
          <w:p>
            <w:r>
              <w:t>EIB FI 97043</w:t>
            </w:r>
          </w:p>
        </w:tc>
      </w:tr>
      <w:tr>
        <w:tc>
          <w:tcPr>
            <w:tcW w:type="dxa" w:w="3024"/>
            <w:vAlign w:val="center"/>
          </w:tcPr>
          <w:p>
            <w:r>
              <w:rPr>
                <w:b/>
              </w:rPr>
              <w:t>Serapis</w:t>
            </w:r>
          </w:p>
        </w:tc>
        <w:tc>
          <w:tcPr>
            <w:tcW w:type="dxa" w:w="6336"/>
            <w:vAlign w:val="center"/>
          </w:tcPr>
          <w:p>
            <w:r>
              <w:t>2023-0227</w:t>
            </w:r>
          </w:p>
        </w:tc>
      </w:tr>
      <w:tr>
        <w:tc>
          <w:tcPr>
            <w:tcW w:type="dxa" w:w="3024"/>
            <w:vAlign w:val="center"/>
          </w:tcPr>
          <w:p>
            <w:r>
              <w:rPr>
                <w:b/>
              </w:rPr>
              <w:t>Agreement date</w:t>
            </w:r>
          </w:p>
        </w:tc>
        <w:tc>
          <w:tcPr>
            <w:tcW w:type="dxa" w:w="6336"/>
            <w:vAlign w:val="center"/>
          </w:tcPr>
          <w:p>
            <w:r>
              <w:t>11 June 2024</w:t>
            </w:r>
          </w:p>
        </w:tc>
      </w:tr>
      <w:tr>
        <w:tc>
          <w:tcPr>
            <w:tcW w:type="dxa" w:w="3024"/>
            <w:vAlign w:val="center"/>
          </w:tcPr>
          <w:p>
            <w:r>
              <w:rPr>
                <w:b/>
              </w:rPr>
              <w:t>Loan amount</w:t>
            </w:r>
          </w:p>
        </w:tc>
        <w:tc>
          <w:tcPr>
            <w:tcW w:type="dxa" w:w="6336"/>
            <w:vAlign w:val="center"/>
          </w:tcPr>
          <w:p>
            <w:r>
              <w:t>EUR 100,000,000</w:t>
            </w:r>
          </w:p>
        </w:tc>
      </w:tr>
      <w:tr>
        <w:tc>
          <w:tcPr>
            <w:tcW w:type="dxa" w:w="3024"/>
            <w:vAlign w:val="center"/>
          </w:tcPr>
          <w:p>
            <w:r>
              <w:rPr>
                <w:b/>
              </w:rPr>
              <w:t>Operational hierarchy</w:t>
            </w:r>
          </w:p>
        </w:tc>
        <w:tc>
          <w:tcPr>
            <w:tcW w:type="dxa" w:w="6336"/>
            <w:vAlign w:val="center"/>
          </w:tcPr>
          <w:p>
            <w:r>
              <w:t>1 programme -&gt; 134 subprojects -&gt; 0 subproject parts</w:t>
            </w:r>
          </w:p>
        </w:tc>
      </w:tr>
    </w:tbl>
    <w:p>
      <w:pPr>
        <w:pStyle w:val="2"/>
      </w:pPr>
      <w:r>
        <w:t>A.2 Source and deterministic import</w:t>
      </w:r>
    </w:p>
    <w:p>
      <w:r>
        <w:t>DB_Monitoring table.xlsx is the primary source. Tranche A + B selected.xlsx is a supplementary source for programme and procurement-plan facts. The checked-in generator tools/generate_urp3_seed.py produces canonical UTF-8 JSON and SQL with stable UUIDs.</w:t>
      </w:r>
    </w:p>
    <w:p>
      <w:r>
        <w:rPr>
          <w:b/>
        </w:rPr>
        <w:t xml:space="preserve">Mapping: </w:t>
      </w:r>
      <w:r>
        <w:t>One logical monitoring record is one OMS subproject.</w:t>
      </w:r>
    </w:p>
    <w:p>
      <w:r>
        <w:rPr>
          <w:b/>
        </w:rPr>
        <w:t xml:space="preserve">Result: </w:t>
      </w:r>
      <w:r>
        <w:t>136 physical rows produce 134 logical subprojects.</w:t>
      </w:r>
    </w:p>
    <w:p>
      <w:r>
        <w:rPr>
          <w:b/>
        </w:rPr>
        <w:t xml:space="preserve">Deduplication: </w:t>
      </w:r>
      <w:r>
        <w:t>Duplicate source rows SM08_09 and KH08_07#Lot6 are merged by stable lot ID.</w:t>
      </w:r>
    </w:p>
    <w:p>
      <w:r>
        <w:rPr>
          <w:b/>
        </w:rPr>
        <w:t xml:space="preserve">No fabrication: </w:t>
      </w:r>
      <w:r>
        <w:t>No inspections, financial transactions, documents or subproject parts are fabricated.</w:t>
      </w:r>
    </w:p>
    <w:p>
      <w:r>
        <w:t>Unknown values: Unknown values are nullable. Confirmed addresses use address coordinates; otherwise the settlement is used, with the relevant oblast centre reserved as a final explicit fallback and the accuracy is recorded.</w:t>
      </w:r>
    </w:p>
    <w:p>
      <w:pPr>
        <w:pStyle w:val="2"/>
      </w:pPr>
      <w:r>
        <w:t>A.3 Data model alignment</w:t>
      </w:r>
    </w:p>
    <w:tbl>
      <w:tblPr>
        <w:tblW w:type="auto" w:w="0"/>
        <w:tblLook w:firstColumn="1" w:firstRow="1" w:lastColumn="0" w:lastRow="0" w:noHBand="0" w:noVBand="1" w:val="04A0"/>
      </w:tblPr>
      <w:tblGrid>
        <w:gridCol w:w="3360"/>
        <w:gridCol w:w="3360"/>
        <w:gridCol w:w="3360"/>
      </w:tblGrid>
      <w:tr>
        <w:trPr>
          <w:tblHeader/>
          <w:tblHeader/>
          <w:tblHeader/>
        </w:trPr>
        <w:tc>
          <w:tcPr>
            <w:tcW w:type="dxa" w:w="3360"/>
          </w:tcPr>
          <w:p>
            <w:r>
              <w:rPr>
                <w:b/>
              </w:rPr>
              <w:t>Structure</w:t>
            </w:r>
          </w:p>
        </w:tc>
        <w:tc>
          <w:tcPr>
            <w:tcW w:type="dxa" w:w="3360"/>
          </w:tcPr>
          <w:p>
            <w:r>
              <w:rPr>
                <w:b/>
              </w:rPr>
              <w:t>Purpose</w:t>
            </w:r>
          </w:p>
        </w:tc>
        <w:tc>
          <w:tcPr>
            <w:tcW w:type="dxa" w:w="3360"/>
          </w:tcPr>
          <w:p>
            <w:r>
              <w:rPr>
                <w:b/>
              </w:rPr>
              <w:t>Key content</w:t>
            </w:r>
          </w:p>
        </w:tc>
      </w:tr>
      <w:tr>
        <w:tc>
          <w:tcPr>
            <w:tcW w:type="dxa" w:w="3360"/>
            <w:vAlign w:val="center"/>
          </w:tcPr>
          <w:p>
            <w:r>
              <w:t>projects</w:t>
            </w:r>
          </w:p>
        </w:tc>
        <w:tc>
          <w:tcPr>
            <w:tcW w:type="dxa" w:w="3360"/>
            <w:vAlign w:val="center"/>
          </w:tcPr>
          <w:p>
            <w:r>
              <w:t>Hierarchy and reusable OMS project concepts</w:t>
            </w:r>
          </w:p>
        </w:tc>
        <w:tc>
          <w:tcPr>
            <w:tcW w:type="dxa" w:w="3360"/>
            <w:vAlign w:val="center"/>
          </w:tcPr>
          <w:p>
            <w:r>
              <w:t>Programme/subproject type, parent, name/code, status, nullable location, contracts and dates</w:t>
            </w:r>
          </w:p>
        </w:tc>
      </w:tr>
      <w:tr>
        <w:tc>
          <w:tcPr>
            <w:tcW w:type="dxa" w:w="3360"/>
            <w:vAlign w:val="center"/>
          </w:tcPr>
          <w:p>
            <w:r>
              <w:t>programme_details</w:t>
            </w:r>
          </w:p>
        </w:tc>
        <w:tc>
          <w:tcPr>
            <w:tcW w:type="dxa" w:w="3360"/>
            <w:vAlign w:val="center"/>
          </w:tcPr>
          <w:p>
            <w:r>
              <w:t>One-to-one programme agreement facts</w:t>
            </w:r>
          </w:p>
        </w:tc>
        <w:tc>
          <w:tcPr>
            <w:tcW w:type="dxa" w:w="3360"/>
            <w:vAlign w:val="center"/>
          </w:tcPr>
          <w:p>
            <w:r>
              <w:t>Implementor, EIB/Serapis identifiers, agreement date, loan amount and provenance</w:t>
            </w:r>
          </w:p>
        </w:tc>
      </w:tr>
      <w:tr>
        <w:tc>
          <w:tcPr>
            <w:tcW w:type="dxa" w:w="3360"/>
            <w:vAlign w:val="center"/>
          </w:tcPr>
          <w:p>
            <w:r>
              <w:t>project_monitoring_details</w:t>
            </w:r>
          </w:p>
        </w:tc>
        <w:tc>
          <w:tcPr>
            <w:tcW w:type="dxa" w:w="3360"/>
            <w:vAlign w:val="center"/>
          </w:tcPr>
          <w:p>
            <w:r>
              <w:t>One-to-one source monitoring metadata</w:t>
            </w:r>
          </w:p>
        </w:tc>
        <w:tc>
          <w:tcPr>
            <w:tcW w:type="dxa" w:w="3360"/>
            <w:vAlign w:val="center"/>
          </w:tcPr>
          <w:p>
            <w:r>
              <w:t>Stable source/lot IDs, bilingual names, municipality, beneficiary, DREAM/application identifiers and source statuses</w:t>
            </w:r>
          </w:p>
        </w:tc>
      </w:tr>
      <w:tr>
        <w:tc>
          <w:tcPr>
            <w:tcW w:type="dxa" w:w="3360"/>
            <w:vAlign w:val="center"/>
          </w:tcPr>
          <w:p>
            <w:r>
              <w:t>project_amounts</w:t>
            </w:r>
          </w:p>
        </w:tc>
        <w:tc>
          <w:tcPr>
            <w:tcW w:type="dxa" w:w="3360"/>
            <w:vAlign w:val="center"/>
          </w:tcPr>
          <w:p>
            <w:r>
              <w:t>Exact monetary snapshots</w:t>
            </w:r>
          </w:p>
        </w:tc>
        <w:tc>
          <w:tcPr>
            <w:tcW w:type="dxa" w:w="3360"/>
            <w:vAlign w:val="center"/>
          </w:tcPr>
          <w:p>
            <w:r>
              <w:t>Source amount/currency, converted amount, UAH-per-EUR rate and rate date</w:t>
            </w:r>
          </w:p>
        </w:tc>
      </w:tr>
      <w:tr>
        <w:tc>
          <w:tcPr>
            <w:tcW w:type="dxa" w:w="3360"/>
            <w:vAlign w:val="center"/>
          </w:tcPr>
          <w:p>
            <w:r>
              <w:t>procurement_records</w:t>
            </w:r>
          </w:p>
        </w:tc>
        <w:tc>
          <w:tcPr>
            <w:tcW w:type="dxa" w:w="3360"/>
            <w:vAlign w:val="center"/>
          </w:tcPr>
          <w:p>
            <w:r>
              <w:t>Source-backed procurement state</w:t>
            </w:r>
          </w:p>
        </w:tc>
        <w:tc>
          <w:tcPr>
            <w:tcW w:type="dxa" w:w="3360"/>
            <w:vAlign w:val="center"/>
          </w:tcPr>
          <w:p>
            <w:r>
              <w:t>Owning subproject, contract type, method, planned tender/contract dates, comments and contract facts</w:t>
            </w:r>
          </w:p>
        </w:tc>
      </w:tr>
    </w:tbl>
    <w:p>
      <w:pPr>
        <w:pStyle w:val="2"/>
      </w:pPr>
      <w:r>
        <w:t>A.4 Migration and preservation rule</w:t>
      </w:r>
    </w:p>
    <w:p>
      <w:r>
        <w:t>Flyway V38 is an intentional operational-data replacement boundary. Before deployment, back up the database and upload storage. The migration deletes project-linked operational records and loads the canonical URP III dataset, while preserving users, password hashes, roles, account state and authentication data required for existing credentials to continue working.</w:t>
      </w:r>
    </w:p>
    <w:p>
      <w:r>
        <w:t>The map displays subprojects and subproject parts using verified address coordinates, settlement coordinates or an explicitly labelled oblast-centre fallback. All existing CRUD modules and the three-level hierarchy remain available.</w:t>
      </w:r>
    </w:p>
    <w:p>
      <w:r>
        <w:br w:type="page"/>
      </w:r>
    </w:p>
    <w:p>
      <w:pPr>
        <w:pStyle w:val="1"/>
      </w:pPr>
      <w:r>
        <w:t>Appendix B - UMITAF UI and Data Clarifications</w:t>
      </w:r>
    </w:p>
    <w:p>
      <w:r>
        <w:t>This appendix records the accepted UMITAF review comments for the Phase 1 MVP. It is normative and supersedes conflicting prototype UI descriptions.</w:t>
      </w:r>
    </w:p>
    <w:p>
      <w:pPr>
        <w:pStyle w:val="2"/>
      </w:pPr>
      <w:r>
        <w:t>B.1 Navigation and interaction</w:t>
      </w:r>
    </w:p>
    <w:p>
      <w:r>
        <w:t>• The web client maintains browser history for screen navigation. Browser Back returns to the previous OMS screen without resetting the authenticated session.</w:t>
      </w:r>
    </w:p>
    <w:p>
      <w:r>
        <w:t>• Selecting the already active Map navigation item resets the map to the Ukraine-wide overview.</w:t>
      </w:r>
    </w:p>
    <w:p>
      <w:r>
        <w:t>• Interactive navigation items, tabs, links and icon actions use a pointer cursor and expose accessible labels or tooltips.</w:t>
      </w:r>
    </w:p>
    <w:p>
      <w:pPr>
        <w:pStyle w:val="2"/>
      </w:pPr>
      <w:r>
        <w:t>B.2 Project details</w:t>
      </w:r>
    </w:p>
    <w:p>
      <w:r>
        <w:t>• General information begins with the customer-facing project, subproject or subproject-part name, followed by location data.</w:t>
      </w:r>
    </w:p>
    <w:p>
      <w:r>
        <w:t>• Project detail sections are independently collapsible and use explicit expand/collapse icons.</w:t>
      </w:r>
    </w:p>
    <w:p>
      <w:r>
        <w:t>• For records with coordinates, the location section provides an OpenStreetMap URL that can be opened or copied.</w:t>
      </w:r>
    </w:p>
    <w:p>
      <w:pPr>
        <w:pStyle w:val="2"/>
      </w:pPr>
      <w:r>
        <w:t>B.3 Analytics and tables</w:t>
      </w:r>
    </w:p>
    <w:p>
      <w:r>
        <w:t>• Approved funding by oblast and subproject completion use horizontally scrollable vertical bar charts with separate controls.</w:t>
      </w:r>
    </w:p>
    <w:p>
      <w:r>
        <w:t>• Procurement status includes every configured status, including zero values, and is rendered as a vertically readable list.</w:t>
      </w:r>
    </w:p>
    <w:p>
      <w:r>
        <w:t>• Inspection-report and financial-record empty states fit the available width and do not show a redundant horizontal scrollbar.</w:t>
      </w:r>
    </w:p>
    <w:p>
      <w:r>
        <w:t>• The procurement register supports 20, 50, 100 or all rows per page, Previous/Next navigation, sticky column headings and horizontal scrolling only for populated wide tables.</w:t>
      </w:r>
    </w:p>
    <w:p>
      <w:pPr>
        <w:pStyle w:val="2"/>
      </w:pPr>
      <w:r>
        <w:t>B.4 Localisation</w:t>
      </w:r>
    </w:p>
    <w:p>
      <w:r>
        <w:t>• Imported bilingual monitoring fields are selected according to the active UI language. The English UI prefers English project, settlement, municipality, beneficiary, project-manager and contractor names when supplied; the Ukrainian UI prefers Ukrainian values.</w:t>
      </w:r>
    </w:p>
    <w:p>
      <w:r>
        <w:t>• Procurement status values are displayed in one language only, according to the active UI language.</w:t>
      </w:r>
    </w:p>
    <w:p>
      <w:pPr>
        <w:pStyle w:val="2"/>
      </w:pPr>
      <w:r>
        <w:t>B.5 Map data quality</w:t>
      </w:r>
    </w:p>
    <w:p>
      <w:r>
        <w:t>• Map popups use an opaque high-contrast background, stay inside the map viewport and auto-pan when necessary.</w:t>
      </w:r>
    </w:p>
    <w:p>
      <w:r>
        <w:t>• Each imported subproject is geocoded once and the result is persisted. A confirmed street address is preferred; otherwise the settlement coordinate is used; only when the settlement cannot be resolved is the relevant oblast centre used as an explicit fallback.</w:t>
      </w:r>
    </w:p>
    <w:p>
      <w:r>
        <w:t>• The checked-in URP III baseline contains 134 resolved subprojects and records geocode accuracy, query, provider display name and OpenStreetMap provenance for auditability.</w:t>
      </w:r>
    </w:p>
    <w:p>
      <w:pPr>
        <w:pStyle w:val="2"/>
      </w:pPr>
      <w:r>
        <w:t>B.6 Financial terminology</w:t>
      </w:r>
    </w:p>
    <w:p>
      <w:r>
        <w:t>• Disbursement means programme financing allocated to screened projects and is not a synonym for money paid under certified acts.</w:t>
      </w:r>
    </w:p>
    <w:p>
      <w:r>
        <w:t>• The act-based monthly chart is labelled Payments against certified works by month. It aggregates actual act/payment data converted to EUR using the stored exchange rate for the financial-record date.</w:t>
      </w:r>
    </w:p>
    <w:p>
      <w:r>
        <w:t>• Allocated/disbursed programme funding and actual payments must remain separate datasets and visualisations; the system must not infer one from the other.</w:t>
      </w:r>
    </w:p>
    <w:p>
      <w:pPr>
        <w:pStyle w:val="2"/>
      </w:pPr>
      <w:r>
        <w:t>B.7 Inspection registry performance</w:t>
      </w:r>
    </w:p>
    <w:p>
      <w:r>
        <w:t>GET /inspection-reports/analytics is the dedicated authenticated endpoint for the inspection registry charts. It returns only monthly inspection counts and monthly ES/HS finding counts, scoped to the caller's permitted projects.</w:t>
      </w:r>
    </w:p>
    <w:p>
      <w:r>
        <w:t>The inspection registry loads this lightweight endpoint instead of GET /dashboard. Dashboard reads are side-effect free: they must not backfill financial EUR equivalents, recalculate exchange rates or call an external rate provider. EUR conversion is stored when a financial record is created or updated.</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