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t>C. Financial Monitoring &amp; Documentation The system visualizes budget utilization progress (Planned vs. Actual). Data regarding payments and acts of completed works are imported via XLS files, enabling dynamic charts and payment timelines. Payment and advance records are classified by purpose: works or equipment. All financial charts are displayed in EUR. When a UAH financial record is saved, OMS retrieves the official daily NBU EUR rate for the act date, calculates the EUR equivalent and permanently stores the rate, effective date and converted amount with that record.</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Invoices, acts, payments and advances; payment_purpose is works or equipment</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Financial chart values are aggregated from stored EUR equivalents;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r>
        <w:t>POST /auth/guest</w:t>
        <w:br/>
        <w:t>Creates an anonymous browser session for public read-only access. No username, password or user record is required. Response 204 No Content.</w:t>
      </w: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t>GET /dashboard. Required active account role: viewer, inspector, project_manager or admin. Anonymous Guest sessions cannot access the dashboard. Returns permitted project, inspection, financial and procurement analytics: monthly project starts, subproject funding by oblast, subproject completion, monthly act payments in EUR, equipment payments in EUR, procurement-status counts, signed-construction-contract counts, monthly SIR counts and monthly ESHS finding counts.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is available to authenticated active accounts and anonymous Guest sessions created through POST /auth/guest. Guests may view only the public map, project registry and project general-information card; no mutation, dashboard, reports, documents, financials, procurement or administration endpoint is available to them. Status filtering, marker clustering and popups are applied by the web client.</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the project-start chart counts subprojects by work start month. Approved funding is the subproject contract amount, falling back to its planned budget, grouped visually by oblast. Subproject completion is the sum of completed-work acts for the subproject and its parts divided by its contract amount. Monthly act payments are grouped by payment date (or act date when no payment date is recorded).</w:t>
      </w:r>
    </w:p>
    <w:p>
      <w:pPr/>
      <w:r>
        <w:t>The dashboard uses live aggregated API data and refreshes after project, report, financial-record or procurement changes. Every analytic widget has an empty state. Individual subproject funding and completion bars open the corresponding project-detail page. Recent audit activity is shown in Administration rather than on the dashboard.</w:t>
      </w:r>
    </w:p>
    <w:p>
      <w:pPr/>
      <w:r>
        <w:t>Dashboard financial and procurement analytics: the dashboard presents monthly agreed-act payments in EUR, approved subproject funding by oblast, subproject completion, and the number of subprojects in each procurement status. The Financial Monitoring module additionally presents monthly equipment payments in EUR. For UAH records, the EUR amount is calculated at save time as UAH divided by the official NBU EUR rate for the act date; the applied rate, its effective date and the EUR-cent amount are stored and never recalculated for historical charts.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 standalone KPI-card strip in the current MVP. The dashboard uses live analytical cards and a last-inspection photo slider.</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Not displayed on the dashboard; recent audit activity is available in Administration.</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project-start chart: number of subprojects by work start month.</w:t>
            </w:r>
          </w:p>
        </w:tc>
      </w:tr>
      <w:tr>
        <w:tc>
          <w:tcPr>
            <w:tcW w:type="dxa" w:w="3000"/>
          </w:tcPr>
          <w:p>
            <w:r>
              <w:t>Inspection reports chart</w:t>
            </w:r>
          </w:p>
        </w:tc>
        <w:tc>
          <w:tcPr>
            <w:tcW w:type="dxa" w:w="6360"/>
          </w:tcPr>
          <w:p>
            <w:r>
              <w:t>Available on the Inspection Reports screen: monthly SIR count and monthly ESHS finding count.</w:t>
            </w:r>
          </w:p>
        </w:tc>
      </w:tr>
      <w:tr>
        <w:tc>
          <w:tcPr>
            <w:tcW w:type="dxa" w:w="3000"/>
          </w:tcPr>
          <w:p>
            <w:r>
              <w:t>Regional chart</w:t>
            </w:r>
          </w:p>
        </w:tc>
        <w:tc>
          <w:tcPr>
            <w:tcW w:type="dxa" w:w="6360"/>
          </w:tcPr>
          <w:p>
            <w:r>
              <w:t>Approved funding by oblast. Each subproject has its own shade and amount; clicking its bar opens the subproject detail.</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Monthly agreed-act payments, subproject completion (acts ÷ contract amount), and procurement status by unique subproject. Widgets refresh from live API data after related mutations.</w:t>
            </w:r>
          </w:p>
        </w:tc>
      </w:tr>
      <w:tr>
        <w:tc>
          <w:tcPr>
            <w:tcW w:type="dxa" w:w="3000"/>
          </w:tcPr>
          <w:p>
            <w:r>
              <w:t>Data states</w:t>
            </w:r>
          </w:p>
        </w:tc>
        <w:tc>
          <w:tcPr>
            <w:tcW w:type="dxa" w:w="6360"/>
          </w:tcPr>
          <w:p>
            <w:r>
              <w:t>Every widget displays an empty state when no data exists.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r>
        <w:tc>
          <w:tcPr>
            <w:tcW w:type="dxa" w:w="3000"/>
          </w:tcPr>
          <w:p>
            <w:r>
              <w:t>Purpose</w:t>
            </w:r>
          </w:p>
        </w:tc>
        <w:tc>
          <w:tcPr>
            <w:tcW w:type="dxa" w:w="6360"/>
          </w:tcPr>
          <w:p>
            <w:r>
              <w:t>Management of all site inspection reports (SIR). The chart header occupies the upper part of the screen and the sortable/filterable report list follows below.</w:t>
            </w:r>
          </w:p>
        </w:tc>
      </w:tr>
      <w:tr>
        <w:tc>
          <w:tcPr>
            <w:tcW w:type="dxa" w:w="3000"/>
          </w:tcPr>
          <w:p>
            <w:r>
              <w:t>Analytics header</w:t>
            </w:r>
          </w:p>
        </w:tc>
        <w:tc>
          <w:tcPr>
            <w:tcW w:type="dxa" w:w="6360"/>
          </w:tcPr>
          <w:p>
            <w:r>
              <w:t>Two horizontal cards: Number of inspections (month → SIR count) and Number of ESHS violations (month → count of ESHS/HSE finding categories).</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Bar chart of payments and advances by month. Values are EUR equivalents stored with each financial record at save time.</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a light, scrollable editor (PM/Admin only). Saving a UAH record retrieves the official NBU EUR rate for its record date and stores the EUR equivalent, rate and rate date.</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file picker. XLS/XLSX imports and exports support the optional payment_purpose column (works|equipment); omitted values default to works.</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r>
        <w:tc>
          <w:tcPr>
            <w:tcW w:type="dxa" w:w="3000"/>
          </w:tcPr>
          <w:p>
            <w:r>
              <w:t>Chart: equipment procurement</w:t>
            </w:r>
          </w:p>
        </w:tc>
        <w:tc>
          <w:tcPr>
            <w:tcW w:type="dxa" w:w="6360"/>
          </w:tcPr>
          <w:p>
            <w:r>
              <w:t>Bar chart of payments and advances with payment_purpose=equipment, grouped by month and displayed in EUR.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Database role codes are ADMIN, PROJECT_MANAGER, INSPECTOR, CONTRACTOR and VIEWER. V30 removes the former GUEST database role and migrates any historical Guest accounts to VIEWER. Guest access is an anonymous session mode, not a users-table record, and is never assignable in user administration.</w:t>
      </w:r>
    </w:p>
    <w:p>
      <w:pPr/>
      <w:r>
        <w:t>Every authenticated user has exactly one database role. Phase 1 roles are Admin, Project Manager, Inspector and Viewer; the legacy Contractor role is retained for compatibility. An anonymous Guest session has no user record and is outside the RBAC role list.</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the login page offers Continue as Guest. It creates an anonymous, read-only browser session without credentials. Guests may view the public map, project registry and general project information only; they cannot access dashboard, inspection reports, documents, financials, procurement, administration or any mutation.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Anonymous browser session, not a user role or account. View-only access to the public map, project registry and general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inspection reports, documents, financials, procurement and audit activity require an authenticated active user account and the module permission stated in the RBAC matrix. Anonymous Guest sessions are restricted server-side to public map and project-information endpoints. Viewer has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The dashboard uses live backend project, inspection, financial and procurement aggregates. It provides start-month, approved-funding-by-oblast, subproject-completion, procurement-status and monthly-act-payment charts, followed by the last-inspection photo slider. Individual subproject bars open the relevant project detail. Recent audit activity is displayed in Administration. The dashboard content has explicit mouse-accessible Up/Down scroll controls and keyboard navigation: Arrow Up/Down, Page Up/Page Down, Home and End.</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 The screen places monthly SIR and ESHS-finding charts above the report list.</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 live vertical monthly payments chart; and a dedicated monthly equipment-procurement chart. Payment and advance records require the business purpose Works or Equipment; imports and exports include the payment_purpose column. Financial charts are always shown in EUR. Saving a UAH record obtains the official NBU EUR rate for its record (act) date and stores eur_exchange_rate, eur_exchange_date and amount_eur_cents with the record.</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in Administration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Customer analytics delivered: dashboard funding, completion, procurement and monthly act-payment charts; Inspection Reports monthly SIR and ESHS charts; Financial Monitoring monthly equipment-payment chart; and Procurement status and signed-contract charts. A dashboard mini-map remains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Database roles are Admin, Project Manager, Inspector, Viewer and legacy Contractor. Guest is not a role or user account: the login page can create an anonymous browser session for read-only map, project-registry and general-project-information access. The server rejects Guest as a user role and V30 migrates historical Guest accounts to Viewer. Protected authenticated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aggregated backend project, inspection, financial, procurement and audit data. The Web UI provides project-start, funding-by-oblast, completion, procurement-status and financial visualisations;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a Works/Equipment payment-purpose classification, per-project summaries, monthly payment and monthly equipment-procurement charts. Financial charts use the frozen stored EUR equivalent: EUR records use rate 1; UAH records are converted using the official NBU EUR rate for the record date.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