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r>
              <w:t>MinIO/S3 adapter</w:t>
            </w:r>
          </w:p>
        </w:tc>
        <w:tc>
          <w:tcPr>
            <w:tcW w:w="0" w:type="auto"/>
            <w:vAlign w:val="center"/>
            <w:hideMark/>
          </w:tcPr>
          <w:p>
            <w:r>
              <w:t>Future object-storage adapter; not deployed in Phase 1.</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t>C. Financial Monitoring &amp; Documentation The system visualizes budget utilization progress (Planned vs. Actual). Data regarding payments and acts of completed works are imported via XLS files, enabling dynamic charts and payment timelines. Payment and advance records are classified by purpose: works, equipment, technical supervision, or engineer-consultant contracts. All financial charts are displayed in EUR. When a UAH financial record is saved, OMS retrieves the official daily NBU EUR rate for the act date, calculates the EUR equivalent and permanently stores the rate, effective date and converted amount with that record.</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t>Unified Codebase: shared Kotlin Multiplatform code supports the delivered Web client and provides an extension point for future Phase 2 mobile clients.</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Invoices, acts, payments and advances; payment_purpose is works or equipment</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description</w:t>
            </w:r>
          </w:p>
        </w:tc>
      </w:tr>
      <w:tr w:rsidR="00300078" w14:paraId="595324D3" w14:textId="77777777">
        <w:tc>
          <w:tcPr>
            <w:tcW w:w="633" w:type="dxa"/>
          </w:tcPr>
          <w:p>
            <w:r>
              <w:t>1</w:t>
            </w:r>
          </w:p>
        </w:tc>
        <w:tc>
          <w:tcPr>
            <w:tcW w:w="2487" w:type="dxa"/>
          </w:tcPr>
          <w:p>
            <w:r>
              <w:t>ADMIN</w:t>
            </w:r>
          </w:p>
        </w:tc>
        <w:tc>
          <w:tcPr>
            <w:tcW w:w="6950" w:type="dxa"/>
          </w:tcPr>
          <w:p>
            <w:r>
              <w:t>Full access to all modules and system settings</w:t>
            </w:r>
          </w:p>
        </w:tc>
      </w:tr>
      <w:tr w:rsidR="00300078" w14:paraId="24FC1034" w14:textId="77777777">
        <w:tc>
          <w:tcPr>
            <w:tcW w:w="633" w:type="dxa"/>
          </w:tcPr>
          <w:p>
            <w:r>
              <w:t>2</w:t>
            </w:r>
          </w:p>
        </w:tc>
        <w:tc>
          <w:tcPr>
            <w:tcW w:w="2487" w:type="dxa"/>
          </w:tcPr>
          <w:p>
            <w:r>
              <w:t>PROJECT_MANAGER</w:t>
            </w:r>
          </w:p>
        </w:tc>
        <w:tc>
          <w:tcPr>
            <w:tcW w:w="6950" w:type="dxa"/>
          </w:tcPr>
          <w:p>
            <w:r>
              <w:t>Manage only assigned projects, reports, documents and financial data; no user-management access</w:t>
            </w:r>
          </w:p>
        </w:tc>
      </w:tr>
      <w:tr w:rsidR="00300078" w14:paraId="5BCAD014" w14:textId="77777777">
        <w:tc>
          <w:tcPr>
            <w:tcW w:w="633" w:type="dxa"/>
          </w:tcPr>
          <w:p>
            <w:r>
              <w:t>3</w:t>
            </w:r>
          </w:p>
        </w:tc>
        <w:tc>
          <w:tcPr>
            <w:tcW w:w="2487" w:type="dxa"/>
          </w:tcPr>
          <w:p>
            <w:r>
              <w:t>INSPECTOR</w:t>
            </w:r>
          </w:p>
        </w:tc>
        <w:tc>
          <w:tcPr>
            <w:tcW w:w="6950" w:type="dxa"/>
          </w:tcPr>
          <w:p>
            <w:r>
              <w:t>Create and edit draft inspection reports</w:t>
            </w:r>
          </w:p>
        </w:tc>
      </w:tr>
      <w:tr w:rsidR="00300078" w14:paraId="63E56E2D" w14:textId="77777777">
        <w:tc>
          <w:tcPr>
            <w:tcW w:w="633" w:type="dxa"/>
          </w:tcPr>
          <w:p>
            <w:r>
              <w:t>4</w:t>
            </w:r>
          </w:p>
        </w:tc>
        <w:tc>
          <w:tcPr>
            <w:tcW w:w="2487" w:type="dxa"/>
          </w:tcPr>
          <w:p>
            <w:r>
              <w:t>CONTRACTOR</w:t>
            </w:r>
          </w:p>
        </w:tc>
        <w:tc>
          <w:tcPr>
            <w:tcW w:w="6950" w:type="dxa"/>
          </w:tcPr>
          <w:p>
            <w:r>
              <w:t>Legacy compatibility role</w:t>
            </w:r>
          </w:p>
        </w:tc>
      </w:tr>
      <w:tr w:rsidR="00300078" w14:paraId="6C139024" w14:textId="77777777">
        <w:tc>
          <w:tcPr>
            <w:tcW w:w="633" w:type="dxa"/>
          </w:tcPr>
          <w:p>
            <w:r>
              <w:t>5</w:t>
            </w:r>
          </w:p>
        </w:tc>
        <w:tc>
          <w:tcPr>
            <w:tcW w:w="2487" w:type="dxa"/>
          </w:tcPr>
          <w:p>
            <w:r>
              <w:t>VIEWER</w:t>
            </w:r>
          </w:p>
        </w:tc>
        <w:tc>
          <w:tcPr>
            <w:tcW w:w="6950" w:type="dxa"/>
          </w:tcPr>
          <w:p>
            <w:r>
              <w:t>Authenticated read-only access to permitted operational data</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r>
        <w:tc>
          <w:tcPr>
            <w:tcW w:type="dxa" w:w="3081"/>
          </w:tcPr>
          <w:p>
            <w:r>
              <w:t>completed_at</w:t>
            </w:r>
          </w:p>
        </w:tc>
        <w:tc>
          <w:tcPr>
            <w:tcW w:type="dxa" w:w="2683"/>
          </w:tcPr>
          <w:p>
            <w:r>
              <w:t>DATETIME</w:t>
            </w:r>
          </w:p>
        </w:tc>
        <w:tc>
          <w:tcPr>
            <w:tcW w:type="dxa" w:w="1925"/>
          </w:tcPr>
          <w:p>
            <w:r>
              <w:t>NULL; indexed</w:t>
            </w:r>
          </w:p>
        </w:tc>
        <w:tc>
          <w:tcPr>
            <w:tcW w:type="dxa" w:w="2381"/>
          </w:tcPr>
          <w:p>
            <w:r>
              <w:t>Set once when the project status changes to completed; source for the Completed This Month KPI.</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p>
      <w:pPr>
        <w:pStyle w:val="3"/>
      </w:pPr>
      <w:r>
        <w:t>2.2.10 financial_cash_flow_plan</w:t>
      </w:r>
    </w:p>
    <w:tbl>
      <w:tblPr>
        <w:tblStyle w:val="a6"/>
        <w:tblW w:type="auto" w:w="0"/>
        <w:tblLook w:firstColumn="1" w:firstRow="1" w:lastColumn="0" w:lastRow="0" w:noHBand="0" w:noVBand="1" w:val="04A0"/>
      </w:tblPr>
      <w:tblGrid>
        <w:gridCol w:w="2520"/>
        <w:gridCol w:w="2520"/>
        <w:gridCol w:w="2520"/>
        <w:gridCol w:w="2520"/>
      </w:tblGrid>
      <w:tr>
        <w:tc>
          <w:tcPr>
            <w:tcW w:type="dxa" w:w="2520"/>
          </w:tcPr>
          <w:p>
            <w:r>
              <w:t>Column</w:t>
            </w:r>
          </w:p>
        </w:tc>
        <w:tc>
          <w:tcPr>
            <w:tcW w:type="dxa" w:w="2520"/>
          </w:tcPr>
          <w:p>
            <w:r>
              <w:t>Type</w:t>
            </w:r>
          </w:p>
        </w:tc>
        <w:tc>
          <w:tcPr>
            <w:tcW w:type="dxa" w:w="2520"/>
          </w:tcPr>
          <w:p>
            <w:r>
              <w:t>Constraints</w:t>
            </w:r>
          </w:p>
        </w:tc>
        <w:tc>
          <w:tcPr>
            <w:tcW w:type="dxa" w:w="2520"/>
          </w:tcPr>
          <w:p>
            <w:r>
              <w:t>Description</w:t>
            </w:r>
          </w:p>
        </w:tc>
      </w:tr>
      <w:tr>
        <w:tc>
          <w:tcPr>
            <w:tcW w:type="dxa" w:w="2520"/>
          </w:tcPr>
          <w:p>
            <w:r>
              <w:t>id</w:t>
            </w:r>
          </w:p>
        </w:tc>
        <w:tc>
          <w:tcPr>
            <w:tcW w:type="dxa" w:w="2520"/>
          </w:tcPr>
          <w:p>
            <w:r>
              <w:t>BIGINT</w:t>
            </w:r>
          </w:p>
        </w:tc>
        <w:tc>
          <w:tcPr>
            <w:tcW w:type="dxa" w:w="2520"/>
          </w:tcPr>
          <w:p>
            <w:r>
              <w:t>PK, AUTO_INCREMENT</w:t>
            </w:r>
          </w:p>
        </w:tc>
        <w:tc>
          <w:tcPr>
            <w:tcW w:type="dxa" w:w="2520"/>
          </w:tcPr>
          <w:p>
            <w:r>
              <w:t>Surrogate primary key</w:t>
            </w:r>
          </w:p>
        </w:tc>
      </w:tr>
      <w:tr>
        <w:tc>
          <w:tcPr>
            <w:tcW w:type="dxa" w:w="2520"/>
          </w:tcPr>
          <w:p>
            <w:r>
              <w:t>project_id</w:t>
            </w:r>
          </w:p>
        </w:tc>
        <w:tc>
          <w:tcPr>
            <w:tcW w:type="dxa" w:w="2520"/>
          </w:tcPr>
          <w:p>
            <w:r>
              <w:t>BIGINT</w:t>
            </w:r>
          </w:p>
        </w:tc>
        <w:tc>
          <w:tcPr>
            <w:tcW w:type="dxa" w:w="2520"/>
          </w:tcPr>
          <w:p>
            <w:r>
              <w:t>FK -&gt; projects.id, NOT NULL</w:t>
            </w:r>
          </w:p>
        </w:tc>
        <w:tc>
          <w:tcPr>
            <w:tcW w:type="dxa" w:w="2520"/>
          </w:tcPr>
          <w:p>
            <w:r>
              <w:t>Project / subproject</w:t>
            </w:r>
          </w:p>
        </w:tc>
      </w:tr>
      <w:tr>
        <w:tc>
          <w:tcPr>
            <w:tcW w:type="dxa" w:w="2520"/>
          </w:tcPr>
          <w:p>
            <w:r>
              <w:t>plan_month</w:t>
            </w:r>
          </w:p>
        </w:tc>
        <w:tc>
          <w:tcPr>
            <w:tcW w:type="dxa" w:w="2520"/>
          </w:tcPr>
          <w:p>
            <w:r>
              <w:t>DATE</w:t>
            </w:r>
          </w:p>
        </w:tc>
        <w:tc>
          <w:tcPr>
            <w:tcW w:type="dxa" w:w="2520"/>
          </w:tcPr>
          <w:p>
            <w:r>
              <w:t>NOT NULL; first day of month</w:t>
            </w:r>
          </w:p>
        </w:tc>
        <w:tc>
          <w:tcPr>
            <w:tcW w:type="dxa" w:w="2520"/>
          </w:tcPr>
          <w:p>
            <w:r>
              <w:t>Cash-flow month; UNIQUE with project_id (one baseline per project/month)</w:t>
            </w:r>
          </w:p>
        </w:tc>
      </w:tr>
      <w:tr>
        <w:tc>
          <w:tcPr>
            <w:tcW w:type="dxa" w:w="2520"/>
          </w:tcPr>
          <w:p>
            <w:r>
              <w:t>planned_amount</w:t>
            </w:r>
          </w:p>
        </w:tc>
        <w:tc>
          <w:tcPr>
            <w:tcW w:type="dxa" w:w="2520"/>
          </w:tcPr>
          <w:p>
            <w:r>
              <w:t>BIGINT</w:t>
            </w:r>
          </w:p>
        </w:tc>
        <w:tc>
          <w:tcPr>
            <w:tcW w:type="dxa" w:w="2520"/>
          </w:tcPr>
          <w:p>
            <w:r>
              <w:t>NOT NULL; &gt;= 0</w:t>
            </w:r>
          </w:p>
        </w:tc>
        <w:tc>
          <w:tcPr>
            <w:tcW w:type="dxa" w:w="2520"/>
          </w:tcPr>
          <w:p>
            <w:r>
              <w:t>Planned amount under acts of completed works, UAH</w:t>
            </w:r>
          </w:p>
        </w:tc>
      </w:tr>
      <w:tr>
        <w:tc>
          <w:tcPr>
            <w:tcW w:type="dxa" w:w="2520"/>
          </w:tcPr>
          <w:p>
            <w:r>
              <w:t>source</w:t>
            </w:r>
          </w:p>
        </w:tc>
        <w:tc>
          <w:tcPr>
            <w:tcW w:type="dxa" w:w="2520"/>
          </w:tcPr>
          <w:p>
            <w:r>
              <w:t>ENUM</w:t>
            </w:r>
          </w:p>
        </w:tc>
        <w:tc>
          <w:tcPr>
            <w:tcW w:type="dxa" w:w="2520"/>
          </w:tcPr>
          <w:p>
            <w:r>
              <w:t>manual | xls; NOT NULL</w:t>
            </w:r>
          </w:p>
        </w:tc>
        <w:tc>
          <w:tcPr>
            <w:tcW w:type="dxa" w:w="2520"/>
          </w:tcPr>
          <w:p>
            <w:r>
              <w:t>Origin of the baseline</w:t>
            </w:r>
          </w:p>
        </w:tc>
      </w:tr>
      <w:tr>
        <w:tc>
          <w:tcPr>
            <w:tcW w:type="dxa" w:w="2520"/>
          </w:tcPr>
          <w:p>
            <w:r>
              <w:t>created_by / created_at / updated_at</w:t>
            </w:r>
          </w:p>
        </w:tc>
        <w:tc>
          <w:tcPr>
            <w:tcW w:type="dxa" w:w="2520"/>
          </w:tcPr>
          <w:p>
            <w:r>
              <w:t>BIGINT / DATETIME</w:t>
            </w:r>
          </w:p>
        </w:tc>
        <w:tc>
          <w:tcPr>
            <w:tcW w:type="dxa" w:w="2520"/>
          </w:tcPr>
          <w:p>
            <w:r>
              <w:t>FK -&gt; users.id / timestamps</w:t>
            </w:r>
          </w:p>
        </w:tc>
        <w:tc>
          <w:tcPr>
            <w:tcW w:type="dxa" w:w="2520"/>
          </w:tcPr>
          <w:p>
            <w:r>
              <w:t>Audit metadata</w:t>
            </w:r>
          </w:p>
        </w:tc>
      </w:tr>
    </w:tbl>
    <w:p>
      <w:pPr/>
      <w:r>
        <w:t>The table is the source for the planned series in the Financial Monitoring plan-versus-actual chart. The actual series is the monthly sum of financial_records with record_type=act. Financial chart values are aggregated from stored EUR equivalents; no forecast is inferred when a monthly baseline is absent.</w:t>
      </w:r>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r>
              <w:t>Before/after snapshots. Mandatory for every create, edit, delete, upload, status change, login and role change where applicable.</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/api/v1   |   Format: JSON   |   Auth: secure HTTP-only cookie session or Authorization: Bearer JWT.</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keepNext/>
        <w:spacing w:before="120" w:after="0"/>
        <w:rPr>
          <w:b/>
          <w:bCs/>
        </w:rPr>
      </w:pPr>
      <w:r>
        <w:rPr>
          <w:b/>
          <w:bCs/>
        </w:rPr>
      </w:r>
      <w:r>
        <w:rPr>
          <w:b/>
          <w:bCs/>
        </w:rPr>
        <w:t>POST</w:t>
      </w:r>
      <w:r>
        <w:rPr>
          <w:b/>
          <w:bCs/>
        </w:rPr>
        <w:t xml:space="preserve"> /auth/login</w:t>
      </w:r>
    </w:p>
    <w:p w14:paraId="548EC29E" w14:textId="77777777" w:rsidR="003340E7" w:rsidRDefault="00000000">
      <w:pPr>
        <w:spacing w:after="100"/>
      </w:pPr>
      <w:r>
        <w:t>Authenticate using a username or email and password. A successful login establishes the HTTP-only OMS session and returns a short-lived bearer accessToken for non-browser/API clients.</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The Phase 1 browser client uses the HTTP-only cookie session. Successful login also returns a short-lived Bearer accessToken for non-browser clients; refresh tokens are not issued.</w:t>
      </w:r>
    </w:p>
    <w:p w14:paraId="27D45D9D" w14:textId="77777777" w:rsidR="003340E7" w:rsidRDefault="003340E7">
      <w:pPr>
        <w:spacing w:after="100"/>
      </w:pPr>
      <w:r>
        <w:t>POST /auth/guest</w:t>
        <w:br/>
        <w:t>Creates an anonymous browser session for public read-only access. No username, password or user record is required. Response 204 No Content.</w:t>
      </w:r>
    </w:p>
    <w:p w14:paraId="67F58E6D" w14:textId="77777777" w:rsidR="003340E7" w:rsidRDefault="00000000">
      <w:pPr>
        <w:keepNext/>
        <w:spacing w:before="120" w:after="0"/>
        <w:rPr>
          <w:b/>
          <w:bCs/>
        </w:rPr>
      </w:pPr>
      <w:r/>
      <w:r>
        <w:rPr>
          <w:b/>
        </w:rPr>
        <w:t>POST</w:t>
      </w:r>
      <w:r>
        <w:rPr/>
        <w:t xml:space="preserve">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keepNext/>
        <w:spacing w:before="120" w:after="0"/>
        <w:rPr>
          <w:b/>
          <w:bCs/>
        </w:rPr>
      </w:pPr>
      <w:r>
        <w:rPr>
          <w:b/>
          <w:bCs/>
        </w:rPr>
      </w:r>
      <w:r>
        <w:rPr>
          <w:b/>
          <w:bCs/>
        </w:rPr>
        <w:t>GET</w:t>
      </w:r>
      <w:r>
        <w:rPr>
          <w:b/>
          <w:bCs/>
        </w:rPr>
        <w:t xml:space="preserve">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keepNext/>
        <w:spacing w:before="120" w:after="0"/>
        <w:rPr>
          <w:b/>
          <w:bCs/>
        </w:rPr>
      </w:pPr>
      <w:r>
        <w:rPr>
          <w:b/>
          <w:bCs/>
        </w:rPr>
      </w:r>
      <w:r>
        <w:rPr>
          <w:b/>
          <w:bCs/>
        </w:rPr>
        <w:t>POST</w:t>
      </w:r>
      <w:r>
        <w:rPr>
          <w:b/>
          <w:bCs/>
        </w:rPr>
        <w:t xml:space="preserve">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keepNext/>
        <w:spacing w:before="120" w:after="0"/>
        <w:rPr>
          <w:b/>
          <w:bCs/>
        </w:rPr>
      </w:pPr>
      <w:r/>
      <w:r>
        <w:rPr>
          <w:b/>
        </w:rPr>
        <w:t>PATCH</w:t>
      </w:r>
      <w:r>
        <w:rPr/>
        <w:t xml:space="preserve"> /projects/:uuid</w:t>
      </w:r>
    </w:p>
    <w:p w14:paraId="4F2B9DEB" w14:textId="77777777" w:rsidR="003340E7" w:rsidRDefault="00000000">
      <w:pPr>
        <w:spacing w:after="100"/>
      </w:pPr>
      <w:r>
        <w:t>Update project fields. Required role: project_manager, admin. Both roles can manage all projects; only administrators can manage user accounts.</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pPr>
        <w:keepNext/>
        <w:spacing w:before="120" w:after="0"/>
      </w:pPr>
      <w:r/>
      <w:r>
        <w:rPr>
          <w:b/>
        </w:rPr>
        <w:t>PATCH</w:t>
      </w:r>
      <w:r>
        <w:rPr/>
        <w:t xml:space="preserve">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admin. Both roles can update every project; omitted fields retain their current values, and status may be updated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keepNext/>
        <w:spacing w:before="120" w:after="0"/>
        <w:rPr>
          <w:b/>
          <w:bCs/>
        </w:rPr>
      </w:pPr>
      <w:r>
        <w:rPr>
          <w:b/>
          <w:bCs/>
        </w:rPr>
      </w:r>
      <w:r>
        <w:rPr>
          <w:b/>
          <w:bCs/>
        </w:rPr>
        <w:t>PATCH</w:t>
      </w:r>
      <w:r>
        <w:rPr>
          <w:b/>
          <w:bCs/>
        </w:rPr>
        <w:t xml:space="preserve">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pPr>
        <w:keepNext/>
        <w:spacing w:before="120" w:after="0"/>
      </w:pPr>
      <w:r/>
      <w:r>
        <w:rPr>
          <w:b/>
        </w:rPr>
        <w:t>POST</w:t>
      </w:r>
      <w:r>
        <w:rPr/>
        <w:t xml:space="preserve">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pPr>
        <w:keepNext/>
        <w:spacing w:before="120" w:after="0"/>
      </w:pPr>
      <w:r/>
      <w:r>
        <w:rPr>
          <w:b/>
        </w:rPr>
        <w:t>GET</w:t>
      </w:r>
      <w:r>
        <w:rPr/>
        <w:t xml:space="preserve">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keepNext/>
        <w:spacing w:before="120" w:after="0"/>
        <w:rPr>
          <w:b/>
          <w:bCs/>
        </w:rPr>
      </w:pPr>
      <w:r>
        <w:rPr>
          <w:b/>
          <w:bCs/>
        </w:rPr>
      </w:r>
      <w:r>
        <w:rPr>
          <w:b/>
          <w:bCs/>
        </w:rPr>
        <w:t>POST</w:t>
      </w:r>
      <w:r>
        <w:rPr>
          <w:b/>
          <w:bCs/>
        </w:rPr>
        <w:t xml:space="preserve">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keepNext/>
        <w:spacing w:before="120" w:after="0"/>
        <w:rPr>
          <w:b/>
          <w:bCs/>
        </w:rPr>
      </w:pPr>
      <w:r>
        <w:rPr>
          <w:b/>
          <w:bCs/>
        </w:rPr>
      </w:r>
      <w:r>
        <w:rPr>
          <w:b/>
          <w:bCs/>
        </w:rPr>
        <w:t>POST</w:t>
      </w:r>
      <w:r>
        <w:rPr>
          <w:b/>
          <w:bCs/>
        </w:rPr>
        <w:t xml:space="preserve">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keepNext/>
        <w:spacing w:before="120" w:after="0"/>
        <w:rPr>
          <w:b/>
          <w:bCs/>
        </w:rPr>
      </w:pPr>
      <w:r>
        <w:rPr>
          <w:b/>
          <w:bCs/>
        </w:rPr>
      </w:r>
      <w:r>
        <w:rPr>
          <w:b/>
          <w:bCs/>
        </w:rPr>
        <w:t>POST</w:t>
      </w:r>
      <w:r>
        <w:rPr>
          <w:b/>
          <w:bCs/>
        </w:rPr>
        <w:t xml:space="preserve">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The delivered Web client validates image uploads before transmission. Client-side camera/gallery compression is a future Phase 2 mobile optimization; the backend remains authoritative for format and size validation.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t>Editability and audit trail: An Inspector may edit their own inspection report, including its photos and form data, in any status. Every report or photo change must create an audit-log event with actor, timestamp, entity, action and before/after values where applicable.</w:t>
      </w:r>
    </w:p>
    <w:p w14:paraId="59A0EFF8" w14:textId="77777777" w:rsidR="003340E7" w:rsidRDefault="00000000">
      <w:pPr>
        <w:numPr>
          <w:ilvl w:val="0"/>
          <w:numId w:val="37"/>
        </w:numPr>
        <w:spacing w:after="100"/>
      </w:pPr>
      <w:r>
        <w:t>Audit Requirement: Changes to completed reports are retained in the audit log; no separate Correction entity or additional approval workflow is required for the MVP.</w:t>
      </w:r>
    </w:p>
    <w:p w14:paraId="0E22D058" w14:textId="77777777" w:rsidR="003340E7" w:rsidRDefault="00000000">
      <w:pPr>
        <w:pStyle w:val="3"/>
      </w:pPr>
      <w:r>
        <w:t>3.1.4 Financials</w:t>
      </w:r>
    </w:p>
    <w:p w14:paraId="689F6BE0"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 xml:space="preserve">All </w:t>
      </w:r>
      <w:r>
        <w:rPr>
          <w:b/>
          <w:color w:val="000000"/>
        </w:rPr>
        <w:t>DELETE</w:t>
      </w:r>
      <w:r>
        <w:rPr>
          <w:color w:val="000000"/>
        </w:rPr>
        <w:t xml:space="preserv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keepNext/>
        <w:spacing w:before="120" w:after="0"/>
        <w:rPr>
          <w:b/>
          <w:bCs/>
        </w:rPr>
      </w:pPr>
      <w:r>
        <w:rPr>
          <w:b/>
          <w:bCs/>
        </w:rPr>
      </w:r>
      <w:r>
        <w:rPr>
          <w:b/>
          <w:bCs/>
        </w:rPr>
        <w:t>GET</w:t>
      </w:r>
      <w:r>
        <w:rPr>
          <w:b/>
          <w:bCs/>
        </w:rPr>
        <w:t xml:space="preserve">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keepNext/>
        <w:spacing w:before="120" w:after="0"/>
        <w:rPr>
          <w:b/>
          <w:bCs/>
        </w:rPr>
      </w:pPr>
      <w:r/>
      <w:r>
        <w:rPr>
          <w:b/>
        </w:rPr>
        <w:t>GET</w:t>
      </w:r>
      <w:r>
        <w:rPr/>
        <w:t xml:space="preserve"> /users</w:t>
      </w:r>
    </w:p>
    <w:p w14:paraId="74C77BDC" w14:textId="77777777" w:rsidR="00300078" w:rsidRDefault="00000000">
      <w:r>
        <w:t>List all users. Required role: admin. Response 200: [User].</w:t>
      </w:r>
    </w:p>
    <w:p w14:paraId="23E79871" w14:textId="77777777" w:rsidR="00300078" w:rsidRDefault="00000000">
      <w:pPr>
        <w:keepNext/>
        <w:spacing w:before="120" w:after="0"/>
      </w:pPr>
      <w:r/>
      <w:r>
        <w:rPr>
          <w:b/>
        </w:rPr>
        <w:t>PATCH</w:t>
      </w:r>
      <w:r>
        <w:rPr/>
        <w:t xml:space="preserve">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pPr>
        <w:pStyle w:val="3"/>
      </w:pPr>
      <w:r>
        <w:t>3.1.7 Dashboard and Map API</w:t>
      </w:r>
    </w:p>
    <w:p>
      <w:pPr>
        <w:keepNext/>
        <w:spacing w:before="120" w:after="0"/>
      </w:pPr>
      <w:r>
        <w:t>GET /dashboard. Required active account role: viewer, inspector, project_manager or admin. Anonymous Guest sessions cannot access the dashboard. Returns permitted project, inspection, financial and procurement analytics: monthly project starts, subproject funding by oblast, subproject completion, monthly act payments in EUR, equipment payments in EUR, procurement-status counts, signed-construction-contract counts, monthly SIR counts and monthly ESHS finding counts. For Project Managers, project aggregates and inspection rows are limited to assigned projects.</w:t>
      </w:r>
    </w:p>
    <w:p>
      <w:pPr/>
      <w:r>
        <w:t>Recent inspection items include report UUID, project UUID and name, inspector display name, inspection date and status. Recent activity items include actor display name, action, related entity, entity UUID when available and timestamp. The response contains only entities the current user may access.</w:t>
      </w:r>
    </w:p>
    <w:p w14:paraId="2B7D8160" w14:textId="77777777" w:rsidR="003340E7" w:rsidRDefault="00000000">
      <w:pPr>
        <w:keepNext/>
        <w:spacing w:before="120" w:after="0"/>
        <w:rPr>
          <w:b/>
          <w:bCs/>
        </w:rPr>
      </w:pPr>
      <w:r>
        <w:rPr>
          <w:b/>
          <w:bCs/>
        </w:rPr>
      </w:r>
      <w:r>
        <w:rPr>
          <w:b/>
          <w:bCs/>
        </w:rPr>
        <w:t>GET</w:t>
      </w:r>
      <w:r>
        <w:rPr>
          <w:b/>
          <w:bCs/>
        </w:rPr>
        <w:t xml:space="preserve"> /projects/map</w:t>
      </w:r>
    </w:p>
    <w:p w14:paraId="08D90BC8" w14:textId="77777777" w:rsidR="003340E7" w:rsidRDefault="00000000">
      <w:pPr>
        <w:spacing w:after="100"/>
      </w:pPr>
      <w:r>
        <w:t>Returns an array of marker objects containing UUID, name, status, latitude and longitude. Project Managers receive only markers for assigned projects.</w:t>
      </w:r>
    </w:p>
    <w:p w14:paraId="09A5AB36" w14:textId="77777777" w:rsidR="003340E7" w:rsidRDefault="00000000">
      <w:pPr>
        <w:spacing w:after="100"/>
      </w:pPr>
      <w:r>
        <w:t>The endpoint is available to authenticated active accounts and anonymous Guest sessions created through POST /auth/guest. Guests may view only the public map, project registry and project general-information card; no mutation, dashboard, reports, documents, financials, procurement or administration endpoint is available to them. Status filtering, marker clustering and popups are applied by the web client.</w:t>
      </w:r>
    </w:p>
    <w:p w14:paraId="33A5E8E5" w14:textId="77777777" w:rsidR="003340E7" w:rsidRDefault="00000000">
      <w:pPr>
        <w:spacing w:after="100"/>
      </w:pPr>
      <w:r>
        <w:t>Response 200: [MapMarker]</w:t>
      </w:r>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Push (future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Offline Store-and-Forward synchronization is not implemented in Phase 1. It is a Phase 2 design option for a future mobile client and must not be treated as current runtime behaviour.</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t>Mobile (Android/iOS) offline caching is a Phase 2 option. The Phase 1 repository contains no Android/iOS application target or SQLDelight offline store.</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w:t>
      </w:r>
      <w:r>
        <w:rPr>
          <w:b/>
        </w:rPr>
        <w:t>POST</w:t>
      </w:r>
      <w:r>
        <w:rPr/>
        <w:t xml:space="preserve">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keepNext/>
        <w:spacing w:after="0" w:before="120"/>
      </w:pPr>
      <w:r>
        <w:rPr>
          <w:color w:val="4A4A4A"/>
        </w:rPr>
      </w:r>
      <w:r>
        <w:rPr>
          <w:b/>
          <w:color w:val="4A4A4A"/>
        </w:rPr>
        <w:t>POST</w:t>
      </w:r>
      <w:r>
        <w:rPr>
          <w:color w:val="4A4A4A"/>
        </w:rPr>
        <w:t xml:space="preserve">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t>Leaflet with OpenStreetMap tiles is used by the delivered Web UI because it requires no vendor API key and provides suitable Ukrainian coverage. Offline mobile mapping is outside Phase 1.</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t>The delivered Phase 1 Web client loads online OpenStreetMap tiles. Service-worker tile caching and offline map fallback are not implemented.</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 xml:space="preserve">Use </w:t>
      </w:r>
      <w:r>
        <w:rPr>
          <w:b/>
          <w:color w:val="4A4A4A"/>
        </w:rPr>
        <w:t>GET</w:t>
      </w:r>
      <w:r>
        <w:rPr>
          <w:color w:val="4A4A4A"/>
        </w:rPr>
        <w:t xml:space="preserve">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t>The diagram above is a target layered architecture. The delivered Phase 1 backend separates Ktor routes, business services, Exposed repositories and persistence; MySQL stores structured data and OMS_UPLOAD_DIR filesystem storage holds uploaded binary files. The depicted MinIO/notification components are future adapters, not deployed Phase 1 services.</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Username or 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Label: "Username or email". Accepts either the unique username or a valid email address. Validates that the field is not empty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p>
      <w:pPr/>
      <w:r>
        <w:t>Dashboard calculation rules: the project-start chart counts subprojects by work start month. Approved funding is the subproject contract amount, falling back to its planned budget, grouped visually by oblast. Subproject completion is the sum of completed-work acts for the subproject and its parts divided by its contract amount. Monthly act payments are grouped by payment date (or act date when no payment date is recorded).</w:t>
      </w:r>
      <w:r>
        <w:t xml:space="preserve"> The Approved Funding by Oblast chart has an EUR/UAH selector. The selected currency is shown once above the chart; bar values do not repeat a currency suffix. Both values use the frozen conversion stored with the project amount, so loading the dashboard never requests a live NBU rate.</w:t>
      </w:r>
    </w:p>
    <w:p>
      <w:pPr/>
      <w:r>
        <w:t>The dashboard uses live aggregated API data and refreshes after project, report, financial-record or procurement changes. Every analytic widget has an empty state. Individual subproject funding and completion bars open the corresponding project-detail page. Recent audit activity is shown in Administration rather than on the dashboard.</w:t>
      </w:r>
    </w:p>
    <w:p>
      <w:pPr/>
      <w:r>
        <w:t>Dashboard financial and procurement analytics: the dashboard presents monthly agreed-act payments in EUR, approved subproject funding by oblast, subproject completion, and the number of subprojects in each procurement status. The Financial Monitoring module additionally presents monthly payments in EUR for equipment, technical supervision, and engineer-consultant contracts. For UAH records, the EUR amount is calculated at save time as UAH divided by the official NBU EUR rate for the act date; the applied rate, its effective date and the EUR-cent amount are stored and never recalculated for historical charts.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r>
              <w:t>Common home screen after login for every authenticated role. Provides an operational overview of projects and inspections.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Global filters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Period, Region, Sector and Project Status. Filters apply to KPI cards and charts; active filters are visible and can be cleared.</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Metric cards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 standalone KPI-card strip in the current MVP. The dashboard uses live analytical cards and a last-inspection photo slider.</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Attention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Not displayed on the dashboard; recent audit activity is available in Administration.</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Project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Monthly project-start chart: number of subprojects by work start month.</w:t>
            </w:r>
          </w:p>
        </w:tc>
      </w:tr>
      <w:tr>
        <w:tc>
          <w:tcPr>
            <w:tcW w:type="dxa" w:w="3000"/>
          </w:tcPr>
          <w:p>
            <w:r>
              <w:t>Inspection reports chart</w:t>
            </w:r>
          </w:p>
        </w:tc>
        <w:tc>
          <w:tcPr>
            <w:tcW w:type="dxa" w:w="6360"/>
          </w:tcPr>
          <w:p>
            <w:r>
              <w:t>Available on the Inspection Reports screen: monthly SIR count and monthly ESHS finding count.</w:t>
            </w:r>
          </w:p>
        </w:tc>
      </w:tr>
      <w:tr>
        <w:tc>
          <w:tcPr>
            <w:tcW w:type="dxa" w:w="3000"/>
          </w:tcPr>
          <w:p>
            <w:r>
              <w:t>Regional chart</w:t>
            </w:r>
          </w:p>
        </w:tc>
        <w:tc>
          <w:tcPr>
            <w:tcW w:type="dxa" w:w="6360"/>
          </w:tcPr>
          <w:p>
            <w:r>
              <w:t>Approved funding by oblast. Each subproject has its own shade and amount; clicking its bar opens the subproject detail.</w:t>
            </w:r>
          </w:p>
        </w:tc>
      </w:tr>
      <w:tr>
        <w:tc>
          <w:tcPr>
            <w:tcW w:type="dxa" w:w="3000"/>
          </w:tcPr>
          <w:p>
            <w:r>
              <w:t>Latest inspection photos</w:t>
            </w:r>
          </w:p>
        </w:tc>
        <w:tc>
          <w:tcPr>
            <w:tcW w:type="dxa" w:w="6360"/>
          </w:tcPr>
          <w:p>
            <w:r>
              <w:t>Horizontal slider of photos from the latest available inspection report. Click opens a fullscreen lightbox; show an empty state if no photos exist.</w:t>
            </w:r>
          </w:p>
        </w:tc>
      </w:tr>
      <w:tr>
        <w:tc>
          <w:tcPr>
            <w:tcW w:type="dxa" w:w="3000"/>
          </w:tcPr>
          <w:p>
            <w:r>
              <w:t>Recent activity</w:t>
            </w:r>
          </w:p>
        </w:tc>
        <w:tc>
          <w:tcPr>
            <w:tcW w:type="dxa" w:w="6360"/>
          </w:tcPr>
          <w:p>
            <w:r>
              <w:t>Last 10 permitted audit-log events: actor, action, related entity and relative timestamp. Each item links to the related entity when the user has access.</w:t>
            </w:r>
          </w:p>
        </w:tc>
      </w:tr>
      <w:tr>
        <w:tc>
          <w:tcPr>
            <w:tcW w:type="dxa" w:w="3000"/>
          </w:tcPr>
          <w:p>
            <w:r>
              <w:t>Financial analytics</w:t>
            </w:r>
          </w:p>
        </w:tc>
        <w:tc>
          <w:tcPr>
            <w:tcW w:type="dxa" w:w="6360"/>
          </w:tcPr>
          <w:p>
            <w:r>
              <w:t>Monthly agreed-act payments, subproject completion (acts ÷ contract amount), and procurement status by unique subproject. Widgets refresh from live API data after related mutations.</w:t>
            </w:r>
          </w:p>
        </w:tc>
      </w:tr>
      <w:tr>
        <w:tc>
          <w:tcPr>
            <w:tcW w:type="dxa" w:w="3000"/>
          </w:tcPr>
          <w:p>
            <w:r>
              <w:t>Data states</w:t>
            </w:r>
          </w:p>
        </w:tc>
        <w:tc>
          <w:tcPr>
            <w:tcW w:type="dxa" w:w="6360"/>
          </w:tcPr>
          <w:p>
            <w:r>
              <w:t>Every widget displays an empty state when no data exists. The dashboard does not contain a mini-map in the WASM MVP; the full Map screen remains separate.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pPr>
        <w:pStyle w:val="3"/>
      </w:pPr>
      <w:r>
        <w:t>4.1.3.3 Project Create / Edit Contract and Currency Fields</w:t>
      </w:r>
    </w:p>
    <w:p>
      <w:r>
        <w:t>The create and edit views use one shared field definition and three primary light-background sections with Material icons: General information, Designer information, and Construction contractor information.</w:t>
      </w:r>
    </w:p>
    <w:p>
      <w:pPr/>
      <w:r>
        <w:t>Designer fields. Designer name, contract number, contract date, and a free-text design term.</w:t>
      </w:r>
    </w:p>
    <w:p>
      <w:pPr/>
      <w:r>
        <w:t>Construction contractor fields. Contractor name, contract number, contract date, construction start date, planned completion date, and construction-contract amount.</w:t>
      </w:r>
    </w:p>
    <w:p>
      <w:pPr/>
      <w:r>
        <w:t>Currency entry. Every monetary field independently supports EUR and UAH; EUR is the default for new values. The form displays and permits editing of the opposite-currency equivalent and the UAH-per-EUR rate.</w:t>
      </w:r>
    </w:p>
    <w:p>
      <w:pPr/>
      <w:r>
        <w:t>Rate snapshot. The official NBU EUR rate for the current Kyiv date is loaded by default. The saved snapshot contains the source amount/currency, converted amount, rate, effective rate date, and a manual-edit flag. Previously saved snapshots retain their historical rate unless the user explicitly refreshes it.</w:t>
      </w:r>
    </w:p>
    <w:p>
      <w:pPr/>
      <w:r>
        <w:t>Compatibility. Exact values use decimal storage. Existing whole-UAH project totals remain compatibility projections used by current aggregate calculations.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r>
        <w:tc>
          <w:tcPr>
            <w:tcW w:type="dxa" w:w="3000"/>
          </w:tcPr>
          <w:p>
            <w:r>
              <w:t>Purpose</w:t>
            </w:r>
          </w:p>
        </w:tc>
        <w:tc>
          <w:tcPr>
            <w:tcW w:type="dxa" w:w="6360"/>
          </w:tcPr>
          <w:p>
            <w:r>
              <w:t>Management of all site inspection reports (SIR). The chart header occupies the upper part of the screen and the sortable/filterable report list follows below.</w:t>
            </w:r>
          </w:p>
        </w:tc>
      </w:tr>
      <w:tr>
        <w:tc>
          <w:tcPr>
            <w:tcW w:type="dxa" w:w="3000"/>
          </w:tcPr>
          <w:p>
            <w:r>
              <w:t>Analytics header</w:t>
            </w:r>
          </w:p>
        </w:tc>
        <w:tc>
          <w:tcPr>
            <w:tcW w:type="dxa" w:w="6360"/>
          </w:tcPr>
          <w:p>
            <w:r>
              <w:t>Two horizontal cards: Number of inspections (month → SIR count) and Number of ESHS violations (month → count of ESHS/HSE finding categories).</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device GPS. Delivered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Drag-and-drop/file picker in the delivered Web client. Future mobile may use camera/gallery.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Bar chart of payments and advances by month. Values are EUR equivalents stored with each financial record at save time.</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a light, scrollable editor (PM/Admin only). Saving a UAH record retrieves the official NBU EUR rate for its record date and stores the EUR equivalent, rate and rate date.</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file picker. XLS/XLSX imports and exports support the optional payment_purpose column (works|equipment); omitted values default to works.</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r>
        <w:tc>
          <w:tcPr>
            <w:tcW w:type="dxa" w:w="3000"/>
          </w:tcPr>
          <w:p>
            <w:r>
              <w:t>Chart: equipment procurement</w:t>
            </w:r>
          </w:p>
        </w:tc>
        <w:tc>
          <w:tcPr>
            <w:tcW w:type="dxa" w:w="6360"/>
          </w:tcPr>
          <w:p>
            <w:r>
              <w:t>Bar chart of payments and advances with payment_purpose=equipment, grouped by month and displayed in EUR.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only; not implemented in Phase 1.</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username or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Empty or invalid username/email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OMS_UPLOAD_DIR filesystem storage (Phase 1)</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(future Phase 2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t>Profile: first name, last name, unique username, unique contact email, position, and link to region/department. A user may authenticate with either username or email.</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pPr/>
      <w:r>
        <w:t>Database role codes are ADMIN, PROJECT_MANAGER, INSPECTOR, CONTRACTOR and VIEWER. V30 removes the former GUEST database role and migrates any historical Guest accounts to VIEWER. Guest access is an anonymous session mode, not a users-table record, and is never assignable in user administration.</w:t>
      </w:r>
    </w:p>
    <w:p>
      <w:pPr/>
      <w:r>
        <w:t>Every authenticated user has exactly one database role. Phase 1 roles are Admin, Project Manager, Inspector and Viewer; the legacy Contractor role is retained for compatibility. An anonymous Guest session has no user record and is outside the RBAC role list.</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p>
      <w:pPr/>
      <w:r>
        <w:t>Access scope: Administrators may access all projects. Project Managers may access and manage only projects assigned to them and cannot access Administration or manage users.</w:t>
      </w:r>
    </w:p>
    <w:p>
      <w:pPr/>
      <w:r>
        <w:t>Inspection workflow: Admin, Project Manager and Inspector may create and edit draft reports. A completed report is locked for all mutations; only Admin and Project Manager may review a submitted report.</w:t>
      </w:r>
    </w:p>
    <w:p>
      <w:pPr/>
      <w:r>
        <w:t>Guest access: the login page offers Continue as Guest. It creates an anonymous, read-only browser session without credentials. Guests may view the public map, project registry and general project information only; they cannot access dashboard, inspection reports, documents, financials, procurement, administration or any mutation.</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Manage all projects, reports, documents and financial data. No access to the Administration page or user management.</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Create and edit own inspection reports in any status; view projects and documents. All changes are recorded in the audit log.</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Anonymous browser session, not a user role or account. View-only access to the public map, project registry and general project information.</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r>
              <w:t>Guest</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r>
              <w:t>Create/Edit own (any status)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pPr/>
      <w:r>
        <w:t>Private-read enforcement: dashboard, inspection reports, documents, financials, procurement and audit activity require an authenticated active user account and the module permission stated in the RBAC matrix. Anonymous Guest sessions are restricted server-side to public map and project-information endpoints. Viewer has only the read permissions explicitly granted by each endpoint.</w:t>
      </w:r>
    </w:p>
    <w:p>
      <w:pPr/>
      <w:r>
        <w:t>Inspection workflow enforcement: report and finding mutations require Admin, Project Manager or Inspector; completed reports cannot be changed. Review requires Admin or Project Manager. Project Manager project assignment is checked server-side for all project-scoped operations.</w:t>
      </w:r>
    </w:p>
    <w:p>
      <w:pPr/>
      <w:r>
        <w:t>Audit enforcement: the server records implemented administrative and domain mutations, including user creation, role/status changes, activation and relevant project/report operations. Records do not contain passwords, JWTs or raw activation tokens.</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t>Project Managers and Administrators can access all projects. Project Managers have no access to user management or the Administration page.</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t>6.1 Overall System Architecture (Target / Reference)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t>The diagram above is a target/reference architecture. The delivered Phase 1 runtime uses the Web client, Ktor, MySQL and filesystem-backed OMS_UPLOAD_DIR storage. MinIO, notification integrations and mobile components shown in legacy/reference diagrams are future adapters unless an implementation addendum explicitly states otherwise.</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r>
              <w:t>Exposed ORM, MySQL Database, Filesystem Upload Storage (MVP)</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r>
        <w:t>Filesystem storage via OMS_UPLOAD_DIR (Phase 1); MinIO/S3 adapter is future Phase 2</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r>
        <w:t>Filesystem upload directory (OMS_UPLOAD_DIR)</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t>Developers run the Web frontend, Ktor backend and MySQL database locally or through Docker Compose. Upload storage is an automatically created filesystem directory or Compose volume. MinIO is not a Phase 1 prerequisite. Configuration parameters are externalized through environment variables and application configuration.</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r>
        <w:t>Filesystem-backed upload storage on a persistent application volume for the approved MVP; MinIO/S3-compatible object storage remains a future scalable option.</w:t>
      </w:r>
    </w:p>
    <w:p w14:paraId="7076BD2C" w14:textId="77777777" w:rsidR="000909F7" w:rsidRPr="00DC3602" w:rsidRDefault="000909F7" w:rsidP="000909F7">
      <w:pPr>
        <w:numPr>
          <w:ilvl w:val="0"/>
          <w:numId w:val="76"/>
        </w:numPr>
        <w:rPr>
          <w:lang w:val="en-US"/>
        </w:rPr>
      </w:pPr>
      <w:r>
        <w:t>Deployment secrets, including database passwords and the JWT signing secret, shall be injected through the deployment environment and must not be committed. The application service shall wait for database health, run ordered Flyway migrations at startup, and expose health checks for operational verification.</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r>
        <w:t>The filesystem upload volume is accessible only to the backend service; clients download through authorized API routes.</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t>Direct client access to the database or upload storage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t>filesystem upload location (OMS_UPLOAD_DIR); future object-storage adapter configuration when implemented;</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t>Target NFR (not load-tested in D9): API 95th-percentile response time below 500 ms under normal load of up to 200 concurrent users.</w:t>
      </w:r>
    </w:p>
    <w:p w14:paraId="3FEB22B0" w14:textId="77777777" w:rsidR="003340E7" w:rsidRDefault="00000000">
      <w:pPr>
        <w:numPr>
          <w:ilvl w:val="0"/>
          <w:numId w:val="32"/>
        </w:numPr>
        <w:pBdr>
          <w:top w:val="nil"/>
          <w:left w:val="nil"/>
          <w:bottom w:val="nil"/>
          <w:right w:val="nil"/>
          <w:between w:val="nil"/>
        </w:pBdr>
      </w:pPr>
      <w:r>
        <w:t>Target NFR (not performance-tested in D9): initial dashboard first contentful paint below 2 seconds on typical broadband and cached navigation below 500 ms.</w:t>
      </w:r>
    </w:p>
    <w:p w14:paraId="3A9E83BE" w14:textId="77777777" w:rsidR="003340E7" w:rsidRDefault="00000000">
      <w:pPr>
        <w:numPr>
          <w:ilvl w:val="0"/>
          <w:numId w:val="32"/>
        </w:numPr>
        <w:pBdr>
          <w:top w:val="nil"/>
          <w:left w:val="nil"/>
          <w:bottom w:val="nil"/>
          <w:right w:val="nil"/>
          <w:between w:val="nil"/>
        </w:pBdr>
      </w:pPr>
      <w:r>
        <w:t>Target NFR (not load-tested in D9): render up to 1,000 project markers within 3 seconds after a map bounding-box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t>Phase 2 scalability target: horizontal application replicas require shared upload/object storage and any required distributed coordination. Redis and MinIO/S3 are not deployed in Phase 1.</w:t>
      </w:r>
    </w:p>
    <w:p w14:paraId="432EDC12" w14:textId="77777777" w:rsidR="003340E7" w:rsidRDefault="00000000">
      <w:pPr>
        <w:numPr>
          <w:ilvl w:val="0"/>
          <w:numId w:val="33"/>
        </w:numPr>
        <w:pBdr>
          <w:top w:val="nil"/>
          <w:left w:val="nil"/>
          <w:bottom w:val="nil"/>
          <w:right w:val="nil"/>
          <w:between w:val="nil"/>
        </w:pBdr>
      </w:pPr>
      <w:r>
        <w:t>Phase 2 database-scaling option: reporting read replicas with a primary writer; not configured in Phase 1.</w:t>
      </w:r>
    </w:p>
    <w:p w14:paraId="77BD6425" w14:textId="77777777" w:rsidR="003340E7" w:rsidRDefault="00000000">
      <w:pPr>
        <w:numPr>
          <w:ilvl w:val="0"/>
          <w:numId w:val="33"/>
        </w:numPr>
        <w:pBdr>
          <w:top w:val="nil"/>
          <w:left w:val="nil"/>
          <w:bottom w:val="nil"/>
          <w:right w:val="nil"/>
          <w:between w:val="nil"/>
        </w:pBdr>
      </w:pPr>
      <w:r>
        <w:t>Capacity target (not load-tested in D9):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t>Operational availability target: 99.5% during business hours (08:00-20:00); production monitoring evidence is outside the local Phase 1 handover.</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provides extension points for future horizontal scaling after filesystem uploads and other instance-local state are externalized.</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and a short-lived bearer JWT for API/mobile clients. The Web Remember me option stores only the login identifier; passwords and bearer tokens are never written to browser storage.</w:t>
      </w:r>
    </w:p>
    <w:p>
      <w:r>
        <w:t>The dashboard uses live backend project, inspection, financial and procurement aggregates. It provides start-month, approved-funding-by-oblast, subproject-completion, procurement-status and monthly-act-payment charts, followed by the last-inspection photo slider. Individual subproject bars open the relevant project detail. Recent audit activity is displayed in Administration. The dashboard content has explicit mouse-accessible Up/Down scroll controls and keyboard navigation: Arrow Up/Down, Page Up/Page Down, Home and End.</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 The screen places monthly SIR and ESHS-finding charts above the report list.</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 live vertical monthly payments chart; and dedicated monthly charts for equipment procurement, technical supervision, and engineer-consultant contract payments. Payment and advance records require one of the business purposes Works, Equipment, Technical Supervision, or Engineer-consultant; imports and exports include the payment_purpose column. Financial charts are always shown in EUR. Saving a UAH record obtains the official NBU EUR rate for its record (act) date and stores eur_exchange_rate, eur_exchange_date and amount_eur_cents with the record.</w:t>
      </w:r>
    </w:p>
    <w:p>
      <w:r>
        <w:t>Document management supports file-system storage, typed upload, filtering, original-filename download and role-controlled permanent deletion. Document filter tabs are All, Contract, Project / Subproject, Design, Estimate, Financial Doc (invoice or act), Photo and Other; document types are rendered as colour badges.</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in Administration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 xml:space="preserve">Downloads stream the original file as an attachment and preserve the original UTF-8 filename. </w:t>
      </w:r>
      <w:r>
        <w:rPr>
          <w:b/>
        </w:rPr>
        <w:t>DELETE</w:t>
      </w:r>
      <w:r>
        <w:rPr/>
        <w:t xml:space="preserv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Project Registry bulk operations include multi-select status changes, administrator-only reassignment to an active Project Manager, and authorised XLSX export of selected project records. Inspection-report bundle export remains outside the delivered MVP.</w:t>
      </w:r>
    </w:p>
    <w:p>
      <w:r>
        <w:t>The map currently filters already loaded data. Server-side bounding-box loading with debounced re-fetch, map geocoding search and a marker thumbnail are not yet delivered.</w:t>
      </w:r>
    </w:p>
    <w:p>
      <w:r>
        <w:t>Customer analytics delivered: dashboard funding, completion, procurement and monthly act-payment charts; Inspection Reports monthly SIR and ESHS charts; Financial Monitoring monthly equipment-payment, technical-supervision-payment, and engineer-consultant-payment charts; and Procurement status and signed-contract charts. A dashboard mini-map remains out of scope for the WASM MVP; the full Map screen remains available separately.</w:t>
      </w:r>
    </w:p>
    <w:p>
      <w:r>
        <w:t>Notification delivery, offline synchronisation, external webhooks, advanced analytics and document versioning remain outside the current MVP scope as specified in Phase 2.</w:t>
      </w:r>
    </w:p>
    <w:p>
      <w:r>
        <w:br w:type="page"/>
      </w:r>
    </w:p>
    <w:p>
      <w:pPr>
        <w:pStyle w:val="1"/>
      </w:pPr>
      <w:r>
        <w:t>14 Verified D0-D8 implementation baseline</w:t>
      </w:r>
    </w:p>
    <w:p>
      <w:r>
        <w:t>This section supersedes conflicting aspirational wording elsewhere in this specification. It records the repository implementation as reviewed on 20 August 2026 and distinguishes implemented MVP behaviour from Phase 2 or infrastructure-dependent work.</w:t>
      </w:r>
    </w:p>
    <w:p>
      <w:pPr>
        <w:pStyle w:val="2"/>
      </w:pPr>
      <w:r>
        <w:t>14.1 D0 - Architecture and deployment</w:t>
      </w:r>
    </w:p>
    <w:p>
      <w:r>
        <w:t>OMS is a Gradle Kotlin Multiplatform repository with composeApp (Compose Web/Wasm UI), server (Ktor), and shared modules. The Ktor server exposes /api/v1 and can package the generated Web/Wasm distribution for a single-origin deployment.</w:t>
      </w:r>
    </w:p>
    <w:p>
      <w:r>
        <w:t>Persistence uses MySQL-compatible JDBC, Exposed and Flyway migrations. Runtime uploads use the configurable OMS_UPLOAD_DIR application file system location. MinIO/S3 is not implemented in this MVP; its adoption requires a storage-adapter change and deployment credentials.</w:t>
      </w:r>
    </w:p>
    <w:p>
      <w:pPr>
        <w:pStyle w:val="2"/>
      </w:pPr>
      <w:r>
        <w:t>14.2 D1 - Authentication and RBAC</w:t>
      </w:r>
    </w:p>
    <w:p>
      <w:r>
        <w:t>Phase 1 supports two compatible authentication mechanisms: an HTTP-only oms_session browser cookie for the Web UI and a one-hour HMAC-SHA256 JWT bearer token for API/mobile clients. Tokens are issued at login and validated before protected routes resolve the current database user record. BCrypt password hashes, five-attempt/15-minute login lockout and server-side role checks remain in force. OMS_JWT_SECRET must be a deployment secret of at least 32 characters; local development uses an ephemeral process key.</w:t>
      </w:r>
    </w:p>
    <w:p>
      <w:r>
        <w:t>Database roles are Admin, Project Manager, Inspector, Viewer and legacy Contractor. Guest is not a role or user account: the login page can create an anonymous browser session for read-only map, project-registry and general-project-information access. The server rejects Guest as a user role and V30 migrates historical Guest accounts to Viewer. Protected authenticated requests resolve the current user record on each request: Pending or Disabled accounts are rejected and a changed role takes effect without relying on the role stored in an older session. Administrative operations return 403 for a valid but unauthorised session.</w:t>
      </w:r>
    </w:p>
    <w:p>
      <w:r>
        <w:t>Project Managers are restricted in the project registry, project detail, document and project-mutation flows to projects whose projects.manager_id equals their user ID. Admin has unrestricted project access. The authorization policy is server-side; UI visibility is only a usability aid.</w:t>
      </w:r>
    </w:p>
    <w:p>
      <w:pPr>
        <w:pStyle w:val="2"/>
      </w:pPr>
      <w:r>
        <w:t>14.3 D2-D4 - Dashboard, registry, map and project detail</w:t>
      </w:r>
    </w:p>
    <w:p>
      <w:r>
        <w:t>The dashboard is fed by aggregated backend project, inspection, financial, procurement and audit data. The Web UI provides project-start, funding-by-oblast, completion, procurement-status and financial visualisations; the full Leaflet/OpenStreetMap view supplies markers, status filtering, popups and client-side clustering.</w:t>
      </w:r>
    </w:p>
    <w:p>
      <w:r>
        <w:t>The registry supports search, status/region filtering, pagination, sorting, table/map switching and bulk status updates. Projects form a project -&gt; subproject -&gt; subproject-part hierarchy with parent/type validation. Project details include general information, inspection reports, financials, documents and HSE observations extracted from imported SIR workbooks.</w:t>
      </w:r>
    </w:p>
    <w:p>
      <w:pPr>
        <w:pStyle w:val="2"/>
      </w:pPr>
      <w:r>
        <w:t>14.4 D5-D7 - Inspections, financials and documents</w:t>
      </w:r>
    </w:p>
    <w:p>
      <w:r>
        <w:t>SIR reports support Draft -&gt; Pending Review -&gt; Completed, server-side transition validation, XLS/XLSX import, source-file download, findings, and JPEG/PNG photo uploads with a 30-photo ceiling. Photo uploads enforce 10 MB per file, filename normalisation, binary-signature checks and project-level authorization. Imported workbooks and financial imports are validated by the service layer; invalid input returns a validation error.</w:t>
      </w:r>
    </w:p>
    <w:p>
      <w:r>
        <w:t>Financial records support manual entry, XLS and XLSX import/export, payment/act/advance/invoice records, a Works/Equipment/Technical Supervision/Engineer-consultant payment-purpose classification, per-project summaries, monthly payment charts, and monthly charts for equipment procurement, technical supervision, and engineer-consultant contract payments. Financial charts use the frozen stored EUR equivalent: EUR records use rate 1; UAH records are converted using the official NBU EUR rate for the record date. Imports accept at most 1,000 rows and return per-row validation errors while continuing valid rows; duplicate project reference numbers are skipped. Financial endpoints are restricted to Admin and Project Manager.</w:t>
      </w:r>
    </w:p>
    <w:p>
      <w:r>
        <w:t>Documents are typed, metadata-backed and linked to a project. Upload and deletion require Admin or Project Manager; listing and download require an authenticated role and are project-authorised. Allowed upload formats are PDF, XLS, XLSX, JPEG and PNG with size limits by format; the server validates both the extension and binary signature, sanitises the displayed filename and streams downloads through the API rather than exposing unrestricted storage URLs.</w:t>
      </w:r>
    </w:p>
    <w:p>
      <w:pPr>
        <w:pStyle w:val="2"/>
      </w:pPr>
      <w:r>
        <w:t>14.5 D8 - User administration and audit</w:t>
      </w:r>
    </w:p>
    <w:p>
      <w:r>
        <w:t>Administrators can list, create, edit, enable, disable and delete users, and assign one of the defined roles. Username/email uniqueness, password policy, status values (pending, active, disabled) and preferred language are validated by the service layer. An administrator cannot delete their own account.</w:t>
      </w:r>
    </w:p>
    <w:p>
      <w:r>
        <w:t>Account status is authoritative on the backend: only Active accounts can establish or continue an authenticated session. Pending and Disabled accounts receive no active-user API access even if a previously rendered UI still shows controls.</w:t>
      </w:r>
    </w:p>
    <w:p>
      <w:r>
        <w:t xml:space="preserve">Administrators create Pending users. The server generates a cryptographically random one-time activation token, stores only its SHA-256 hash with a 24-hour expiry, and writes the activation message to the local activation-outbox under OMS_UPLOAD_DIR for the MVP. </w:t>
      </w:r>
      <w:r>
        <w:rPr>
          <w:b/>
        </w:rPr>
        <w:t>POST</w:t>
      </w:r>
      <w:r>
        <w:rPr/>
        <w:t xml:space="preserve"> /api/v1/auth/activate accepts the token and a policy-compliant password, atomically activates the account and clears the token. Raw tokens are never persisted in the database or audit log. SMTP can replace the outbox delivery adapter when credentials are supplied.</w:t>
      </w:r>
    </w:p>
    <w:p>
      <w:r>
        <w:t>The immutable audit_log table records the actor, action, target entity and timestamp. User creation, updates, role changes, status changes, password resets and deletion include safe role/status before-and-after context where relevant. Passwords, activation tokens, session values and bearer tokens are never logged. Recent audit activity is available to administrators through the existing dashboard activity feed.</w:t>
      </w:r>
    </w:p>
    <w:p>
      <w:pPr>
        <w:pStyle w:val="2"/>
      </w:pPr>
      <w:r>
        <w:t>14.6 Verification and non-goals</w:t>
      </w:r>
    </w:p>
    <w:p>
      <w:r>
        <w:t>Verification baseline: .\gradlew.bat :server:compileKotlin and .\gradlew.bat :composeApp:compileKotlinWasmJs completed successfully on 2026-08-20. The JWT unit tests also passed. The unsupported Flyway TiDB module declaration was removed because the selected version is unavailable from Maven Central.</w:t>
      </w:r>
    </w:p>
    <w:p>
      <w:r>
        <w:t>Notifications, offline synchronisation, external integrations, advanced analytics, document versioning, S3/MinIO storage and a general compliance/audit platform remain outside D0-D8 unless separately authorised. The D8 audit entries above are the limited MVP administrative audit requirement.</w:t>
      </w:r>
    </w:p>
    <w:p>
      <w:r>
        <w:t>Implementation clarification (2026-08-20): financial XLS/XLSX imports now return separate imported, skipped (duplicate reference) and row-error counts. New users are created in Pending state without an administrator-specified password; the server stores an undisclosed random placeholder and sends an activation outbox message, while the user sets the password only through the one-time 24-hour activation link.</w:t>
      </w:r>
    </w:p>
    <w:p>
      <w:r>
        <w:br w:type="page"/>
      </w:r>
    </w:p>
    <w:p>
      <w:pPr>
        <w:pStyle w:val="1"/>
      </w:pPr>
      <w:r>
        <w:t>Appendix A - URP III Operational Data Baseline</w:t>
      </w:r>
    </w:p>
    <w:p>
      <w:r>
        <w:t>This appendix is normative for the current Phase 1 operational dataset and supersedes prototype/demo-data assumptions elsewhere in this specification. The Ukrainian copy is not maintained as a separate source; this English specification remains authoritative.</w:t>
      </w:r>
    </w:p>
    <w:p>
      <w:pPr>
        <w:pStyle w:val="2"/>
      </w:pPr>
      <w:r>
        <w:t>A.1 Authoritative programme</w:t>
      </w:r>
    </w:p>
    <w:tbl>
      <w:tblPr>
        <w:tblW w:type="auto" w:w="0"/>
        <w:tblLayout w:type="fixed"/>
        <w:tblLook w:firstColumn="1" w:firstRow="1" w:lastColumn="0" w:lastRow="0" w:noHBand="0" w:noVBand="1" w:val="04A0"/>
      </w:tblPr>
      <w:tblGrid>
        <w:gridCol w:w="5040"/>
        <w:gridCol w:w="5040"/>
      </w:tblGrid>
      <w:tr>
        <w:tc>
          <w:tcPr>
            <w:tcW w:type="dxa" w:w="3024"/>
            <w:vAlign w:val="center"/>
          </w:tcPr>
          <w:p>
            <w:r>
              <w:rPr>
                <w:b/>
              </w:rPr>
              <w:t>Programme</w:t>
            </w:r>
          </w:p>
        </w:tc>
        <w:tc>
          <w:tcPr>
            <w:tcW w:type="dxa" w:w="6336"/>
            <w:vAlign w:val="center"/>
          </w:tcPr>
          <w:p>
            <w:r>
              <w:t>Ukraine Recovery Programme III</w:t>
            </w:r>
          </w:p>
        </w:tc>
      </w:tr>
      <w:tr>
        <w:tc>
          <w:tcPr>
            <w:tcW w:type="dxa" w:w="3024"/>
            <w:vAlign w:val="center"/>
          </w:tcPr>
          <w:p>
            <w:r>
              <w:rPr>
                <w:b/>
              </w:rPr>
              <w:t>Implementor</w:t>
            </w:r>
          </w:p>
        </w:tc>
        <w:tc>
          <w:tcPr>
            <w:tcW w:type="dxa" w:w="6336"/>
            <w:vAlign w:val="center"/>
          </w:tcPr>
          <w:p>
            <w:r>
              <w:t>Ministry for Development of Communities and Territories of Ukraine</w:t>
            </w:r>
          </w:p>
        </w:tc>
      </w:tr>
      <w:tr>
        <w:tc>
          <w:tcPr>
            <w:tcW w:type="dxa" w:w="3024"/>
            <w:vAlign w:val="center"/>
          </w:tcPr>
          <w:p>
            <w:r>
              <w:rPr>
                <w:b/>
              </w:rPr>
              <w:t>Financing institution</w:t>
            </w:r>
          </w:p>
        </w:tc>
        <w:tc>
          <w:tcPr>
            <w:tcW w:type="dxa" w:w="6336"/>
            <w:vAlign w:val="center"/>
          </w:tcPr>
          <w:p>
            <w:r>
              <w:t>European Investment Bank</w:t>
            </w:r>
          </w:p>
        </w:tc>
      </w:tr>
      <w:tr>
        <w:tc>
          <w:tcPr>
            <w:tcW w:type="dxa" w:w="3024"/>
            <w:vAlign w:val="center"/>
          </w:tcPr>
          <w:p>
            <w:r>
              <w:rPr>
                <w:b/>
              </w:rPr>
              <w:t>Finance contract</w:t>
            </w:r>
          </w:p>
        </w:tc>
        <w:tc>
          <w:tcPr>
            <w:tcW w:type="dxa" w:w="6336"/>
            <w:vAlign w:val="center"/>
          </w:tcPr>
          <w:p>
            <w:r>
              <w:t>EIB FI 97043</w:t>
            </w:r>
          </w:p>
        </w:tc>
      </w:tr>
      <w:tr>
        <w:tc>
          <w:tcPr>
            <w:tcW w:type="dxa" w:w="3024"/>
            <w:vAlign w:val="center"/>
          </w:tcPr>
          <w:p>
            <w:r>
              <w:rPr>
                <w:b/>
              </w:rPr>
              <w:t>Serapis</w:t>
            </w:r>
          </w:p>
        </w:tc>
        <w:tc>
          <w:tcPr>
            <w:tcW w:type="dxa" w:w="6336"/>
            <w:vAlign w:val="center"/>
          </w:tcPr>
          <w:p>
            <w:r>
              <w:t>2023-0227</w:t>
            </w:r>
          </w:p>
        </w:tc>
      </w:tr>
      <w:tr>
        <w:tc>
          <w:tcPr>
            <w:tcW w:type="dxa" w:w="3024"/>
            <w:vAlign w:val="center"/>
          </w:tcPr>
          <w:p>
            <w:r>
              <w:rPr>
                <w:b/>
              </w:rPr>
              <w:t>Agreement date</w:t>
            </w:r>
          </w:p>
        </w:tc>
        <w:tc>
          <w:tcPr>
            <w:tcW w:type="dxa" w:w="6336"/>
            <w:vAlign w:val="center"/>
          </w:tcPr>
          <w:p>
            <w:r>
              <w:t>11 June 2024</w:t>
            </w:r>
          </w:p>
        </w:tc>
      </w:tr>
      <w:tr>
        <w:tc>
          <w:tcPr>
            <w:tcW w:type="dxa" w:w="3024"/>
            <w:vAlign w:val="center"/>
          </w:tcPr>
          <w:p>
            <w:r>
              <w:rPr>
                <w:b/>
              </w:rPr>
              <w:t>Loan amount</w:t>
            </w:r>
          </w:p>
        </w:tc>
        <w:tc>
          <w:tcPr>
            <w:tcW w:type="dxa" w:w="6336"/>
            <w:vAlign w:val="center"/>
          </w:tcPr>
          <w:p>
            <w:r>
              <w:t>EUR 100,000,000</w:t>
            </w:r>
          </w:p>
        </w:tc>
      </w:tr>
      <w:tr>
        <w:tc>
          <w:tcPr>
            <w:tcW w:type="dxa" w:w="3024"/>
            <w:vAlign w:val="center"/>
          </w:tcPr>
          <w:p>
            <w:r>
              <w:rPr>
                <w:b/>
              </w:rPr>
              <w:t>Operational hierarchy</w:t>
            </w:r>
          </w:p>
        </w:tc>
        <w:tc>
          <w:tcPr>
            <w:tcW w:type="dxa" w:w="6336"/>
            <w:vAlign w:val="center"/>
          </w:tcPr>
          <w:p>
            <w:r>
              <w:t>1 programme -&gt; 134 subprojects -&gt; 0 subproject parts</w:t>
            </w:r>
          </w:p>
        </w:tc>
      </w:tr>
    </w:tbl>
    <w:p>
      <w:pPr>
        <w:pStyle w:val="2"/>
      </w:pPr>
      <w:r>
        <w:t>A.2 Source and deterministic import</w:t>
      </w:r>
    </w:p>
    <w:p>
      <w:r>
        <w:t>DB_Monitoring table.xlsx is the primary source. Tranche A + B selected.xlsx is a supplementary source for programme and procurement-plan facts. The checked-in generator tools/generate_urp3_seed.py produces canonical UTF-8 JSON and SQL with stable UUIDs.</w:t>
      </w:r>
    </w:p>
    <w:p>
      <w:r>
        <w:rPr>
          <w:b/>
        </w:rPr>
        <w:t xml:space="preserve">Mapping: </w:t>
      </w:r>
      <w:r>
        <w:t>One logical monitoring record is one OMS subproject.</w:t>
      </w:r>
    </w:p>
    <w:p>
      <w:r>
        <w:rPr>
          <w:b/>
        </w:rPr>
        <w:t xml:space="preserve">Result: </w:t>
      </w:r>
      <w:r>
        <w:t>136 physical rows produce 134 logical subprojects.</w:t>
      </w:r>
    </w:p>
    <w:p>
      <w:r>
        <w:rPr>
          <w:b/>
        </w:rPr>
        <w:t xml:space="preserve">Deduplication: </w:t>
      </w:r>
      <w:r>
        <w:t>Duplicate source rows SM08_09 and KH08_07#Lot6 are merged by stable lot ID.</w:t>
      </w:r>
    </w:p>
    <w:p>
      <w:r>
        <w:rPr>
          <w:b/>
        </w:rPr>
        <w:t xml:space="preserve">No fabrication: </w:t>
      </w:r>
      <w:r>
        <w:t>No inspections, financial transactions, documents or subproject parts are fabricated.</w:t>
      </w:r>
    </w:p>
    <w:p>
      <w:r>
        <w:t>Unknown values: Unknown values are nullable. Confirmed addresses use address coordinates; otherwise the settlement is used, with the relevant oblast centre reserved as a final explicit fallback and the accuracy is recorded.</w:t>
      </w:r>
    </w:p>
    <w:p>
      <w:pPr>
        <w:pStyle w:val="2"/>
      </w:pPr>
      <w:r>
        <w:t>A.3 Data model alignment</w:t>
      </w:r>
    </w:p>
    <w:tbl>
      <w:tblPr>
        <w:tblW w:type="auto" w:w="0"/>
        <w:tblLook w:firstColumn="1" w:firstRow="1" w:lastColumn="0" w:lastRow="0" w:noHBand="0" w:noVBand="1" w:val="04A0"/>
      </w:tblPr>
      <w:tblGrid>
        <w:gridCol w:w="3360"/>
        <w:gridCol w:w="3360"/>
        <w:gridCol w:w="3360"/>
      </w:tblGrid>
      <w:tr>
        <w:trPr>
          <w:tblHeader/>
          <w:tblHeader/>
          <w:tblHeader/>
        </w:trPr>
        <w:tc>
          <w:tcPr>
            <w:tcW w:type="dxa" w:w="3360"/>
          </w:tcPr>
          <w:p>
            <w:r>
              <w:rPr>
                <w:b/>
              </w:rPr>
              <w:t>Structure</w:t>
            </w:r>
          </w:p>
        </w:tc>
        <w:tc>
          <w:tcPr>
            <w:tcW w:type="dxa" w:w="3360"/>
          </w:tcPr>
          <w:p>
            <w:r>
              <w:rPr>
                <w:b/>
              </w:rPr>
              <w:t>Purpose</w:t>
            </w:r>
          </w:p>
        </w:tc>
        <w:tc>
          <w:tcPr>
            <w:tcW w:type="dxa" w:w="3360"/>
          </w:tcPr>
          <w:p>
            <w:r>
              <w:rPr>
                <w:b/>
              </w:rPr>
              <w:t>Key content</w:t>
            </w:r>
          </w:p>
        </w:tc>
      </w:tr>
      <w:tr>
        <w:tc>
          <w:tcPr>
            <w:tcW w:type="dxa" w:w="3360"/>
            <w:vAlign w:val="center"/>
          </w:tcPr>
          <w:p>
            <w:r>
              <w:t>projects</w:t>
            </w:r>
          </w:p>
        </w:tc>
        <w:tc>
          <w:tcPr>
            <w:tcW w:type="dxa" w:w="3360"/>
            <w:vAlign w:val="center"/>
          </w:tcPr>
          <w:p>
            <w:r>
              <w:t>Hierarchy and reusable OMS project concepts</w:t>
            </w:r>
          </w:p>
        </w:tc>
        <w:tc>
          <w:tcPr>
            <w:tcW w:type="dxa" w:w="3360"/>
            <w:vAlign w:val="center"/>
          </w:tcPr>
          <w:p>
            <w:r>
              <w:t>Programme/subproject type, parent, name/code, status, nullable location, contracts and dates</w:t>
            </w:r>
          </w:p>
        </w:tc>
      </w:tr>
      <w:tr>
        <w:tc>
          <w:tcPr>
            <w:tcW w:type="dxa" w:w="3360"/>
            <w:vAlign w:val="center"/>
          </w:tcPr>
          <w:p>
            <w:r>
              <w:t>programme_details</w:t>
            </w:r>
          </w:p>
        </w:tc>
        <w:tc>
          <w:tcPr>
            <w:tcW w:type="dxa" w:w="3360"/>
            <w:vAlign w:val="center"/>
          </w:tcPr>
          <w:p>
            <w:r>
              <w:t>One-to-one programme agreement facts</w:t>
            </w:r>
          </w:p>
        </w:tc>
        <w:tc>
          <w:tcPr>
            <w:tcW w:type="dxa" w:w="3360"/>
            <w:vAlign w:val="center"/>
          </w:tcPr>
          <w:p>
            <w:r>
              <w:t>Implementor, EIB/Serapis identifiers, agreement date, loan amount and provenance</w:t>
            </w:r>
          </w:p>
        </w:tc>
      </w:tr>
      <w:tr>
        <w:tc>
          <w:tcPr>
            <w:tcW w:type="dxa" w:w="3360"/>
            <w:vAlign w:val="center"/>
          </w:tcPr>
          <w:p>
            <w:r>
              <w:t>project_monitoring_details</w:t>
            </w:r>
          </w:p>
        </w:tc>
        <w:tc>
          <w:tcPr>
            <w:tcW w:type="dxa" w:w="3360"/>
            <w:vAlign w:val="center"/>
          </w:tcPr>
          <w:p>
            <w:r>
              <w:t>One-to-one source monitoring metadata</w:t>
            </w:r>
          </w:p>
        </w:tc>
        <w:tc>
          <w:tcPr>
            <w:tcW w:type="dxa" w:w="3360"/>
            <w:vAlign w:val="center"/>
          </w:tcPr>
          <w:p>
            <w:r>
              <w:t>Stable source/lot IDs, bilingual names, municipality, beneficiary, DREAM/application identifiers and source statuses</w:t>
            </w:r>
          </w:p>
        </w:tc>
      </w:tr>
      <w:tr>
        <w:tc>
          <w:tcPr>
            <w:tcW w:type="dxa" w:w="3360"/>
            <w:vAlign w:val="center"/>
          </w:tcPr>
          <w:p>
            <w:r>
              <w:t>project_amounts</w:t>
            </w:r>
          </w:p>
        </w:tc>
        <w:tc>
          <w:tcPr>
            <w:tcW w:type="dxa" w:w="3360"/>
            <w:vAlign w:val="center"/>
          </w:tcPr>
          <w:p>
            <w:r>
              <w:t>Exact monetary snapshots</w:t>
            </w:r>
          </w:p>
        </w:tc>
        <w:tc>
          <w:tcPr>
            <w:tcW w:type="dxa" w:w="3360"/>
            <w:vAlign w:val="center"/>
          </w:tcPr>
          <w:p>
            <w:r>
              <w:t>Source amount/currency, converted amount, UAH-per-EUR rate and rate date</w:t>
            </w:r>
          </w:p>
        </w:tc>
      </w:tr>
      <w:tr>
        <w:tc>
          <w:tcPr>
            <w:tcW w:type="dxa" w:w="3360"/>
            <w:vAlign w:val="center"/>
          </w:tcPr>
          <w:p>
            <w:r>
              <w:t>procurement_records</w:t>
            </w:r>
          </w:p>
        </w:tc>
        <w:tc>
          <w:tcPr>
            <w:tcW w:type="dxa" w:w="3360"/>
            <w:vAlign w:val="center"/>
          </w:tcPr>
          <w:p>
            <w:r>
              <w:t>Source-backed procurement state</w:t>
            </w:r>
          </w:p>
        </w:tc>
        <w:tc>
          <w:tcPr>
            <w:tcW w:type="dxa" w:w="3360"/>
            <w:vAlign w:val="center"/>
          </w:tcPr>
          <w:p>
            <w:r>
              <w:t>Owning subproject, contract type, method, planned tender/contract dates, comments and contract facts</w:t>
            </w:r>
          </w:p>
        </w:tc>
      </w:tr>
    </w:tbl>
    <w:p>
      <w:pPr>
        <w:pStyle w:val="2"/>
      </w:pPr>
      <w:r>
        <w:t>A.4 Migration and preservation rule</w:t>
      </w:r>
    </w:p>
    <w:p>
      <w:r>
        <w:t>Flyway V38 is an intentional operational-data replacement boundary. Before deployment, back up the database and upload storage. The migration deletes project-linked operational records and loads the canonical URP III dataset, while preserving users, password hashes, roles, account state and authentication data required for existing credentials to continue working.</w:t>
      </w:r>
    </w:p>
    <w:p>
      <w:r>
        <w:t>The map displays subprojects and subproject parts using verified address coordinates, settlement coordinates or an explicitly labelled oblast-centre fallback. All existing CRUD modules and the three-level hierarchy remain available.</w:t>
      </w:r>
    </w:p>
    <w:p>
      <w:r>
        <w:br w:type="page"/>
      </w:r>
    </w:p>
    <w:p>
      <w:pPr>
        <w:pStyle w:val="1"/>
      </w:pPr>
      <w:r>
        <w:t>Appendix B - UMITAF UI and Data Clarifications</w:t>
      </w:r>
    </w:p>
    <w:p>
      <w:r>
        <w:t>This appendix records the accepted UMITAF review comments for the Phase 1 MVP. It is normative and supersedes conflicting prototype UI descriptions.</w:t>
      </w:r>
    </w:p>
    <w:p>
      <w:pPr>
        <w:pStyle w:val="2"/>
      </w:pPr>
      <w:r>
        <w:t>B.1 Navigation and interaction</w:t>
      </w:r>
    </w:p>
    <w:p>
      <w:r>
        <w:t>• The web client maintains browser history for screen navigation. Browser Back returns to the previous OMS screen without resetting the authenticated session.</w:t>
      </w:r>
    </w:p>
    <w:p>
      <w:r>
        <w:t>• Selecting the already active Map navigation item resets the map to the Ukraine-wide overview.</w:t>
      </w:r>
    </w:p>
    <w:p>
      <w:r>
        <w:t>• Interactive navigation items, tabs, links and icon actions use a pointer cursor and expose accessible labels or tooltips.</w:t>
      </w:r>
    </w:p>
    <w:p>
      <w:pPr>
        <w:pStyle w:val="2"/>
      </w:pPr>
      <w:r>
        <w:t>B.2 Project details</w:t>
      </w:r>
    </w:p>
    <w:p>
      <w:r>
        <w:t>• General information begins with the customer-facing project, subproject or subproject-part name, followed by location data.</w:t>
      </w:r>
    </w:p>
    <w:p>
      <w:r>
        <w:t>• Project detail sections are independently collapsible and use explicit expand/collapse icons.</w:t>
      </w:r>
    </w:p>
    <w:p>
      <w:r>
        <w:t>• For records with coordinates, the location section provides an OpenStreetMap URL that can be opened or copied.</w:t>
      </w:r>
    </w:p>
    <w:p>
      <w:pPr>
        <w:pStyle w:val="2"/>
      </w:pPr>
      <w:r>
        <w:t>B.3 Analytics and tables</w:t>
      </w:r>
    </w:p>
    <w:p>
      <w:r>
        <w:t>• Approved funding by oblast and subproject completion use horizontally scrollable vertical bar charts with separate controls.</w:t>
      </w:r>
    </w:p>
    <w:p>
      <w:r>
        <w:t>• Procurement status includes every configured status, including zero values, and is rendered as a vertically readable list.</w:t>
      </w:r>
    </w:p>
    <w:p>
      <w:r>
        <w:t>• Inspection-report and financial-record empty states fit the available width and do not show a redundant horizontal scrollbar.</w:t>
      </w:r>
    </w:p>
    <w:p>
      <w:r>
        <w:t>• The procurement register supports 20, 50, 100 or all rows per page, Previous/Next navigation, sticky column headings and horizontal scrolling only for populated wide tables.</w:t>
      </w:r>
    </w:p>
    <w:p>
      <w:pPr>
        <w:pStyle w:val="2"/>
      </w:pPr>
      <w:r>
        <w:t>B.4 Localisation</w:t>
      </w:r>
    </w:p>
    <w:p>
      <w:r>
        <w:t>• Imported bilingual monitoring fields are selected according to the active UI language. The English UI prefers English project, settlement, municipality, beneficiary, project-manager and contractor names when supplied; the Ukrainian UI prefers Ukrainian values.</w:t>
      </w:r>
    </w:p>
    <w:p>
      <w:r>
        <w:t>• Procurement status values are displayed in one language only, according to the active UI language.</w:t>
      </w:r>
    </w:p>
    <w:p>
      <w:pPr>
        <w:pStyle w:val="2"/>
      </w:pPr>
      <w:r>
        <w:t>B.5 Map data quality</w:t>
      </w:r>
    </w:p>
    <w:p>
      <w:r>
        <w:t>• Map popups use an opaque high-contrast background, stay inside the map viewport and auto-pan when necessary.</w:t>
      </w:r>
    </w:p>
    <w:p>
      <w:r>
        <w:t>• Each imported subproject is geocoded once and the result is persisted. A confirmed street address is preferred; otherwise the settlement coordinate is used; only when the settlement cannot be resolved is the relevant oblast centre used as an explicit fallback.</w:t>
      </w:r>
    </w:p>
    <w:p>
      <w:r>
        <w:t>• The checked-in URP III baseline contains 134 resolved subprojects and records geocode accuracy, query, provider display name and OpenStreetMap provenance for auditability.</w:t>
      </w:r>
    </w:p>
    <w:p>
      <w:pPr>
        <w:pStyle w:val="2"/>
      </w:pPr>
      <w:r>
        <w:t>B.6 Financial terminology</w:t>
      </w:r>
    </w:p>
    <w:p>
      <w:r>
        <w:t>• Disbursement means programme financing allocated to screened projects and is not a synonym for money paid under certified acts.</w:t>
      </w:r>
    </w:p>
    <w:p>
      <w:r>
        <w:t>• The act-based monthly chart is labelled Payments against certified works by month. It aggregates actual act/payment data converted to EUR using the stored exchange rate for the financial-record date.</w:t>
      </w:r>
    </w:p>
    <w:p>
      <w:r>
        <w:t>• Allocated/disbursed programme funding and actual payments must remain separate datasets and visualisations; the system must not infer one from the other.</w:t>
      </w:r>
    </w:p>
    <w:p>
      <w:pPr>
        <w:pStyle w:val="2"/>
      </w:pPr>
      <w:r>
        <w:t>B.7 Inspection registry performance</w:t>
      </w:r>
    </w:p>
    <w:p>
      <w:r>
        <w:t>GET /inspection-reports/analytics is the dedicated authenticated endpoint for the inspection registry charts. It returns only monthly inspection counts and monthly ES/HS finding counts, scoped to the caller's permitted projects.</w:t>
      </w:r>
    </w:p>
    <w:p>
      <w:r>
        <w:t>The inspection registry loads this lightweight endpoint instead of GET /dashboard. Dashboard reads are side-effect free: they must not backfill financial EUR equivalents, recalculate exchange rates or call an external rate provider. EUR conversion is stored when a financial record is created or updated.</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