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OMS Administrator Guide</w:t>
      </w:r>
    </w:p>
    <w:p>
      <w:pPr>
        <w:pStyle w:val="Subtitle"/>
      </w:pPr>
      <w:r>
        <w:t>Installation, security and operations for OMS MVP</w:t>
      </w:r>
    </w:p>
    <w:p>
      <w:r>
        <w:t>OMS — Operational Management System | Version: MVP D0–D10 | 20 August 2026</w:t>
      </w:r>
    </w:p>
    <w:p>
      <w:pPr>
        <w:pStyle w:val="IntenseQuote"/>
      </w:pPr>
      <w:r>
        <w:t>This guide documents the implemented system. It does not describe planned Phase 2 functions.</w:t>
      </w:r>
    </w:p>
    <w:p>
      <w:r>
        <w:br w:type="page"/>
      </w:r>
    </w:p>
    <w:p>
      <w:pPr>
        <w:pStyle w:val="Heading1"/>
      </w:pPr>
      <w:r>
        <w:t>1. Architecture</w:t>
      </w:r>
    </w:p>
    <w:p>
      <w:r>
        <w:t>OMS is Kotlin Multiplatform/Compose Web (Wasm) with a Ktor backend, MySQL 8 database, Flyway migrations and filesystem-backed upload storage for the MVP. The deployed server packages the Web distribution and API under one origin.</w:t>
      </w:r>
    </w:p>
    <w:p>
      <w:pPr>
        <w:pStyle w:val="Heading1"/>
      </w:pPr>
      <w:r>
        <w:t>2. Startup and deployment</w:t>
      </w:r>
    </w:p>
    <w:p>
      <w:pPr>
        <w:pStyle w:val="ListBullet"/>
      </w:pPr>
      <w:r>
        <w:t>Prerequisites: JDK 21, Docker Desktop for container runs, and MySQL 8.4-compatible database.</w:t>
      </w:r>
    </w:p>
    <w:p>
      <w:pPr>
        <w:pStyle w:val="ListBullet"/>
      </w:pPr>
      <w:r>
        <w:t>Local checks: .\gradlew.bat :server:test and .\gradlew.bat :composeApp:compileKotlinWasmJs.</w:t>
      </w:r>
    </w:p>
    <w:p>
      <w:pPr>
        <w:pStyle w:val="ListBullet"/>
      </w:pPr>
      <w:r>
        <w:t>Container build: docker build -t oms:local .  Start it with DATABASE_URL, DATABASE_USER, DATABASE_PASSWORD and OMS_JWT_SECRET. The health endpoint is GET /api/v1/health.</w:t>
      </w:r>
    </w:p>
    <w:p>
      <w:pPr>
        <w:pStyle w:val="ListBullet"/>
      </w:pPr>
      <w:r>
        <w:t>Flyway runs automatically at startup. Do not edit applied migration files; add a new Vnn migration.</w:t>
      </w:r>
    </w:p>
    <w:p>
      <w:pPr>
        <w:pStyle w:val="Heading1"/>
      </w:pPr>
      <w:r>
        <w:t>3. Configuration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7365D"/>
          </w:tcPr>
          <w:p>
            <w:r>
              <w:rPr>
                <w:color w:val="FFFFFF"/>
              </w:rPr>
              <w:t>Variable</w:t>
            </w:r>
          </w:p>
        </w:tc>
        <w:tc>
          <w:tcPr>
            <w:tcW w:type="dxa" w:w="3264"/>
            <w:shd w:fill="17365D"/>
          </w:tcPr>
          <w:p>
            <w:r>
              <w:rPr>
                <w:color w:val="FFFFFF"/>
              </w:rPr>
              <w:t>Purpose</w:t>
            </w:r>
          </w:p>
        </w:tc>
        <w:tc>
          <w:tcPr>
            <w:tcW w:type="dxa" w:w="3264"/>
            <w:shd w:fill="17365D"/>
          </w:tcPr>
          <w:p>
            <w:r>
              <w:rPr>
                <w:color w:val="FFFFFF"/>
              </w:rPr>
              <w:t>Required</w:t>
            </w:r>
          </w:p>
        </w:tc>
      </w:tr>
      <w:tr>
        <w:tc>
          <w:tcPr>
            <w:tcW w:type="dxa" w:w="3264"/>
            <w:vAlign w:val="center"/>
          </w:tcPr>
          <w:p>
            <w:r>
              <w:t>DATABASE_URL</w:t>
            </w:r>
          </w:p>
        </w:tc>
        <w:tc>
          <w:tcPr>
            <w:tcW w:type="dxa" w:w="3264"/>
            <w:vAlign w:val="center"/>
          </w:tcPr>
          <w:p>
            <w:r>
              <w:t>JDBC MySQL URL</w:t>
            </w:r>
          </w:p>
        </w:tc>
        <w:tc>
          <w:tcPr>
            <w:tcW w:type="dxa" w:w="3264"/>
            <w:vAlign w:val="center"/>
          </w:tcPr>
          <w:p>
            <w:r>
              <w:t>Yes</w:t>
            </w:r>
          </w:p>
        </w:tc>
      </w:tr>
      <w:tr>
        <w:tc>
          <w:tcPr>
            <w:tcW w:type="dxa" w:w="3264"/>
            <w:vAlign w:val="center"/>
          </w:tcPr>
          <w:p>
            <w:r>
              <w:t>DATABASE_USER / DATABASE_PASSWORD</w:t>
            </w:r>
          </w:p>
        </w:tc>
        <w:tc>
          <w:tcPr>
            <w:tcW w:type="dxa" w:w="3264"/>
            <w:vAlign w:val="center"/>
          </w:tcPr>
          <w:p>
            <w:r>
              <w:t>Database account</w:t>
            </w:r>
          </w:p>
        </w:tc>
        <w:tc>
          <w:tcPr>
            <w:tcW w:type="dxa" w:w="3264"/>
            <w:vAlign w:val="center"/>
          </w:tcPr>
          <w:p>
            <w:r>
              <w:t>Yes</w:t>
            </w:r>
          </w:p>
        </w:tc>
      </w:tr>
      <w:tr>
        <w:tc>
          <w:tcPr>
            <w:tcW w:type="dxa" w:w="3264"/>
            <w:vAlign w:val="center"/>
          </w:tcPr>
          <w:p>
            <w:r>
              <w:t>OMS_JWT_SECRET</w:t>
            </w:r>
          </w:p>
        </w:tc>
        <w:tc>
          <w:tcPr>
            <w:tcW w:type="dxa" w:w="3264"/>
            <w:vAlign w:val="center"/>
          </w:tcPr>
          <w:p>
            <w:r>
              <w:t>At least 32 characters; persistent HMAC signing key</w:t>
            </w:r>
          </w:p>
        </w:tc>
        <w:tc>
          <w:tcPr>
            <w:tcW w:type="dxa" w:w="3264"/>
            <w:vAlign w:val="center"/>
          </w:tcPr>
          <w:p>
            <w:r>
              <w:t>Yes for persistent deployment</w:t>
            </w:r>
          </w:p>
        </w:tc>
      </w:tr>
      <w:tr>
        <w:tc>
          <w:tcPr>
            <w:tcW w:type="dxa" w:w="3264"/>
            <w:vAlign w:val="center"/>
          </w:tcPr>
          <w:p>
            <w:r>
              <w:t>OMS_UPLOAD_DIR</w:t>
            </w:r>
          </w:p>
        </w:tc>
        <w:tc>
          <w:tcPr>
            <w:tcW w:type="dxa" w:w="3264"/>
            <w:vAlign w:val="center"/>
          </w:tcPr>
          <w:p>
            <w:r>
              <w:t>Filesystem upload/outbox root</w:t>
            </w:r>
          </w:p>
        </w:tc>
        <w:tc>
          <w:tcPr>
            <w:tcW w:type="dxa" w:w="3264"/>
            <w:vAlign w:val="center"/>
          </w:tcPr>
          <w:p>
            <w:r>
              <w:t>Optional</w:t>
            </w:r>
          </w:p>
        </w:tc>
      </w:tr>
      <w:tr>
        <w:tc>
          <w:tcPr>
            <w:tcW w:type="dxa" w:w="3264"/>
            <w:vAlign w:val="center"/>
          </w:tcPr>
          <w:p>
            <w:r>
              <w:t>OMS_PUBLIC_BASE_URL</w:t>
            </w:r>
          </w:p>
        </w:tc>
        <w:tc>
          <w:tcPr>
            <w:tcW w:type="dxa" w:w="3264"/>
            <w:vAlign w:val="center"/>
          </w:tcPr>
          <w:p>
            <w:r>
              <w:t>Base link in queued activation email</w:t>
            </w:r>
          </w:p>
        </w:tc>
        <w:tc>
          <w:tcPr>
            <w:tcW w:type="dxa" w:w="3264"/>
            <w:vAlign w:val="center"/>
          </w:tcPr>
          <w:p>
            <w:r>
              <w:t>Optional</w:t>
            </w:r>
          </w:p>
        </w:tc>
      </w:tr>
      <w:tr>
        <w:tc>
          <w:tcPr>
            <w:tcW w:type="dxa" w:w="3264"/>
            <w:vAlign w:val="center"/>
          </w:tcPr>
          <w:p>
            <w:r>
              <w:t>PORT</w:t>
            </w:r>
          </w:p>
        </w:tc>
        <w:tc>
          <w:tcPr>
            <w:tcW w:type="dxa" w:w="3264"/>
            <w:vAlign w:val="center"/>
          </w:tcPr>
          <w:p>
            <w:r>
              <w:t>HTTP listener port</w:t>
            </w:r>
          </w:p>
        </w:tc>
        <w:tc>
          <w:tcPr>
            <w:tcW w:type="dxa" w:w="3264"/>
            <w:vAlign w:val="center"/>
          </w:tcPr>
          <w:p>
            <w:r>
              <w:t>Optional</w:t>
            </w:r>
          </w:p>
        </w:tc>
      </w:tr>
    </w:tbl>
    <w:p/>
    <w:p>
      <w:pPr>
        <w:pStyle w:val="Heading1"/>
      </w:pPr>
      <w:r>
        <w:t>4. Authentication and RBAC</w:t>
      </w:r>
    </w:p>
    <w:p>
      <w:r>
        <w:t>Login establishes an HttpOnly session and returns a short-lived Bearer JWT. Protected API calls resolve the current database user on each request. Missing/invalid authentication returns 401; an authenticated but unauthorised request returns 403. Pending and Disabled accounts are rejected.</w:t>
      </w:r>
    </w:p>
    <w:p>
      <w:pPr>
        <w:pStyle w:val="Heading2"/>
      </w:pPr>
      <w:r>
        <w:t>RBAC administration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365D"/>
          </w:tcPr>
          <w:p>
            <w:r>
              <w:rPr>
                <w:color w:val="FFFFFF"/>
              </w:rPr>
              <w:t>Role</w:t>
            </w:r>
          </w:p>
        </w:tc>
        <w:tc>
          <w:tcPr>
            <w:tcW w:type="dxa" w:w="4896"/>
            <w:shd w:fill="17365D"/>
          </w:tcPr>
          <w:p>
            <w:r>
              <w:rPr>
                <w:color w:val="FFFFFF"/>
              </w:rPr>
              <w:t>Scope</w:t>
            </w:r>
          </w:p>
        </w:tc>
      </w:tr>
      <w:tr>
        <w:tc>
          <w:tcPr>
            <w:tcW w:type="dxa" w:w="4896"/>
            <w:vAlign w:val="center"/>
          </w:tcPr>
          <w:p>
            <w:r>
              <w:t>ADMIN</w:t>
            </w:r>
          </w:p>
        </w:tc>
        <w:tc>
          <w:tcPr>
            <w:tcW w:type="dxa" w:w="4896"/>
            <w:vAlign w:val="center"/>
          </w:tcPr>
          <w:p>
            <w:r>
              <w:t>All projects and administration</w:t>
            </w:r>
          </w:p>
        </w:tc>
      </w:tr>
      <w:tr>
        <w:tc>
          <w:tcPr>
            <w:tcW w:type="dxa" w:w="4896"/>
            <w:vAlign w:val="center"/>
          </w:tcPr>
          <w:p>
            <w:r>
              <w:t>PROJECT_MANAGER</w:t>
            </w:r>
          </w:p>
        </w:tc>
        <w:tc>
          <w:tcPr>
            <w:tcW w:type="dxa" w:w="4896"/>
            <w:vAlign w:val="center"/>
          </w:tcPr>
          <w:p>
            <w:r>
              <w:t>Only assigned projects; cannot administer users</w:t>
            </w:r>
          </w:p>
        </w:tc>
      </w:tr>
      <w:tr>
        <w:tc>
          <w:tcPr>
            <w:tcW w:type="dxa" w:w="4896"/>
            <w:vAlign w:val="center"/>
          </w:tcPr>
          <w:p>
            <w:r>
              <w:t>INSPECTOR</w:t>
            </w:r>
          </w:p>
        </w:tc>
        <w:tc>
          <w:tcPr>
            <w:tcW w:type="dxa" w:w="4896"/>
            <w:vAlign w:val="center"/>
          </w:tcPr>
          <w:p>
            <w:r>
              <w:t>Inspection draft creation/editing; no financials</w:t>
            </w:r>
          </w:p>
        </w:tc>
      </w:tr>
      <w:tr>
        <w:tc>
          <w:tcPr>
            <w:tcW w:type="dxa" w:w="4896"/>
            <w:vAlign w:val="center"/>
          </w:tcPr>
          <w:p>
            <w:r>
              <w:t>VIEWER</w:t>
            </w:r>
          </w:p>
        </w:tc>
        <w:tc>
          <w:tcPr>
            <w:tcW w:type="dxa" w:w="4896"/>
            <w:vAlign w:val="center"/>
          </w:tcPr>
          <w:p>
            <w:r>
              <w:t>Read-only permitted operational areas</w:t>
            </w:r>
          </w:p>
        </w:tc>
      </w:tr>
      <w:tr>
        <w:tc>
          <w:tcPr>
            <w:tcW w:type="dxa" w:w="4896"/>
            <w:vAlign w:val="center"/>
          </w:tcPr>
          <w:p>
            <w:r>
              <w:t>GUEST</w:t>
            </w:r>
          </w:p>
        </w:tc>
        <w:tc>
          <w:tcPr>
            <w:tcW w:type="dxa" w:w="4896"/>
            <w:vAlign w:val="center"/>
          </w:tcPr>
          <w:p>
            <w:r>
              <w:t>Read-only permitted project/map/dashboard/report/document areas</w:t>
            </w:r>
          </w:p>
        </w:tc>
      </w:tr>
      <w:tr>
        <w:tc>
          <w:tcPr>
            <w:tcW w:type="dxa" w:w="4896"/>
            <w:vAlign w:val="center"/>
          </w:tcPr>
          <w:p>
            <w:r>
              <w:t>CONTRACTOR</w:t>
            </w:r>
          </w:p>
        </w:tc>
        <w:tc>
          <w:tcPr>
            <w:tcW w:type="dxa" w:w="4896"/>
            <w:vAlign w:val="center"/>
          </w:tcPr>
          <w:p>
            <w:r>
              <w:t>Legacy compatibility role</w:t>
            </w:r>
          </w:p>
        </w:tc>
      </w:tr>
    </w:tbl>
    <w:p/>
    <w:p>
      <w:pPr>
        <w:pStyle w:val="Heading1"/>
      </w:pPr>
      <w:r>
        <w:t>5. User lifecycle and audit</w:t>
      </w:r>
    </w:p>
    <w:p>
      <w:pPr>
        <w:pStyle w:val="ListBullet"/>
      </w:pPr>
      <w:r>
        <w:t>Admin creates a user as Pending; OMS writes an activation .eml message to the configured local outbox. The user follows the link once, selects a compliant password and becomes Active.</w:t>
      </w:r>
    </w:p>
    <w:p>
      <w:pPr>
        <w:pStyle w:val="ListBullet"/>
      </w:pPr>
      <w:r>
        <w:t>Disable accounts through user editing. Never send passwords, JWTs or activation tokens through logs or audit values.</w:t>
      </w:r>
    </w:p>
    <w:p>
      <w:pPr>
        <w:pStyle w:val="ListBullet"/>
      </w:pPr>
      <w:r>
        <w:t>Audit records include implemented user creation, role/status changes, activation and relevant domain mutations with actor, target and timestamp.</w:t>
      </w:r>
    </w:p>
    <w:p>
      <w:pPr>
        <w:pStyle w:val="Heading1"/>
      </w:pPr>
      <w:r>
        <w:t>6. Database, storage and imports</w:t>
      </w:r>
    </w:p>
    <w:p>
      <w:pPr>
        <w:pStyle w:val="ListBullet"/>
      </w:pPr>
      <w:r>
        <w:t>Key entities include users/roles, projects and hierarchy, inspection reports/findings/photos, financial records, documents and audit_log. Use Flyway V1…V29 in order.</w:t>
      </w:r>
    </w:p>
    <w:p>
      <w:pPr>
        <w:pStyle w:val="ListBullet"/>
      </w:pPr>
      <w:r>
        <w:t>MVP storage is filesystem based. OMS authorizes project access before document/download paths; preserve and back up OMS_UPLOAD_DIR. MinIO/S3 is not configured.</w:t>
      </w:r>
    </w:p>
    <w:p>
      <w:pPr>
        <w:pStyle w:val="ListBullet"/>
      </w:pPr>
      <w:r>
        <w:t>SIR import accepts XLS/XLSX with validation. Financial import accepts XLSX, 1,000 data rows maximum, reports row errors and skips duplicate reference numbers.</w:t>
      </w:r>
    </w:p>
    <w:p>
      <w:pPr>
        <w:pStyle w:val="Heading1"/>
      </w:pPr>
      <w:r>
        <w:t>7. Operations and troubleshooting</w:t>
      </w:r>
    </w:p>
    <w:p>
      <w:pPr>
        <w:pStyle w:val="ListBullet"/>
      </w:pPr>
      <w:r>
        <w:t>Startup failure: inspect container/server logs and verify DATABASE_* names (not OMS_DB_*), database reachability and credentials.</w:t>
      </w:r>
    </w:p>
    <w:p>
      <w:pPr>
        <w:pStyle w:val="ListBullet"/>
      </w:pPr>
      <w:r>
        <w:t>Migration failure: preserve logs, identify the failing version, correct with a new migration where possible; use repair only for a locally interrupted development history.</w:t>
      </w:r>
    </w:p>
    <w:p>
      <w:pPr>
        <w:pStyle w:val="ListBullet"/>
      </w:pPr>
      <w:r>
        <w:t>Upload failure: check writable OMS_UPLOAD_DIR, file limits and authenticated project permission.</w:t>
      </w:r>
    </w:p>
    <w:p>
      <w:pPr>
        <w:pStyle w:val="ListBullet"/>
      </w:pPr>
      <w:r>
        <w:t>Authentication issue: verify OMS_JWT_SECRET length and account status. Never rotate a persistent secret without a planned token/session invalidation.</w:t>
      </w:r>
    </w:p>
    <w:p>
      <w:pPr>
        <w:pStyle w:val="Heading1"/>
      </w:pPr>
      <w:r>
        <w:t>8. Security checklist</w:t>
      </w:r>
    </w:p>
    <w:p>
      <w:pPr>
        <w:pStyle w:val="ListBullet"/>
      </w:pPr>
      <w:r>
        <w:t>Use HTTPS in deployment and a unique secret of 32+ characters.</w:t>
      </w:r>
    </w:p>
    <w:p>
      <w:pPr>
        <w:pStyle w:val="ListBullet"/>
      </w:pPr>
      <w:r>
        <w:t>Back up MySQL and OMS_UPLOAD_DIR; restrict filesystem permissions.</w:t>
      </w:r>
    </w:p>
    <w:p>
      <w:pPr>
        <w:pStyle w:val="ListBullet"/>
      </w:pPr>
      <w:r>
        <w:t>Review audit activity regularly; do not place credentials in documents, tickets or audit data.</w:t>
      </w:r>
    </w:p>
    <w:p>
      <w:pPr>
        <w:pStyle w:val="ListBullet"/>
      </w:pPr>
      <w:r>
        <w:t>Grant PM assignments deliberately; API checks confine PM requests to assigned projects.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