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DC8DA3" w14:textId="77777777" w:rsidR="00FE33C0" w:rsidRPr="00FE33C0" w:rsidRDefault="00FE33C0" w:rsidP="00FE33C0">
      <w:pPr>
        <w:widowControl/>
        <w:spacing w:before="240" w:after="240"/>
        <w:jc w:val="left"/>
        <w:rPr>
          <w:rFonts w:ascii="宋体" w:eastAsia="宋体" w:hAnsi="宋体" w:cs="宋体"/>
          <w:iCs w:val="0"/>
          <w:color w:val="auto"/>
          <w:kern w:val="0"/>
          <w14:ligatures w14:val="none"/>
        </w:rPr>
      </w:pPr>
      <w:r w:rsidRPr="00FE33C0">
        <w:rPr>
          <w:rFonts w:ascii="宋体" w:eastAsia="宋体" w:hAnsi="宋体" w:cs="宋体"/>
          <w:b/>
          <w:bCs/>
          <w:iCs w:val="0"/>
          <w:color w:val="auto"/>
          <w:kern w:val="0"/>
          <w:sz w:val="26"/>
          <w:szCs w:val="26"/>
          <w14:ligatures w14:val="none"/>
        </w:rPr>
        <w:t>文章题目：</w:t>
      </w:r>
      <w:r w:rsidRPr="00FE33C0">
        <w:rPr>
          <w:rFonts w:ascii="宋体" w:eastAsia="宋体" w:hAnsi="宋体" w:cs="宋体"/>
          <w:iCs w:val="0"/>
          <w:color w:val="auto"/>
          <w:kern w:val="0"/>
          <w:sz w:val="26"/>
          <w:szCs w:val="26"/>
          <w14:ligatures w14:val="none"/>
        </w:rPr>
        <w:t>欧洲债券发行者对绿色标签的选择及影响 (Choices and effects of different green labels in the EU bond market)</w:t>
      </w:r>
    </w:p>
    <w:p w14:paraId="4D329FD3" w14:textId="77777777" w:rsidR="00FE33C0" w:rsidRPr="00FE33C0" w:rsidRDefault="00FE33C0" w:rsidP="00FE33C0">
      <w:pPr>
        <w:widowControl/>
        <w:spacing w:before="240" w:after="240"/>
        <w:jc w:val="left"/>
        <w:rPr>
          <w:rFonts w:ascii="宋体" w:eastAsia="宋体" w:hAnsi="宋体" w:cs="宋体"/>
          <w:iCs w:val="0"/>
          <w:color w:val="auto"/>
          <w:kern w:val="0"/>
          <w14:ligatures w14:val="none"/>
        </w:rPr>
      </w:pPr>
      <w:r w:rsidRPr="00FE33C0">
        <w:rPr>
          <w:rFonts w:ascii="宋体" w:eastAsia="宋体" w:hAnsi="宋体" w:cs="宋体"/>
          <w:b/>
          <w:bCs/>
          <w:iCs w:val="0"/>
          <w:color w:val="auto"/>
          <w:kern w:val="0"/>
          <w:sz w:val="26"/>
          <w:szCs w:val="26"/>
          <w14:ligatures w14:val="none"/>
        </w:rPr>
        <w:t>发表期刊：</w:t>
      </w:r>
      <w:r w:rsidRPr="00FE33C0">
        <w:rPr>
          <w:rFonts w:ascii="宋体" w:eastAsia="宋体" w:hAnsi="宋体" w:cs="宋体"/>
          <w:iCs w:val="0"/>
          <w:color w:val="auto"/>
          <w:kern w:val="0"/>
          <w:sz w:val="26"/>
          <w:szCs w:val="26"/>
          <w14:ligatures w14:val="none"/>
        </w:rPr>
        <w:t>Journal of Business Ethics</w:t>
      </w:r>
    </w:p>
    <w:p w14:paraId="2A2A33ED" w14:textId="2EEFB095" w:rsidR="00FE33C0" w:rsidRPr="00FE33C0" w:rsidRDefault="00FE33C0" w:rsidP="00FE33C0">
      <w:pPr>
        <w:widowControl/>
        <w:spacing w:before="240" w:after="240"/>
        <w:jc w:val="left"/>
        <w:rPr>
          <w:rFonts w:ascii="宋体" w:eastAsia="宋体" w:hAnsi="宋体" w:cs="宋体"/>
          <w:iCs w:val="0"/>
          <w:color w:val="auto"/>
          <w:kern w:val="0"/>
          <w14:ligatures w14:val="none"/>
        </w:rPr>
      </w:pPr>
      <w:r w:rsidRPr="00FE33C0">
        <w:rPr>
          <w:rFonts w:ascii="宋体" w:eastAsia="宋体" w:hAnsi="宋体" w:cs="宋体"/>
          <w:b/>
          <w:bCs/>
          <w:iCs w:val="0"/>
          <w:color w:val="3DA742"/>
          <w:kern w:val="0"/>
          <w:sz w:val="26"/>
          <w:szCs w:val="26"/>
          <w14:ligatures w14:val="none"/>
        </w:rPr>
        <w:t>联合国可持续发展目标：</w:t>
      </w:r>
      <w:r w:rsidRPr="00FE33C0">
        <w:rPr>
          <w:rFonts w:ascii="宋体" w:eastAsia="宋体" w:hAnsi="宋体" w:cs="宋体" w:hint="eastAsia"/>
          <w:iCs w:val="0"/>
          <w:color w:val="3DA742"/>
          <w:kern w:val="0"/>
          <w:sz w:val="26"/>
          <w:szCs w:val="26"/>
          <w14:ligatures w14:val="none"/>
        </w:rPr>
        <w:t>SDG13 气候行动</w:t>
      </w:r>
    </w:p>
    <w:p w14:paraId="3016CF82" w14:textId="77777777" w:rsidR="00FE33C0" w:rsidRPr="00FE33C0" w:rsidRDefault="00FE33C0" w:rsidP="00FE33C0">
      <w:pPr>
        <w:widowControl/>
        <w:jc w:val="left"/>
        <w:rPr>
          <w:rFonts w:ascii="宋体" w:eastAsia="宋体" w:hAnsi="宋体" w:cs="宋体"/>
          <w:iCs w:val="0"/>
          <w:color w:val="auto"/>
          <w:kern w:val="0"/>
          <w14:ligatures w14:val="none"/>
        </w:rPr>
      </w:pPr>
      <w:r w:rsidRPr="00FE33C0">
        <w:rPr>
          <w:rFonts w:ascii="宋体" w:eastAsia="宋体" w:hAnsi="宋体" w:cs="宋体"/>
          <w:iCs w:val="0"/>
          <w:color w:val="auto"/>
          <w:kern w:val="0"/>
          <w14:ligatures w14:val="none"/>
        </w:rPr>
        <w:pict w14:anchorId="7C4A0161">
          <v:rect id="_x0000_i1041" style="width:0;height:1.5pt" o:hralign="center" o:hrstd="t" o:hr="t" fillcolor="#a0a0a0" stroked="f"/>
        </w:pict>
      </w:r>
    </w:p>
    <w:p w14:paraId="762381D8" w14:textId="77777777" w:rsidR="00FE33C0" w:rsidRPr="00FE33C0" w:rsidRDefault="00FE33C0" w:rsidP="00FE33C0">
      <w:pPr>
        <w:widowControl/>
        <w:spacing w:before="240" w:after="240"/>
        <w:jc w:val="left"/>
        <w:rPr>
          <w:rFonts w:ascii="宋体" w:eastAsia="宋体" w:hAnsi="宋体" w:cs="宋体"/>
          <w:iCs w:val="0"/>
          <w:color w:val="auto"/>
          <w:kern w:val="0"/>
          <w14:ligatures w14:val="none"/>
        </w:rPr>
      </w:pPr>
      <w:r w:rsidRPr="00FE33C0">
        <w:rPr>
          <w:rFonts w:ascii="宋体" w:eastAsia="宋体" w:hAnsi="宋体" w:cs="宋体"/>
          <w:iCs w:val="0"/>
          <w:color w:val="auto"/>
          <w:kern w:val="0"/>
          <w:sz w:val="26"/>
          <w:szCs w:val="26"/>
          <w14:ligatures w14:val="none"/>
        </w:rPr>
        <w:t>Podcast (English)</w:t>
      </w:r>
    </w:p>
    <w:p w14:paraId="4B393095" w14:textId="77777777" w:rsidR="00FE33C0" w:rsidRPr="00FE33C0" w:rsidRDefault="00FE33C0" w:rsidP="00FE33C0">
      <w:pPr>
        <w:widowControl/>
        <w:jc w:val="left"/>
        <w:rPr>
          <w:rFonts w:ascii="宋体" w:eastAsia="宋体" w:hAnsi="宋体" w:cs="宋体"/>
          <w:iCs w:val="0"/>
          <w:color w:val="auto"/>
          <w:kern w:val="0"/>
          <w14:ligatures w14:val="none"/>
        </w:rPr>
      </w:pPr>
      <w:r w:rsidRPr="00FE33C0">
        <w:rPr>
          <w:rFonts w:ascii="宋体" w:eastAsia="宋体" w:hAnsi="宋体" w:cs="宋体"/>
          <w:iCs w:val="0"/>
          <w:color w:val="auto"/>
          <w:kern w:val="0"/>
          <w14:ligatures w14:val="none"/>
        </w:rPr>
        <w:pict w14:anchorId="3E23F234">
          <v:rect id="_x0000_i1042" style="width:0;height:1.5pt" o:hralign="center" o:hrstd="t" o:hr="t" fillcolor="#a0a0a0" stroked="f"/>
        </w:pict>
      </w:r>
    </w:p>
    <w:p w14:paraId="6C099A5E" w14:textId="77777777" w:rsidR="00FE33C0" w:rsidRPr="00FE33C0" w:rsidRDefault="00FE33C0" w:rsidP="00FE33C0">
      <w:pPr>
        <w:widowControl/>
        <w:jc w:val="left"/>
        <w:rPr>
          <w:rFonts w:ascii="宋体" w:eastAsia="宋体" w:hAnsi="宋体" w:cs="宋体"/>
          <w:iCs w:val="0"/>
          <w:color w:val="auto"/>
          <w:kern w:val="0"/>
          <w14:ligatures w14:val="none"/>
        </w:rPr>
      </w:pPr>
      <w:r w:rsidRPr="00FE33C0">
        <w:rPr>
          <w:rFonts w:ascii="宋体" w:eastAsia="宋体" w:hAnsi="宋体" w:cs="宋体"/>
          <w:b/>
          <w:bCs/>
          <w:iCs w:val="0"/>
          <w:color w:val="auto"/>
          <w:kern w:val="0"/>
          <w:sz w:val="26"/>
          <w:szCs w:val="26"/>
          <w14:ligatures w14:val="none"/>
        </w:rPr>
        <w:t>作者信息：</w:t>
      </w:r>
    </w:p>
    <w:p w14:paraId="47740AF9" w14:textId="77777777" w:rsidR="00FE33C0" w:rsidRPr="00FE33C0" w:rsidRDefault="00FE33C0" w:rsidP="00FE33C0">
      <w:pPr>
        <w:widowControl/>
        <w:spacing w:before="100" w:beforeAutospacing="1" w:after="100" w:afterAutospacing="1"/>
        <w:jc w:val="left"/>
        <w:rPr>
          <w:rFonts w:ascii="宋体" w:eastAsia="宋体" w:hAnsi="宋体" w:cs="宋体"/>
          <w:iCs w:val="0"/>
          <w:color w:val="auto"/>
          <w:kern w:val="0"/>
          <w14:ligatures w14:val="none"/>
        </w:rPr>
      </w:pPr>
      <w:r w:rsidRPr="00FE33C0">
        <w:rPr>
          <w:rFonts w:ascii="宋体" w:eastAsia="宋体" w:hAnsi="宋体" w:cs="宋体"/>
          <w:iCs w:val="0"/>
          <w:color w:val="auto"/>
          <w:kern w:val="0"/>
          <w:sz w:val="26"/>
          <w:szCs w:val="26"/>
          <w14:ligatures w14:val="none"/>
        </w:rPr>
        <w:t>• Peng Zhou：卡迪夫大学商学院副教授，博士生导师。研究领域为宏观经济学、经济增长、应用微观经济学等。参与多项英国政府科研项目。</w:t>
      </w:r>
    </w:p>
    <w:p w14:paraId="49D5D1FE" w14:textId="77777777" w:rsidR="00FE33C0" w:rsidRPr="00FE33C0" w:rsidRDefault="00FE33C0" w:rsidP="00FE33C0">
      <w:pPr>
        <w:widowControl/>
        <w:spacing w:before="100" w:beforeAutospacing="1" w:after="100" w:afterAutospacing="1"/>
        <w:jc w:val="left"/>
        <w:rPr>
          <w:rFonts w:ascii="宋体" w:eastAsia="宋体" w:hAnsi="宋体" w:cs="宋体"/>
          <w:iCs w:val="0"/>
          <w:color w:val="auto"/>
          <w:kern w:val="0"/>
          <w14:ligatures w14:val="none"/>
        </w:rPr>
      </w:pPr>
      <w:r w:rsidRPr="00FE33C0">
        <w:rPr>
          <w:rFonts w:ascii="宋体" w:eastAsia="宋体" w:hAnsi="宋体" w:cs="宋体"/>
          <w:iCs w:val="0"/>
          <w:color w:val="auto"/>
          <w:kern w:val="0"/>
          <w:sz w:val="26"/>
          <w:szCs w:val="26"/>
          <w14:ligatures w14:val="none"/>
        </w:rPr>
        <w:t>• Khelifa Mazouz：卡迪夫大学商学院教授，研究方向为金融市场波动性、投资者行为、可持续金融等。在绿色金融和可持续发展研究领域具有丰富经验，其研究为绿色债券的市场规范和政策制定提供了重要参考。</w:t>
      </w:r>
    </w:p>
    <w:p w14:paraId="2AE5C774" w14:textId="77777777" w:rsidR="00FE33C0" w:rsidRPr="00FE33C0" w:rsidRDefault="00FE33C0" w:rsidP="00FE33C0">
      <w:pPr>
        <w:widowControl/>
        <w:spacing w:before="100" w:beforeAutospacing="1" w:after="100" w:afterAutospacing="1"/>
        <w:jc w:val="left"/>
        <w:rPr>
          <w:rFonts w:ascii="宋体" w:eastAsia="宋体" w:hAnsi="宋体" w:cs="宋体"/>
          <w:iCs w:val="0"/>
          <w:color w:val="auto"/>
          <w:kern w:val="0"/>
          <w14:ligatures w14:val="none"/>
        </w:rPr>
      </w:pPr>
      <w:r w:rsidRPr="00FE33C0">
        <w:rPr>
          <w:rFonts w:ascii="宋体" w:eastAsia="宋体" w:hAnsi="宋体" w:cs="宋体"/>
          <w:iCs w:val="0"/>
          <w:color w:val="auto"/>
          <w:kern w:val="0"/>
          <w:sz w:val="26"/>
          <w:szCs w:val="26"/>
          <w14:ligatures w14:val="none"/>
        </w:rPr>
        <w:t>• Wenjie Ding：中山大学商学院助理教授，硕士生导师，中山大学“百人计划”引进人才。特许金融分析师（CFA）持证人，英国高等教育学会会士。研究兴趣包括行为金融学、资产定价、公司治理等。</w:t>
      </w:r>
    </w:p>
    <w:p w14:paraId="4C21803C" w14:textId="77777777" w:rsidR="00FE33C0" w:rsidRPr="00FE33C0" w:rsidRDefault="00FE33C0" w:rsidP="00FE33C0">
      <w:pPr>
        <w:widowControl/>
        <w:spacing w:before="100" w:beforeAutospacing="1" w:after="100" w:afterAutospacing="1"/>
        <w:jc w:val="left"/>
        <w:rPr>
          <w:rFonts w:ascii="宋体" w:eastAsia="宋体" w:hAnsi="宋体" w:cs="宋体"/>
          <w:iCs w:val="0"/>
          <w:color w:val="auto"/>
          <w:kern w:val="0"/>
          <w14:ligatures w14:val="none"/>
        </w:rPr>
      </w:pPr>
      <w:r w:rsidRPr="00FE33C0">
        <w:rPr>
          <w:rFonts w:ascii="宋体" w:eastAsia="宋体" w:hAnsi="宋体" w:cs="宋体"/>
          <w:iCs w:val="0"/>
          <w:color w:val="auto"/>
          <w:kern w:val="0"/>
          <w:sz w:val="26"/>
          <w:szCs w:val="26"/>
          <w14:ligatures w14:val="none"/>
        </w:rPr>
        <w:t>• Shijie Jin：卡迪夫大学商学院博士研究生，研究领域为绿色金融。</w:t>
      </w:r>
    </w:p>
    <w:p w14:paraId="3C41687F" w14:textId="77777777" w:rsidR="00FE33C0" w:rsidRPr="00FE33C0" w:rsidRDefault="00FE33C0" w:rsidP="00FE33C0">
      <w:pPr>
        <w:widowControl/>
        <w:jc w:val="left"/>
        <w:rPr>
          <w:rFonts w:ascii="宋体" w:eastAsia="宋体" w:hAnsi="宋体" w:cs="宋体"/>
          <w:iCs w:val="0"/>
          <w:color w:val="auto"/>
          <w:kern w:val="0"/>
          <w14:ligatures w14:val="none"/>
        </w:rPr>
      </w:pPr>
      <w:r w:rsidRPr="00FE33C0">
        <w:rPr>
          <w:rFonts w:ascii="宋体" w:eastAsia="宋体" w:hAnsi="宋体" w:cs="宋体"/>
          <w:iCs w:val="0"/>
          <w:color w:val="auto"/>
          <w:kern w:val="0"/>
          <w14:ligatures w14:val="none"/>
        </w:rPr>
        <w:pict w14:anchorId="040F9A6C">
          <v:rect id="_x0000_i1043" style="width:0;height:1.5pt" o:hralign="center" o:hrstd="t" o:hr="t" fillcolor="#a0a0a0" stroked="f"/>
        </w:pict>
      </w:r>
    </w:p>
    <w:p w14:paraId="34529CCA" w14:textId="77777777" w:rsidR="00FE33C0" w:rsidRPr="00FE33C0" w:rsidRDefault="00FE33C0" w:rsidP="00FE33C0">
      <w:pPr>
        <w:widowControl/>
        <w:spacing w:before="360" w:after="240"/>
        <w:jc w:val="center"/>
        <w:rPr>
          <w:rFonts w:ascii="宋体" w:eastAsia="宋体" w:hAnsi="宋体" w:cs="宋体"/>
          <w:iCs w:val="0"/>
          <w:color w:val="auto"/>
          <w:kern w:val="0"/>
          <w14:ligatures w14:val="none"/>
        </w:rPr>
      </w:pPr>
      <w:r w:rsidRPr="00FE33C0">
        <w:rPr>
          <w:rFonts w:ascii="宋体" w:eastAsia="宋体" w:hAnsi="宋体" w:cs="宋体"/>
          <w:b/>
          <w:bCs/>
          <w:iCs w:val="0"/>
          <w:color w:val="auto"/>
          <w:kern w:val="0"/>
          <w:sz w:val="26"/>
          <w:szCs w:val="26"/>
          <w14:ligatures w14:val="none"/>
        </w:rPr>
        <w:lastRenderedPageBreak/>
        <w:t>研究问题</w:t>
      </w:r>
    </w:p>
    <w:p w14:paraId="6055C440" w14:textId="77777777" w:rsidR="00FE33C0" w:rsidRPr="00FE33C0" w:rsidRDefault="00FE33C0" w:rsidP="00FE33C0">
      <w:pPr>
        <w:widowControl/>
        <w:spacing w:before="240" w:after="120"/>
        <w:rPr>
          <w:rFonts w:ascii="宋体" w:eastAsia="宋体" w:hAnsi="宋体" w:cs="宋体"/>
          <w:iCs w:val="0"/>
          <w:color w:val="auto"/>
          <w:kern w:val="0"/>
          <w14:ligatures w14:val="none"/>
        </w:rPr>
      </w:pPr>
      <w:r w:rsidRPr="00FE33C0">
        <w:rPr>
          <w:rFonts w:ascii="宋体" w:eastAsia="宋体" w:hAnsi="宋体" w:cs="宋体"/>
          <w:iCs w:val="0"/>
          <w:color w:val="auto"/>
          <w:kern w:val="0"/>
          <w:sz w:val="26"/>
          <w:szCs w:val="26"/>
          <w14:ligatures w14:val="none"/>
        </w:rPr>
        <w:t>近年来，绿色债券市场的快速发展促使学术界对其影响进行了广泛研究。但关于债券贴有绿色标签时能否降低投资者的预期回报 (即“绿色溢价”) 仍存在争议。该文章通过欧盟绿色债券市场的数据分析了</w:t>
      </w:r>
      <w:r w:rsidRPr="00FE33C0">
        <w:rPr>
          <w:rFonts w:ascii="宋体" w:eastAsia="宋体" w:hAnsi="宋体" w:cs="宋体"/>
          <w:iCs w:val="0"/>
          <w:color w:val="0052FF"/>
          <w:kern w:val="0"/>
          <w:sz w:val="26"/>
          <w:szCs w:val="26"/>
          <w14:ligatures w14:val="none"/>
        </w:rPr>
        <w:t>发行者对绿色债券贴标方式的选择以及不同贴标方法对债券收益率和投资者关注度的影响</w:t>
      </w:r>
      <w:r w:rsidRPr="00FE33C0">
        <w:rPr>
          <w:rFonts w:ascii="宋体" w:eastAsia="宋体" w:hAnsi="宋体" w:cs="宋体"/>
          <w:iCs w:val="0"/>
          <w:color w:val="auto"/>
          <w:kern w:val="0"/>
          <w:sz w:val="26"/>
          <w:szCs w:val="26"/>
          <w14:ligatures w14:val="none"/>
        </w:rPr>
        <w:t>。具体来说，该文章旨在研究以下问题：</w:t>
      </w:r>
    </w:p>
    <w:p w14:paraId="5556C768" w14:textId="77777777" w:rsidR="00FE33C0" w:rsidRPr="00FE33C0" w:rsidRDefault="00FE33C0" w:rsidP="00FE33C0">
      <w:pPr>
        <w:widowControl/>
        <w:numPr>
          <w:ilvl w:val="0"/>
          <w:numId w:val="6"/>
        </w:numPr>
        <w:spacing w:before="120" w:after="120"/>
        <w:rPr>
          <w:rFonts w:ascii="宋体" w:eastAsia="宋体" w:hAnsi="宋体" w:cs="宋体"/>
          <w:iCs w:val="0"/>
          <w:color w:val="auto"/>
          <w:kern w:val="0"/>
          <w14:ligatures w14:val="none"/>
        </w:rPr>
      </w:pPr>
      <w:r w:rsidRPr="00FE33C0">
        <w:rPr>
          <w:rFonts w:ascii="宋体" w:eastAsia="宋体" w:hAnsi="宋体" w:cs="宋体"/>
          <w:iCs w:val="0"/>
          <w:color w:val="auto"/>
          <w:kern w:val="0"/>
          <w:sz w:val="26"/>
          <w:szCs w:val="26"/>
          <w14:ligatures w14:val="none"/>
        </w:rPr>
        <w:t>在欧洲债券市场中，不同类型的债券标签 (无标签、绿色自贴签和绿色外部贴签) 是否会影响收益率？</w:t>
      </w:r>
    </w:p>
    <w:p w14:paraId="7D2CB9CB" w14:textId="77777777" w:rsidR="00FE33C0" w:rsidRPr="00FE33C0" w:rsidRDefault="00FE33C0" w:rsidP="00FE33C0">
      <w:pPr>
        <w:widowControl/>
        <w:numPr>
          <w:ilvl w:val="0"/>
          <w:numId w:val="6"/>
        </w:numPr>
        <w:spacing w:before="120" w:after="120"/>
        <w:rPr>
          <w:rFonts w:ascii="宋体" w:eastAsia="宋体" w:hAnsi="宋体" w:cs="宋体"/>
          <w:iCs w:val="0"/>
          <w:color w:val="auto"/>
          <w:kern w:val="0"/>
          <w14:ligatures w14:val="none"/>
        </w:rPr>
      </w:pPr>
      <w:r w:rsidRPr="00FE33C0">
        <w:rPr>
          <w:rFonts w:ascii="宋体" w:eastAsia="宋体" w:hAnsi="宋体" w:cs="宋体"/>
          <w:iCs w:val="0"/>
          <w:color w:val="auto"/>
          <w:kern w:val="0"/>
          <w:sz w:val="26"/>
          <w:szCs w:val="26"/>
          <w14:ligatures w14:val="none"/>
        </w:rPr>
        <w:t>上述不同类型的标签是否均会影响投资者对发行者的关注度？如果会，造成影响的具体机制是什么？</w:t>
      </w:r>
    </w:p>
    <w:p w14:paraId="37E098DB" w14:textId="77777777" w:rsidR="00FE33C0" w:rsidRPr="00FE33C0" w:rsidRDefault="00FE33C0" w:rsidP="00FE33C0">
      <w:pPr>
        <w:widowControl/>
        <w:numPr>
          <w:ilvl w:val="0"/>
          <w:numId w:val="6"/>
        </w:numPr>
        <w:spacing w:before="120" w:after="120"/>
        <w:rPr>
          <w:rFonts w:ascii="宋体" w:eastAsia="宋体" w:hAnsi="宋体" w:cs="宋体"/>
          <w:iCs w:val="0"/>
          <w:color w:val="auto"/>
          <w:kern w:val="0"/>
          <w14:ligatures w14:val="none"/>
        </w:rPr>
      </w:pPr>
      <w:r w:rsidRPr="00FE33C0">
        <w:rPr>
          <w:rFonts w:ascii="宋体" w:eastAsia="宋体" w:hAnsi="宋体" w:cs="宋体"/>
          <w:iCs w:val="0"/>
          <w:color w:val="auto"/>
          <w:kern w:val="0"/>
          <w:sz w:val="26"/>
          <w:szCs w:val="26"/>
          <w14:ligatures w14:val="none"/>
        </w:rPr>
        <w:t>为什么发行人会选择某种绿色标签，其背后的决策逻辑是什么？</w:t>
      </w:r>
    </w:p>
    <w:p w14:paraId="3E54E9FE" w14:textId="7E0F927A" w:rsidR="00FE33C0" w:rsidRPr="00FE33C0" w:rsidRDefault="00FE33C0" w:rsidP="00FE33C0">
      <w:pPr>
        <w:widowControl/>
        <w:jc w:val="left"/>
        <w:rPr>
          <w:rFonts w:ascii="宋体" w:eastAsia="宋体" w:hAnsi="宋体" w:cs="宋体"/>
          <w:iCs w:val="0"/>
          <w:color w:val="auto"/>
          <w:kern w:val="0"/>
          <w14:ligatures w14:val="none"/>
        </w:rPr>
      </w:pPr>
      <w:r w:rsidRPr="00FE33C0">
        <w:rPr>
          <w:rFonts w:ascii="宋体" w:eastAsia="宋体" w:hAnsi="宋体" w:cs="宋体"/>
          <w:iCs w:val="0"/>
          <w:noProof/>
          <w:color w:val="auto"/>
          <w:kern w:val="0"/>
          <w14:ligatures w14:val="none"/>
        </w:rPr>
        <w:lastRenderedPageBreak/>
        <w:drawing>
          <wp:inline distT="0" distB="0" distL="0" distR="0" wp14:anchorId="65A3D96E" wp14:editId="5C9C9511">
            <wp:extent cx="5274310" cy="5274310"/>
            <wp:effectExtent l="0" t="0" r="2540" b="2540"/>
            <wp:docPr id="5115543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5AA18658" w14:textId="77777777" w:rsidR="00FE33C0" w:rsidRPr="00FE33C0" w:rsidRDefault="00FE33C0" w:rsidP="00FE33C0">
      <w:pPr>
        <w:widowControl/>
        <w:jc w:val="left"/>
        <w:rPr>
          <w:rFonts w:ascii="宋体" w:eastAsia="宋体" w:hAnsi="宋体" w:cs="宋体"/>
          <w:iCs w:val="0"/>
          <w:color w:val="auto"/>
          <w:kern w:val="0"/>
          <w14:ligatures w14:val="none"/>
        </w:rPr>
      </w:pPr>
      <w:r w:rsidRPr="00FE33C0">
        <w:rPr>
          <w:rFonts w:ascii="宋体" w:eastAsia="宋体" w:hAnsi="宋体" w:cs="宋体"/>
          <w:iCs w:val="0"/>
          <w:color w:val="auto"/>
          <w:kern w:val="0"/>
          <w14:ligatures w14:val="none"/>
        </w:rPr>
        <w:pict w14:anchorId="59D933A4">
          <v:rect id="_x0000_i1045" style="width:0;height:1.5pt" o:hralign="center" o:hrstd="t" o:hr="t" fillcolor="#a0a0a0" stroked="f"/>
        </w:pict>
      </w:r>
    </w:p>
    <w:p w14:paraId="01ABCC58" w14:textId="77777777" w:rsidR="00FE33C0" w:rsidRPr="00FE33C0" w:rsidRDefault="00FE33C0" w:rsidP="00FE33C0">
      <w:pPr>
        <w:widowControl/>
        <w:spacing w:before="360" w:after="240"/>
        <w:jc w:val="center"/>
        <w:rPr>
          <w:rFonts w:ascii="宋体" w:eastAsia="宋体" w:hAnsi="宋体" w:cs="宋体"/>
          <w:iCs w:val="0"/>
          <w:color w:val="auto"/>
          <w:kern w:val="0"/>
          <w14:ligatures w14:val="none"/>
        </w:rPr>
      </w:pPr>
      <w:r w:rsidRPr="00FE33C0">
        <w:rPr>
          <w:rFonts w:ascii="宋体" w:eastAsia="宋体" w:hAnsi="宋体" w:cs="宋体"/>
          <w:b/>
          <w:bCs/>
          <w:iCs w:val="0"/>
          <w:color w:val="auto"/>
          <w:kern w:val="0"/>
          <w:sz w:val="26"/>
          <w:szCs w:val="26"/>
          <w14:ligatures w14:val="none"/>
        </w:rPr>
        <w:t>核心结论</w:t>
      </w:r>
    </w:p>
    <w:p w14:paraId="36CAEE70" w14:textId="77777777" w:rsidR="00FE33C0" w:rsidRPr="00FE33C0" w:rsidRDefault="00FE33C0" w:rsidP="00FE33C0">
      <w:pPr>
        <w:widowControl/>
        <w:spacing w:before="100" w:beforeAutospacing="1" w:after="120"/>
        <w:jc w:val="left"/>
        <w:rPr>
          <w:rFonts w:ascii="宋体" w:eastAsia="宋体" w:hAnsi="宋体" w:cs="宋体"/>
          <w:iCs w:val="0"/>
          <w:color w:val="auto"/>
          <w:kern w:val="0"/>
          <w14:ligatures w14:val="none"/>
        </w:rPr>
      </w:pPr>
      <w:r w:rsidRPr="00FE33C0">
        <w:rPr>
          <w:rFonts w:ascii="宋体" w:eastAsia="宋体" w:hAnsi="宋体" w:cs="宋体"/>
          <w:iCs w:val="0"/>
          <w:color w:val="auto"/>
          <w:kern w:val="0"/>
          <w:sz w:val="26"/>
          <w:szCs w:val="26"/>
          <w14:ligatures w14:val="none"/>
        </w:rPr>
        <w:t>通过收集整理发行者披露的相关文件，该研究将欧洲债券市场的绿色债券进一步分为外部贴标和自贴标两种 (即是否在债券发行、资金使用、项目效果等方面遵循第三方准则)。研究结果表明，债券绿色标签的可信度与债券的绿色溢价存在紧密关系。</w:t>
      </w:r>
      <w:r w:rsidRPr="00FE33C0">
        <w:rPr>
          <w:rFonts w:ascii="宋体" w:eastAsia="宋体" w:hAnsi="宋体" w:cs="宋体"/>
          <w:iCs w:val="0"/>
          <w:color w:val="0052FF"/>
          <w:kern w:val="0"/>
          <w:sz w:val="26"/>
          <w:szCs w:val="26"/>
          <w14:ligatures w14:val="none"/>
        </w:rPr>
        <w:t>因为外部认证的绿色标签被认为更具可靠性，发行外部贴标的绿色债券能更有效地吸引更多投资者并降低其要求的收益率</w:t>
      </w:r>
      <w:r w:rsidRPr="00FE33C0">
        <w:rPr>
          <w:rFonts w:ascii="宋体" w:eastAsia="宋体" w:hAnsi="宋体" w:cs="宋体"/>
          <w:iCs w:val="0"/>
          <w:color w:val="auto"/>
          <w:kern w:val="0"/>
          <w:sz w:val="26"/>
          <w:szCs w:val="26"/>
          <w14:ligatures w14:val="none"/>
        </w:rPr>
        <w:t xml:space="preserve">。相比之下，投资者对自贴标债券更容易有“漂绿” </w:t>
      </w:r>
      <w:r w:rsidRPr="00FE33C0">
        <w:rPr>
          <w:rFonts w:ascii="宋体" w:eastAsia="宋体" w:hAnsi="宋体" w:cs="宋体"/>
          <w:iCs w:val="0"/>
          <w:color w:val="auto"/>
          <w:kern w:val="0"/>
          <w:sz w:val="26"/>
          <w:szCs w:val="26"/>
          <w14:ligatures w14:val="none"/>
        </w:rPr>
        <w:lastRenderedPageBreak/>
        <w:t>(greenwashing) 的担忧，进而导致其绿色溢价效应较弱且无法吸有效引投资者的关注。此外，发行人选择外部贴标通常是为了向投资者发出更可信的绿色信号，特别是在发行人所在国家的可持续发展 (SDG score) 得分较低时。在欧盟签署《巴黎协定》后，外部标签的使用显著增加，反映了市场对环境责任的更高要求。通过进一步分析，文章还发现</w:t>
      </w:r>
      <w:r w:rsidRPr="00FE33C0">
        <w:rPr>
          <w:rFonts w:ascii="宋体" w:eastAsia="宋体" w:hAnsi="宋体" w:cs="宋体"/>
          <w:iCs w:val="0"/>
          <w:color w:val="0052FF"/>
          <w:kern w:val="0"/>
          <w:sz w:val="26"/>
          <w:szCs w:val="26"/>
          <w14:ligatures w14:val="none"/>
        </w:rPr>
        <w:t>自贴标绿色债券的绿色溢价主要由信号效应 (signaling effect) 引起，而外部认证标签的债券则同时受到信号效应和投资者环保偏好 (taste-based framework) 两种机制的影响</w:t>
      </w:r>
      <w:r w:rsidRPr="00FE33C0">
        <w:rPr>
          <w:rFonts w:ascii="宋体" w:eastAsia="宋体" w:hAnsi="宋体" w:cs="宋体"/>
          <w:iCs w:val="0"/>
          <w:color w:val="auto"/>
          <w:kern w:val="0"/>
          <w:sz w:val="26"/>
          <w:szCs w:val="26"/>
          <w14:ligatures w14:val="none"/>
        </w:rPr>
        <w:t>。</w:t>
      </w:r>
    </w:p>
    <w:p w14:paraId="222A0773" w14:textId="77777777" w:rsidR="00FE33C0" w:rsidRPr="00FE33C0" w:rsidRDefault="00FE33C0" w:rsidP="00FE33C0">
      <w:pPr>
        <w:widowControl/>
        <w:spacing w:before="240" w:after="240"/>
        <w:jc w:val="center"/>
        <w:rPr>
          <w:rFonts w:ascii="宋体" w:eastAsia="宋体" w:hAnsi="宋体" w:cs="宋体"/>
          <w:iCs w:val="0"/>
          <w:color w:val="auto"/>
          <w:kern w:val="0"/>
          <w14:ligatures w14:val="none"/>
        </w:rPr>
      </w:pPr>
      <w:r w:rsidRPr="00FE33C0">
        <w:rPr>
          <w:rFonts w:ascii="宋体" w:eastAsia="宋体" w:hAnsi="宋体" w:cs="宋体"/>
          <w:b/>
          <w:bCs/>
          <w:iCs w:val="0"/>
          <w:color w:val="auto"/>
          <w:kern w:val="0"/>
          <w:sz w:val="26"/>
          <w:szCs w:val="26"/>
          <w14:ligatures w14:val="none"/>
        </w:rPr>
        <w:t>方法简介</w:t>
      </w:r>
    </w:p>
    <w:p w14:paraId="416C7934" w14:textId="77777777" w:rsidR="00FE33C0" w:rsidRPr="00FE33C0" w:rsidRDefault="00FE33C0" w:rsidP="00FE33C0">
      <w:pPr>
        <w:widowControl/>
        <w:spacing w:before="240" w:after="120"/>
        <w:rPr>
          <w:rFonts w:ascii="宋体" w:eastAsia="宋体" w:hAnsi="宋体" w:cs="宋体"/>
          <w:iCs w:val="0"/>
          <w:color w:val="3E3E3E"/>
          <w:kern w:val="0"/>
          <w14:ligatures w14:val="none"/>
        </w:rPr>
      </w:pPr>
      <w:r w:rsidRPr="00FE33C0">
        <w:rPr>
          <w:rFonts w:ascii="宋体" w:eastAsia="宋体" w:hAnsi="宋体" w:cs="宋体"/>
          <w:iCs w:val="0"/>
          <w:color w:val="3E3E3E"/>
          <w:kern w:val="0"/>
          <w:sz w:val="26"/>
          <w:szCs w:val="26"/>
          <w14:ligatures w14:val="none"/>
        </w:rPr>
        <w:t>文章的实证过程可以分成债券不同贴标方式对债券收益的影响以及对投资者关注度的影响两个部分。在分析贴标方式对投资者要求的长期收益的影响时，该研究使用了处理效应模型 (Treatment Effect Model)，进而考虑到了债券发行者选择不同贴标方式的动机。回归结果见下表，其中显著的IMR (逆米尔斯比率) 证明了忽视上述自选择过程会对研究结果造成的估计偏差。为确保回归结果的稳健性，该研究还使用了Ordered-Heckman Model并得出一致的结论。</w:t>
      </w:r>
    </w:p>
    <w:p w14:paraId="7972A318" w14:textId="5ADE6697" w:rsidR="00FE33C0" w:rsidRPr="00FE33C0" w:rsidRDefault="00FE33C0" w:rsidP="00FE33C0">
      <w:pPr>
        <w:widowControl/>
        <w:jc w:val="left"/>
        <w:rPr>
          <w:rFonts w:ascii="宋体" w:eastAsia="宋体" w:hAnsi="宋体" w:cs="宋体"/>
          <w:iCs w:val="0"/>
          <w:color w:val="auto"/>
          <w:kern w:val="0"/>
          <w14:ligatures w14:val="none"/>
        </w:rPr>
      </w:pPr>
      <w:r w:rsidRPr="00FE33C0">
        <w:rPr>
          <w:rFonts w:ascii="宋体" w:eastAsia="宋体" w:hAnsi="宋体" w:cs="宋体"/>
          <w:iCs w:val="0"/>
          <w:noProof/>
          <w:color w:val="auto"/>
          <w:kern w:val="0"/>
          <w14:ligatures w14:val="none"/>
        </w:rPr>
        <w:drawing>
          <wp:inline distT="0" distB="0" distL="0" distR="0" wp14:anchorId="7C9EFCE1" wp14:editId="61F6F9EA">
            <wp:extent cx="5274310" cy="2069465"/>
            <wp:effectExtent l="0" t="0" r="2540" b="6985"/>
            <wp:docPr id="15858007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069465"/>
                    </a:xfrm>
                    <a:prstGeom prst="rect">
                      <a:avLst/>
                    </a:prstGeom>
                    <a:noFill/>
                    <a:ln>
                      <a:noFill/>
                    </a:ln>
                  </pic:spPr>
                </pic:pic>
              </a:graphicData>
            </a:graphic>
          </wp:inline>
        </w:drawing>
      </w:r>
    </w:p>
    <w:p w14:paraId="3DE7BC71" w14:textId="77777777" w:rsidR="00FE33C0" w:rsidRPr="00FE33C0" w:rsidRDefault="00FE33C0" w:rsidP="00FE33C0">
      <w:pPr>
        <w:widowControl/>
        <w:spacing w:before="120" w:after="120"/>
        <w:ind w:firstLine="480"/>
        <w:rPr>
          <w:rFonts w:ascii="宋体" w:eastAsia="宋体" w:hAnsi="宋体" w:cs="宋体"/>
          <w:iCs w:val="0"/>
          <w:color w:val="3E3E3E"/>
          <w:kern w:val="0"/>
          <w14:ligatures w14:val="none"/>
        </w:rPr>
      </w:pPr>
      <w:r w:rsidRPr="00FE33C0">
        <w:rPr>
          <w:rFonts w:ascii="宋体" w:eastAsia="宋体" w:hAnsi="宋体" w:cs="宋体"/>
          <w:iCs w:val="0"/>
          <w:color w:val="3E3E3E"/>
          <w:kern w:val="0"/>
          <w14:ligatures w14:val="none"/>
        </w:rPr>
        <w:lastRenderedPageBreak/>
        <w:t>在分析债券发行事件对投资者关注度的影响时，该文章基于PSM-DID Model分析了发行者的GoogleTrend和Bloomberg news heat在债券发行前后的变化，从而分别衡量了不同贴标方式对散户和机构投资关注度的影响。此外，为避免传统DID方法的不足，该研究还使用了Stacked DID Model以确保结论的稳健性。回归结果如下图，其中仅发行外部贴标的债券会在短期提高投资者关注度。</w:t>
      </w:r>
    </w:p>
    <w:p w14:paraId="7E35041A" w14:textId="1E3859B7" w:rsidR="00FE33C0" w:rsidRPr="00FE33C0" w:rsidRDefault="00FE33C0" w:rsidP="00FE33C0">
      <w:pPr>
        <w:widowControl/>
        <w:jc w:val="left"/>
        <w:rPr>
          <w:rFonts w:ascii="宋体" w:eastAsia="宋体" w:hAnsi="宋体" w:cs="宋体"/>
          <w:iCs w:val="0"/>
          <w:color w:val="auto"/>
          <w:kern w:val="0"/>
          <w14:ligatures w14:val="none"/>
        </w:rPr>
      </w:pPr>
      <w:r w:rsidRPr="00FE33C0">
        <w:rPr>
          <w:rFonts w:ascii="宋体" w:eastAsia="宋体" w:hAnsi="宋体" w:cs="宋体"/>
          <w:iCs w:val="0"/>
          <w:noProof/>
          <w:color w:val="auto"/>
          <w:kern w:val="0"/>
          <w14:ligatures w14:val="none"/>
        </w:rPr>
        <w:drawing>
          <wp:inline distT="0" distB="0" distL="0" distR="0" wp14:anchorId="7A584FED" wp14:editId="160378A7">
            <wp:extent cx="5274310" cy="3729355"/>
            <wp:effectExtent l="0" t="0" r="2540" b="4445"/>
            <wp:docPr id="3602780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729355"/>
                    </a:xfrm>
                    <a:prstGeom prst="rect">
                      <a:avLst/>
                    </a:prstGeom>
                    <a:noFill/>
                    <a:ln>
                      <a:noFill/>
                    </a:ln>
                  </pic:spPr>
                </pic:pic>
              </a:graphicData>
            </a:graphic>
          </wp:inline>
        </w:drawing>
      </w:r>
    </w:p>
    <w:p w14:paraId="52EB5D78" w14:textId="77777777" w:rsidR="00FE33C0" w:rsidRPr="00FE33C0" w:rsidRDefault="00FE33C0" w:rsidP="00FE33C0">
      <w:pPr>
        <w:widowControl/>
        <w:jc w:val="left"/>
        <w:rPr>
          <w:rFonts w:ascii="宋体" w:eastAsia="宋体" w:hAnsi="宋体" w:cs="宋体"/>
          <w:iCs w:val="0"/>
          <w:color w:val="auto"/>
          <w:kern w:val="0"/>
          <w14:ligatures w14:val="none"/>
        </w:rPr>
      </w:pPr>
      <w:r w:rsidRPr="00FE33C0">
        <w:rPr>
          <w:rFonts w:ascii="宋体" w:eastAsia="宋体" w:hAnsi="宋体" w:cs="宋体"/>
          <w:iCs w:val="0"/>
          <w:color w:val="auto"/>
          <w:kern w:val="0"/>
          <w14:ligatures w14:val="none"/>
        </w:rPr>
        <w:pict w14:anchorId="28FF319B">
          <v:rect id="_x0000_i1048" style="width:0;height:1.5pt" o:hralign="center" o:hrstd="t" o:hr="t" fillcolor="#a0a0a0" stroked="f"/>
        </w:pict>
      </w:r>
    </w:p>
    <w:p w14:paraId="2A6DA088" w14:textId="77777777" w:rsidR="00FE33C0" w:rsidRPr="00FE33C0" w:rsidRDefault="00FE33C0" w:rsidP="00FE33C0">
      <w:pPr>
        <w:widowControl/>
        <w:spacing w:before="360" w:after="240"/>
        <w:jc w:val="center"/>
        <w:rPr>
          <w:rFonts w:ascii="宋体" w:eastAsia="宋体" w:hAnsi="宋体" w:cs="宋体"/>
          <w:iCs w:val="0"/>
          <w:color w:val="3E3E3E"/>
          <w:kern w:val="0"/>
          <w14:ligatures w14:val="none"/>
        </w:rPr>
      </w:pPr>
      <w:r w:rsidRPr="00FE33C0">
        <w:rPr>
          <w:rFonts w:ascii="Microsoft YaHei UI" w:eastAsia="Microsoft YaHei UI" w:hAnsi="Microsoft YaHei UI" w:cs="宋体" w:hint="eastAsia"/>
          <w:b/>
          <w:bCs/>
          <w:iCs w:val="0"/>
          <w:color w:val="3E3E3E"/>
          <w:spacing w:val="9"/>
          <w:kern w:val="0"/>
          <w:sz w:val="26"/>
          <w:szCs w:val="26"/>
          <w14:ligatures w14:val="none"/>
        </w:rPr>
        <w:t>文章贡献</w:t>
      </w:r>
    </w:p>
    <w:p w14:paraId="4AB45660" w14:textId="77777777" w:rsidR="00FE33C0" w:rsidRPr="00FE33C0" w:rsidRDefault="00FE33C0" w:rsidP="00FE33C0">
      <w:pPr>
        <w:widowControl/>
        <w:spacing w:after="120"/>
        <w:rPr>
          <w:rFonts w:ascii="宋体" w:eastAsia="宋体" w:hAnsi="宋体" w:cs="宋体"/>
          <w:iCs w:val="0"/>
          <w:color w:val="3E3E3E"/>
          <w:kern w:val="0"/>
          <w14:ligatures w14:val="none"/>
        </w:rPr>
      </w:pPr>
      <w:r w:rsidRPr="00FE33C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3E3E3E"/>
          <w:kern w:val="0"/>
          <w:sz w:val="26"/>
          <w:szCs w:val="26"/>
          <w14:ligatures w14:val="none"/>
        </w:rPr>
        <w:t>通过深挖绿色债券贴标方式的不同，这篇文章解决了现有研究中的“绿色溢价”之谜。研究表明，</w:t>
      </w:r>
      <w:r w:rsidRPr="00FE33C0">
        <w:rPr>
          <w:rFonts w:ascii="宋体" w:eastAsia="宋体" w:hAnsi="宋体" w:cs="宋体"/>
          <w:iCs w:val="0"/>
          <w:color w:val="0052FF"/>
          <w:kern w:val="0"/>
          <w:sz w:val="26"/>
          <w:szCs w:val="26"/>
          <w14:ligatures w14:val="none"/>
        </w:rPr>
        <w:t>发行者对绿色债券及贴标方式的选取是一个自选择过程，这使得绿色债券间存在异质性</w:t>
      </w:r>
      <w:r w:rsidRPr="00FE33C0">
        <w:rPr>
          <w:rFonts w:ascii="宋体" w:eastAsia="宋体" w:hAnsi="宋体" w:cs="宋体"/>
          <w:iCs w:val="0"/>
          <w:color w:val="3E3E3E"/>
          <w:kern w:val="0"/>
          <w:sz w:val="26"/>
          <w:szCs w:val="26"/>
          <w14:ligatures w14:val="none"/>
        </w:rPr>
        <w:t>。在实证研究中，若直接将绿色债券与普通债券进行匹配而忽视上述过程会导致回归结果存在自选择偏差。</w:t>
      </w:r>
      <w:r w:rsidRPr="00FE33C0">
        <w:rPr>
          <w:rFonts w:ascii="宋体" w:eastAsia="宋体" w:hAnsi="宋体" w:cs="宋体"/>
          <w:iCs w:val="0"/>
          <w:color w:val="0052FF"/>
          <w:kern w:val="0"/>
          <w:sz w:val="26"/>
          <w:szCs w:val="26"/>
          <w14:ligatures w14:val="none"/>
        </w:rPr>
        <w:t xml:space="preserve"> </w:t>
      </w:r>
    </w:p>
    <w:p w14:paraId="036279F8" w14:textId="77777777" w:rsidR="00FE33C0" w:rsidRPr="00FE33C0" w:rsidRDefault="00FE33C0" w:rsidP="00FE33C0">
      <w:pPr>
        <w:widowControl/>
        <w:jc w:val="left"/>
        <w:rPr>
          <w:rFonts w:ascii="宋体" w:eastAsia="宋体" w:hAnsi="宋体" w:cs="宋体"/>
          <w:iCs w:val="0"/>
          <w:color w:val="auto"/>
          <w:kern w:val="0"/>
          <w14:ligatures w14:val="none"/>
        </w:rPr>
      </w:pPr>
      <w:r w:rsidRPr="00FE33C0">
        <w:rPr>
          <w:rFonts w:ascii="宋体" w:eastAsia="宋体" w:hAnsi="宋体" w:cs="宋体"/>
          <w:iCs w:val="0"/>
          <w:color w:val="auto"/>
          <w:kern w:val="0"/>
          <w14:ligatures w14:val="none"/>
        </w:rPr>
        <w:pict w14:anchorId="611EE08C">
          <v:rect id="_x0000_i1049" style="width:0;height:1.5pt" o:hralign="center" o:hrstd="t" o:hr="t" fillcolor="#a0a0a0" stroked="f"/>
        </w:pict>
      </w:r>
    </w:p>
    <w:p w14:paraId="73EDD171" w14:textId="77777777" w:rsidR="00FE33C0" w:rsidRPr="00FE33C0" w:rsidRDefault="00FE33C0" w:rsidP="00FE33C0">
      <w:pPr>
        <w:widowControl/>
        <w:spacing w:before="360" w:after="240"/>
        <w:jc w:val="center"/>
        <w:rPr>
          <w:rFonts w:ascii="宋体" w:eastAsia="宋体" w:hAnsi="宋体" w:cs="宋体"/>
          <w:iCs w:val="0"/>
          <w:color w:val="3E3E3E"/>
          <w:kern w:val="0"/>
          <w14:ligatures w14:val="none"/>
        </w:rPr>
      </w:pPr>
      <w:r w:rsidRPr="00FE33C0">
        <w:rPr>
          <w:rFonts w:ascii="Microsoft YaHei UI" w:eastAsia="Microsoft YaHei UI" w:hAnsi="Microsoft YaHei UI" w:cs="宋体" w:hint="eastAsia"/>
          <w:b/>
          <w:bCs/>
          <w:iCs w:val="0"/>
          <w:color w:val="3E3E3E"/>
          <w:spacing w:val="9"/>
          <w:kern w:val="0"/>
          <w:sz w:val="26"/>
          <w:szCs w:val="26"/>
          <w14:ligatures w14:val="none"/>
        </w:rPr>
        <w:lastRenderedPageBreak/>
        <w:t>未来研究</w:t>
      </w:r>
    </w:p>
    <w:p w14:paraId="0588DEA8" w14:textId="77777777" w:rsidR="00FE33C0" w:rsidRPr="00FE33C0" w:rsidRDefault="00FE33C0" w:rsidP="00FE33C0">
      <w:pPr>
        <w:widowControl/>
        <w:spacing w:before="240" w:after="120"/>
        <w:ind w:firstLine="480"/>
        <w:rPr>
          <w:rFonts w:ascii="宋体" w:eastAsia="宋体" w:hAnsi="宋体" w:cs="宋体"/>
          <w:iCs w:val="0"/>
          <w:color w:val="auto"/>
          <w:kern w:val="0"/>
          <w14:ligatures w14:val="none"/>
        </w:rPr>
      </w:pPr>
      <w:r w:rsidRPr="00FE33C0">
        <w:rPr>
          <w:rFonts w:ascii="宋体" w:eastAsia="宋体" w:hAnsi="宋体" w:cs="宋体"/>
          <w:iCs w:val="0"/>
          <w:color w:val="auto"/>
          <w:kern w:val="0"/>
          <w:sz w:val="26"/>
          <w:szCs w:val="26"/>
          <w14:ligatures w14:val="none"/>
        </w:rPr>
        <w:t>随着深挖绿色债券之间的异质性，本文提出了几个有待进一步研究的问题：</w:t>
      </w:r>
    </w:p>
    <w:p w14:paraId="6ED27738" w14:textId="77777777" w:rsidR="00FE33C0" w:rsidRPr="00FE33C0" w:rsidRDefault="00FE33C0" w:rsidP="00FE33C0">
      <w:pPr>
        <w:widowControl/>
        <w:numPr>
          <w:ilvl w:val="0"/>
          <w:numId w:val="7"/>
        </w:numPr>
        <w:spacing w:before="120" w:after="120"/>
        <w:rPr>
          <w:rFonts w:ascii="宋体" w:eastAsia="宋体" w:hAnsi="宋体" w:cs="宋体"/>
          <w:iCs w:val="0"/>
          <w:color w:val="auto"/>
          <w:kern w:val="0"/>
          <w14:ligatures w14:val="none"/>
        </w:rPr>
      </w:pPr>
      <w:r w:rsidRPr="00FE33C0">
        <w:rPr>
          <w:rFonts w:ascii="宋体" w:eastAsia="宋体" w:hAnsi="宋体" w:cs="宋体"/>
          <w:iCs w:val="0"/>
          <w:color w:val="auto"/>
          <w:kern w:val="0"/>
          <w:sz w:val="26"/>
          <w:szCs w:val="26"/>
          <w14:ligatures w14:val="none"/>
        </w:rPr>
        <w:t>该研究的实证部分是基于发行在欧洲市场的债券，未来研究可以通过全球绿色债券市场去比较不同国家的投资者是否均对绿色债券的贴标方式存在敏感性。</w:t>
      </w:r>
    </w:p>
    <w:p w14:paraId="1B349549" w14:textId="77777777" w:rsidR="00FE33C0" w:rsidRPr="00FE33C0" w:rsidRDefault="00FE33C0" w:rsidP="00FE33C0">
      <w:pPr>
        <w:widowControl/>
        <w:numPr>
          <w:ilvl w:val="0"/>
          <w:numId w:val="7"/>
        </w:numPr>
        <w:spacing w:before="120" w:after="120"/>
        <w:rPr>
          <w:rFonts w:ascii="宋体" w:eastAsia="宋体" w:hAnsi="宋体" w:cs="宋体"/>
          <w:iCs w:val="0"/>
          <w:color w:val="auto"/>
          <w:kern w:val="0"/>
          <w14:ligatures w14:val="none"/>
        </w:rPr>
      </w:pPr>
      <w:r w:rsidRPr="00FE33C0">
        <w:rPr>
          <w:rFonts w:ascii="宋体" w:eastAsia="宋体" w:hAnsi="宋体" w:cs="宋体"/>
          <w:iCs w:val="0"/>
          <w:color w:val="auto"/>
          <w:kern w:val="0"/>
          <w:sz w:val="26"/>
          <w:szCs w:val="26"/>
          <w14:ligatures w14:val="none"/>
        </w:rPr>
        <w:t>文章中主要关注的两个第三方准则 (Green Bond Principles、Climate Bond Standard) 分别由International Capital Market Association和Climate Bonds Initiative发行。随着欧盟绿色债券准则 (EU Green Bond Standard) 的发行，未来研究可以考虑投资者是否对上述不同准则存在偏好。</w:t>
      </w:r>
    </w:p>
    <w:p w14:paraId="4B4FC166" w14:textId="77777777" w:rsidR="00FE33C0" w:rsidRPr="00FE33C0" w:rsidRDefault="00FE33C0" w:rsidP="00FE33C0">
      <w:pPr>
        <w:widowControl/>
        <w:jc w:val="left"/>
        <w:rPr>
          <w:rFonts w:ascii="宋体" w:eastAsia="宋体" w:hAnsi="宋体" w:cs="宋体"/>
          <w:iCs w:val="0"/>
          <w:color w:val="auto"/>
          <w:kern w:val="0"/>
          <w14:ligatures w14:val="none"/>
        </w:rPr>
      </w:pPr>
      <w:r w:rsidRPr="00FE33C0">
        <w:rPr>
          <w:rFonts w:ascii="宋体" w:eastAsia="宋体" w:hAnsi="宋体" w:cs="宋体"/>
          <w:iCs w:val="0"/>
          <w:color w:val="auto"/>
          <w:kern w:val="0"/>
          <w14:ligatures w14:val="none"/>
        </w:rPr>
        <w:pict w14:anchorId="78994182">
          <v:rect id="_x0000_i1050" style="width:0;height:1.5pt" o:hralign="center" o:hrstd="t" o:hr="t" fillcolor="#a0a0a0" stroked="f"/>
        </w:pict>
      </w:r>
    </w:p>
    <w:p w14:paraId="4DBB4284" w14:textId="77777777" w:rsidR="00FE33C0" w:rsidRPr="00FE33C0" w:rsidRDefault="00FE33C0" w:rsidP="00FE33C0">
      <w:pPr>
        <w:widowControl/>
        <w:spacing w:before="240" w:after="240"/>
        <w:jc w:val="left"/>
        <w:rPr>
          <w:rFonts w:ascii="宋体" w:eastAsia="宋体" w:hAnsi="宋体" w:cs="宋体"/>
          <w:iCs w:val="0"/>
          <w:color w:val="auto"/>
          <w:kern w:val="0"/>
          <w14:ligatures w14:val="none"/>
        </w:rPr>
      </w:pPr>
      <w:r w:rsidRPr="00FE33C0">
        <w:rPr>
          <w:rFonts w:ascii="宋体" w:eastAsia="宋体" w:hAnsi="宋体" w:cs="宋体"/>
          <w:iCs w:val="0"/>
          <w:color w:val="auto"/>
          <w:kern w:val="0"/>
          <w:sz w:val="26"/>
          <w:szCs w:val="26"/>
          <w14:ligatures w14:val="none"/>
        </w:rPr>
        <w:t>编辑：周鹏</w:t>
      </w:r>
    </w:p>
    <w:p w14:paraId="23F3A157" w14:textId="77777777" w:rsidR="00FE33C0" w:rsidRPr="00FE33C0" w:rsidRDefault="00FE33C0" w:rsidP="00FE33C0">
      <w:pPr>
        <w:widowControl/>
        <w:spacing w:before="240" w:after="240"/>
        <w:jc w:val="left"/>
        <w:rPr>
          <w:rFonts w:ascii="宋体" w:eastAsia="宋体" w:hAnsi="宋体" w:cs="宋体"/>
          <w:iCs w:val="0"/>
          <w:color w:val="auto"/>
          <w:kern w:val="0"/>
          <w14:ligatures w14:val="none"/>
        </w:rPr>
      </w:pPr>
      <w:r w:rsidRPr="00FE33C0">
        <w:rPr>
          <w:rFonts w:ascii="宋体" w:eastAsia="宋体" w:hAnsi="宋体" w:cs="宋体"/>
          <w:iCs w:val="0"/>
          <w:color w:val="auto"/>
          <w:kern w:val="0"/>
          <w:sz w:val="26"/>
          <w:szCs w:val="26"/>
          <w14:ligatures w14:val="none"/>
        </w:rPr>
        <w:t>附录：文章摘要</w:t>
      </w:r>
    </w:p>
    <w:p w14:paraId="548142D9" w14:textId="77777777" w:rsidR="00FE33C0" w:rsidRPr="00FE33C0" w:rsidRDefault="00FE33C0" w:rsidP="00FE33C0">
      <w:pPr>
        <w:widowControl/>
        <w:spacing w:before="240" w:after="240"/>
        <w:jc w:val="left"/>
        <w:rPr>
          <w:rFonts w:ascii="宋体" w:eastAsia="宋体" w:hAnsi="宋体" w:cs="宋体"/>
          <w:iCs w:val="0"/>
          <w:color w:val="auto"/>
          <w:kern w:val="0"/>
          <w14:ligatures w14:val="none"/>
        </w:rPr>
      </w:pPr>
      <w:r w:rsidRPr="00FE33C0">
        <w:rPr>
          <w:rFonts w:ascii="宋体" w:eastAsia="宋体" w:hAnsi="宋体" w:cs="宋体"/>
          <w:iCs w:val="0"/>
          <w:color w:val="auto"/>
          <w:kern w:val="0"/>
          <w:sz w:val="26"/>
          <w:szCs w:val="26"/>
          <w14:ligatures w14:val="none"/>
        </w:rPr>
        <w:t xml:space="preserve">This paper demonstrates that green-labeling forms an integral part of financial investment vehicles. We use data from the EU green bond market to show that green labels reduce the required yields on bonds (the “greenium”) in the long run, with the effect being more pronounced when labels are externally certified. We also find that green bonds can increase investors’ short-term attention when they are externally labeled. </w:t>
      </w:r>
      <w:r w:rsidRPr="00FE33C0">
        <w:rPr>
          <w:rFonts w:ascii="宋体" w:eastAsia="宋体" w:hAnsi="宋体" w:cs="宋体"/>
          <w:iCs w:val="0"/>
          <w:color w:val="auto"/>
          <w:kern w:val="0"/>
          <w:sz w:val="26"/>
          <w:szCs w:val="26"/>
          <w14:ligatures w14:val="none"/>
        </w:rPr>
        <w:lastRenderedPageBreak/>
        <w:t>Further evidence suggests that the greenium of self-labeled green bonds is mainly attributed to a weak signaling effect, whereas that of externally labeled bonds results from a combination of signaling effect and pro-environmental preferences. Our findings indicate that investors value the reassurance that third-party certifications provide about the ethical use of bond proceeds. This highlights the potential benefits of introducing stricter oversight of green bond proceeds in the bond market.</w:t>
      </w:r>
    </w:p>
    <w:p w14:paraId="7DEE5A2B" w14:textId="77777777" w:rsidR="00FE33C0" w:rsidRPr="00FE33C0" w:rsidRDefault="00FE33C0" w:rsidP="00FE33C0">
      <w:pPr>
        <w:widowControl/>
        <w:jc w:val="left"/>
        <w:rPr>
          <w:rFonts w:ascii="宋体" w:eastAsia="宋体" w:hAnsi="宋体" w:cs="宋体"/>
          <w:iCs w:val="0"/>
          <w:color w:val="auto"/>
          <w:kern w:val="0"/>
          <w14:ligatures w14:val="none"/>
        </w:rPr>
      </w:pPr>
      <w:r w:rsidRPr="00FE33C0">
        <w:rPr>
          <w:rFonts w:ascii="宋体" w:eastAsia="宋体" w:hAnsi="宋体" w:cs="宋体"/>
          <w:iCs w:val="0"/>
          <w:color w:val="auto"/>
          <w:kern w:val="0"/>
          <w14:ligatures w14:val="none"/>
        </w:rPr>
        <w:pict w14:anchorId="2A731296">
          <v:rect id="_x0000_i1051" style="width:0;height:1.5pt" o:hralign="center" o:hrstd="t" o:hr="t" fillcolor="#a0a0a0" stroked="f"/>
        </w:pict>
      </w:r>
    </w:p>
    <w:p w14:paraId="3C060D92" w14:textId="77777777" w:rsidR="00FE33C0" w:rsidRPr="00FE33C0" w:rsidRDefault="00FE33C0" w:rsidP="00FE33C0">
      <w:pPr>
        <w:widowControl/>
        <w:spacing w:before="240" w:after="240"/>
        <w:jc w:val="left"/>
        <w:rPr>
          <w:rFonts w:ascii="宋体" w:eastAsia="宋体" w:hAnsi="宋体" w:cs="宋体"/>
          <w:iCs w:val="0"/>
          <w:color w:val="auto"/>
          <w:kern w:val="0"/>
          <w14:ligatures w14:val="none"/>
        </w:rPr>
      </w:pPr>
      <w:r w:rsidRPr="00FE33C0">
        <w:rPr>
          <w:rFonts w:ascii="宋体" w:eastAsia="宋体" w:hAnsi="宋体" w:cs="宋体"/>
          <w:iCs w:val="0"/>
          <w:color w:val="0052FF"/>
          <w:kern w:val="0"/>
          <w:sz w:val="26"/>
          <w:szCs w:val="26"/>
          <w14:ligatures w14:val="none"/>
        </w:rPr>
        <w:t>全欧/全英中国经济学会（Chinese Economic Association UK/Europe，简称CEA）成立于1988年，是一个独立的非盈利的学术团体，是欧洲最具影响力的关注中国经济发展的学会。学会成员包括对中国经济发展感兴趣的学者、学生和企业高管。学会的宗旨是增进公众对中国经济发展的理解，并推动关于中国经济的高质量研究。学会在欧洲和中国举办年会以及学术研讨会，鼓励中国与欧洲之间的学术交流。</w:t>
      </w:r>
    </w:p>
    <w:p w14:paraId="4F436DE2" w14:textId="77777777" w:rsidR="00FE33C0" w:rsidRPr="00FE33C0" w:rsidRDefault="00FE33C0" w:rsidP="00FE33C0">
      <w:pPr>
        <w:widowControl/>
        <w:spacing w:before="240" w:after="240"/>
        <w:jc w:val="left"/>
        <w:rPr>
          <w:rFonts w:ascii="宋体" w:eastAsia="宋体" w:hAnsi="宋体" w:cs="宋体"/>
          <w:iCs w:val="0"/>
          <w:color w:val="auto"/>
          <w:kern w:val="0"/>
          <w14:ligatures w14:val="none"/>
        </w:rPr>
      </w:pPr>
      <w:r w:rsidRPr="00FE33C0">
        <w:rPr>
          <w:rFonts w:ascii="宋体" w:eastAsia="宋体" w:hAnsi="宋体" w:cs="宋体"/>
          <w:iCs w:val="0"/>
          <w:color w:val="0052FF"/>
          <w:kern w:val="0"/>
          <w:sz w:val="26"/>
          <w:szCs w:val="26"/>
          <w14:ligatures w14:val="none"/>
        </w:rPr>
        <w:t>CEA学会出版英文期刊Journal of Chinese Economic and Business Studies（JCEBS），期刊注册于牛津大学TMCD研究院，发表可持续发展主题的经济、金融和管理类的跨学科高质量论文，欢迎基于各国样本的原创性研究。其CiteScore（5.5）位列“经济学、计量经济学和金融学”类别中前10%。影响因子（2.4）位列Q2。主编和核心编委会包括经济学领域世界前100引用学者Douglas Cumming，英国社会科学院院士Xiaolan Fu，欧洲科学院经济学部负责人Klaus Zimmermann，英国科学</w:t>
      </w:r>
      <w:r w:rsidRPr="00FE33C0">
        <w:rPr>
          <w:rFonts w:ascii="宋体" w:eastAsia="宋体" w:hAnsi="宋体" w:cs="宋体"/>
          <w:iCs w:val="0"/>
          <w:color w:val="0052FF"/>
          <w:kern w:val="0"/>
          <w:sz w:val="26"/>
          <w:szCs w:val="26"/>
          <w14:ligatures w14:val="none"/>
        </w:rPr>
        <w:lastRenderedPageBreak/>
        <w:t>院与发展中国家科学院林毅夫，爱丁堡皇家学会Wenxuan Hou，哈佛大学Dwight Perkins，哥伦比亚大学Jeffrey Sachs，普林斯顿大学Dani Rodrik等具有国际影响力的学者。</w:t>
      </w:r>
    </w:p>
    <w:p w14:paraId="68DB5AC1" w14:textId="77777777" w:rsidR="00FE33C0" w:rsidRPr="00FE33C0" w:rsidRDefault="00FE33C0" w:rsidP="00FE33C0">
      <w:pPr>
        <w:widowControl/>
        <w:spacing w:before="240" w:after="240"/>
        <w:jc w:val="center"/>
        <w:rPr>
          <w:rFonts w:ascii="宋体" w:eastAsia="宋体" w:hAnsi="宋体" w:cs="宋体"/>
          <w:iCs w:val="0"/>
          <w:color w:val="auto"/>
          <w:kern w:val="0"/>
          <w14:ligatures w14:val="none"/>
        </w:rPr>
      </w:pPr>
      <w:r w:rsidRPr="00FE33C0">
        <w:rPr>
          <w:rFonts w:ascii="宋体" w:eastAsia="宋体" w:hAnsi="宋体" w:cs="宋体"/>
          <w:iCs w:val="0"/>
          <w:color w:val="FF6827"/>
          <w:kern w:val="0"/>
          <w:sz w:val="26"/>
          <w:szCs w:val="26"/>
          <w14:ligatures w14:val="none"/>
        </w:rPr>
        <w:t>欢迎点击下方二维码关注！</w:t>
      </w:r>
    </w:p>
    <w:p w14:paraId="4C37D2E2" w14:textId="780CD3ED" w:rsidR="00556218" w:rsidRPr="00FE33C0" w:rsidRDefault="00FE33C0" w:rsidP="00FE33C0">
      <w:pPr>
        <w:jc w:val="center"/>
      </w:pPr>
      <w:r w:rsidRPr="00FE33C0">
        <w:rPr>
          <w:rFonts w:ascii="宋体" w:eastAsia="宋体" w:hAnsi="宋体" w:cs="宋体"/>
          <w:iCs w:val="0"/>
          <w:noProof/>
          <w:color w:val="auto"/>
          <w:kern w:val="0"/>
          <w14:ligatures w14:val="none"/>
        </w:rPr>
        <w:drawing>
          <wp:inline distT="0" distB="0" distL="0" distR="0" wp14:anchorId="1B9CCFCC" wp14:editId="5B055EA5">
            <wp:extent cx="2461260" cy="2461260"/>
            <wp:effectExtent l="0" t="0" r="0" b="0"/>
            <wp:docPr id="66568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61260" cy="2461260"/>
                    </a:xfrm>
                    <a:prstGeom prst="rect">
                      <a:avLst/>
                    </a:prstGeom>
                    <a:noFill/>
                    <a:ln>
                      <a:noFill/>
                    </a:ln>
                  </pic:spPr>
                </pic:pic>
              </a:graphicData>
            </a:graphic>
          </wp:inline>
        </w:drawing>
      </w:r>
    </w:p>
    <w:sectPr w:rsidR="00556218" w:rsidRPr="00FE33C0" w:rsidSect="00850D95">
      <w:pgSz w:w="11906" w:h="16838"/>
      <w:pgMar w:top="1440" w:right="1800" w:bottom="1440" w:left="1800" w:header="708" w:footer="708" w:gutter="0"/>
      <w:cols w:space="708"/>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B0504020202020204"/>
    <w:charset w:val="86"/>
    <w:family w:val="swiss"/>
    <w:pitch w:val="variable"/>
    <w:sig w:usb0="A00002CF" w:usb1="3ACF3D13" w:usb2="00000017" w:usb3="00000000" w:csb0="00040001" w:csb1="00000000"/>
  </w:font>
  <w:font w:name="Microsoft YaHei UI">
    <w:panose1 w:val="020B0504020202020204"/>
    <w:charset w:val="86"/>
    <w:family w:val="swiss"/>
    <w:pitch w:val="variable"/>
    <w:sig w:usb0="A00002CF" w:usb1="3ACF3D13" w:usb2="00000017" w:usb3="00000000" w:csb0="0004001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66B09"/>
    <w:multiLevelType w:val="multilevel"/>
    <w:tmpl w:val="0164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1A239D"/>
    <w:multiLevelType w:val="multilevel"/>
    <w:tmpl w:val="F992D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513476"/>
    <w:multiLevelType w:val="multilevel"/>
    <w:tmpl w:val="67324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D72DD0"/>
    <w:multiLevelType w:val="multilevel"/>
    <w:tmpl w:val="67324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7B1998"/>
    <w:multiLevelType w:val="multilevel"/>
    <w:tmpl w:val="1A66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A0C3DB9"/>
    <w:multiLevelType w:val="multilevel"/>
    <w:tmpl w:val="55980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D413BC"/>
    <w:multiLevelType w:val="multilevel"/>
    <w:tmpl w:val="69DA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5729641">
    <w:abstractNumId w:val="4"/>
  </w:num>
  <w:num w:numId="2" w16cid:durableId="38938295">
    <w:abstractNumId w:val="6"/>
  </w:num>
  <w:num w:numId="3" w16cid:durableId="1369574488">
    <w:abstractNumId w:val="0"/>
  </w:num>
  <w:num w:numId="4" w16cid:durableId="1541942432">
    <w:abstractNumId w:val="3"/>
  </w:num>
  <w:num w:numId="5" w16cid:durableId="1036659389">
    <w:abstractNumId w:val="2"/>
  </w:num>
  <w:num w:numId="6" w16cid:durableId="1049190111">
    <w:abstractNumId w:val="1"/>
  </w:num>
  <w:num w:numId="7" w16cid:durableId="13081240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S3tDQytbC0MDe2NDRX0lEKTi0uzszPAykwrQUAXvETTCwAAAA="/>
  </w:docVars>
  <w:rsids>
    <w:rsidRoot w:val="00A127DD"/>
    <w:rsid w:val="0000197A"/>
    <w:rsid w:val="00105729"/>
    <w:rsid w:val="001563FF"/>
    <w:rsid w:val="001B7648"/>
    <w:rsid w:val="001D4E76"/>
    <w:rsid w:val="001D70ED"/>
    <w:rsid w:val="0020477A"/>
    <w:rsid w:val="002A5494"/>
    <w:rsid w:val="00401FE8"/>
    <w:rsid w:val="00423E1C"/>
    <w:rsid w:val="00530A20"/>
    <w:rsid w:val="00556218"/>
    <w:rsid w:val="006642DE"/>
    <w:rsid w:val="00692224"/>
    <w:rsid w:val="006A4A15"/>
    <w:rsid w:val="0070633F"/>
    <w:rsid w:val="007B59D9"/>
    <w:rsid w:val="007D5F18"/>
    <w:rsid w:val="00807FD6"/>
    <w:rsid w:val="00843CB6"/>
    <w:rsid w:val="00850D95"/>
    <w:rsid w:val="008B4ABF"/>
    <w:rsid w:val="00920ED6"/>
    <w:rsid w:val="00952E07"/>
    <w:rsid w:val="00991178"/>
    <w:rsid w:val="009A4749"/>
    <w:rsid w:val="009B4F22"/>
    <w:rsid w:val="009E7BAF"/>
    <w:rsid w:val="00A127DD"/>
    <w:rsid w:val="00A4534B"/>
    <w:rsid w:val="00B76354"/>
    <w:rsid w:val="00BE4D57"/>
    <w:rsid w:val="00BF197E"/>
    <w:rsid w:val="00D71021"/>
    <w:rsid w:val="00D715C5"/>
    <w:rsid w:val="00D87442"/>
    <w:rsid w:val="00DC752D"/>
    <w:rsid w:val="00DD3BD7"/>
    <w:rsid w:val="00EF3AAF"/>
    <w:rsid w:val="00F44D13"/>
    <w:rsid w:val="00F738A3"/>
    <w:rsid w:val="00FC5BBF"/>
    <w:rsid w:val="00FE203F"/>
    <w:rsid w:val="00FE33C0"/>
    <w:rsid w:val="00FF425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5D701"/>
  <w15:chartTrackingRefBased/>
  <w15:docId w15:val="{2F422EDC-8193-4EE9-8FB5-143B1E7EB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iCs/>
        <w:color w:val="000000"/>
        <w:kern w:val="2"/>
        <w:sz w:val="24"/>
        <w:szCs w:val="24"/>
        <w:lang w:val="en-US" w:eastAsia="zh-CN"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1FE8"/>
    <w:pPr>
      <w:widowControl/>
      <w:spacing w:before="100" w:beforeAutospacing="1" w:after="100" w:afterAutospacing="1"/>
      <w:jc w:val="left"/>
    </w:pPr>
    <w:rPr>
      <w:rFonts w:ascii="宋体" w:eastAsia="宋体" w:hAnsi="宋体" w:cs="宋体"/>
      <w:iCs w:val="0"/>
      <w:color w:val="auto"/>
      <w:kern w:val="0"/>
      <w14:ligatures w14:val="none"/>
    </w:rPr>
  </w:style>
  <w:style w:type="character" w:styleId="Strong">
    <w:name w:val="Strong"/>
    <w:basedOn w:val="DefaultParagraphFont"/>
    <w:uiPriority w:val="22"/>
    <w:qFormat/>
    <w:rsid w:val="00401FE8"/>
    <w:rPr>
      <w:b/>
      <w:bCs/>
    </w:rPr>
  </w:style>
  <w:style w:type="character" w:styleId="Emphasis">
    <w:name w:val="Emphasis"/>
    <w:basedOn w:val="DefaultParagraphFont"/>
    <w:uiPriority w:val="20"/>
    <w:qFormat/>
    <w:rsid w:val="00401FE8"/>
    <w:rPr>
      <w:i/>
      <w:i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4666201">
      <w:bodyDiv w:val="1"/>
      <w:marLeft w:val="0"/>
      <w:marRight w:val="0"/>
      <w:marTop w:val="0"/>
      <w:marBottom w:val="0"/>
      <w:divBdr>
        <w:top w:val="none" w:sz="0" w:space="0" w:color="auto"/>
        <w:left w:val="none" w:sz="0" w:space="0" w:color="auto"/>
        <w:bottom w:val="none" w:sz="0" w:space="0" w:color="auto"/>
        <w:right w:val="none" w:sz="0" w:space="0" w:color="auto"/>
      </w:divBdr>
    </w:div>
    <w:div w:id="1071005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369</TotalTime>
  <Pages>1</Pages>
  <Words>545</Words>
  <Characters>3113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Shijie</dc:creator>
  <cp:keywords/>
  <dc:description/>
  <cp:lastModifiedBy>Shijie</cp:lastModifiedBy>
  <cp:revision>12</cp:revision>
  <dcterms:created xsi:type="dcterms:W3CDTF">2024-12-27T19:30:00Z</dcterms:created>
  <dcterms:modified xsi:type="dcterms:W3CDTF">2024-12-30T15:50:00Z</dcterms:modified>
</cp:coreProperties>
</file>