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C8DA3" w14:textId="7AA6D4DF"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文章题目：</w:t>
      </w:r>
      <w:r w:rsidR="009C6BD3" w:rsidRPr="009C6BD3">
        <w:rPr>
          <w:rFonts w:ascii="宋体" w:eastAsia="宋体" w:hAnsi="宋体" w:cs="宋体" w:hint="eastAsia"/>
          <w:iCs w:val="0"/>
          <w:color w:val="auto"/>
          <w:kern w:val="0"/>
          <w:sz w:val="26"/>
          <w:szCs w:val="26"/>
          <w14:ligatures w14:val="none"/>
        </w:rPr>
        <w:t>ESG如何创造价值？全要素生产率与研发创新的中介与调节路径</w:t>
      </w:r>
      <w:r w:rsidRPr="00FE33C0">
        <w:rPr>
          <w:rFonts w:ascii="宋体" w:eastAsia="宋体" w:hAnsi="宋体" w:cs="宋体"/>
          <w:iCs w:val="0"/>
          <w:color w:val="auto"/>
          <w:kern w:val="0"/>
          <w:sz w:val="26"/>
          <w:szCs w:val="26"/>
          <w14:ligatures w14:val="none"/>
        </w:rPr>
        <w:t xml:space="preserve"> (</w:t>
      </w:r>
      <w:r w:rsidR="00CA70ED" w:rsidRPr="00CA70ED">
        <w:rPr>
          <w:rFonts w:ascii="宋体" w:eastAsia="宋体" w:hAnsi="宋体" w:cs="宋体"/>
          <w:iCs w:val="0"/>
          <w:color w:val="auto"/>
          <w:kern w:val="0"/>
          <w:sz w:val="26"/>
          <w:szCs w:val="26"/>
          <w14:ligatures w14:val="none"/>
        </w:rPr>
        <w:t>ESG</w:t>
      </w:r>
      <w:proofErr w:type="gramStart"/>
      <w:r w:rsidR="00CA70ED" w:rsidRPr="00CA70ED">
        <w:rPr>
          <w:rFonts w:ascii="宋体" w:eastAsia="宋体" w:hAnsi="宋体" w:cs="宋体"/>
          <w:iCs w:val="0"/>
          <w:color w:val="auto"/>
          <w:kern w:val="0"/>
          <w:sz w:val="26"/>
          <w:szCs w:val="26"/>
          <w14:ligatures w14:val="none"/>
        </w:rPr>
        <w:t>’</w:t>
      </w:r>
      <w:proofErr w:type="gramEnd"/>
      <w:r w:rsidR="00CA70ED" w:rsidRPr="00CA70ED">
        <w:rPr>
          <w:rFonts w:ascii="宋体" w:eastAsia="宋体" w:hAnsi="宋体" w:cs="宋体"/>
          <w:iCs w:val="0"/>
          <w:color w:val="auto"/>
          <w:kern w:val="0"/>
          <w:sz w:val="26"/>
          <w:szCs w:val="26"/>
          <w14:ligatures w14:val="none"/>
        </w:rPr>
        <w:t>s path to value: the role of total factor productivity and R&amp;D innovation investment</w:t>
      </w:r>
      <w:r w:rsidRPr="00FE33C0">
        <w:rPr>
          <w:rFonts w:ascii="宋体" w:eastAsia="宋体" w:hAnsi="宋体" w:cs="宋体"/>
          <w:iCs w:val="0"/>
          <w:color w:val="auto"/>
          <w:kern w:val="0"/>
          <w:sz w:val="26"/>
          <w:szCs w:val="26"/>
          <w14:ligatures w14:val="none"/>
        </w:rPr>
        <w:t>)</w:t>
      </w:r>
    </w:p>
    <w:p w14:paraId="4D329FD3" w14:textId="446EEB4E" w:rsidR="00FE33C0" w:rsidRDefault="00FE33C0" w:rsidP="00FE33C0">
      <w:pPr>
        <w:widowControl/>
        <w:spacing w:before="240" w:after="240"/>
        <w:jc w:val="left"/>
        <w:rPr>
          <w:rFonts w:ascii="宋体" w:eastAsia="宋体" w:hAnsi="宋体" w:cs="宋体"/>
          <w:iCs w:val="0"/>
          <w:color w:val="auto"/>
          <w:kern w:val="0"/>
          <w:sz w:val="26"/>
          <w:szCs w:val="26"/>
          <w14:ligatures w14:val="none"/>
        </w:rPr>
      </w:pPr>
      <w:r w:rsidRPr="00FE33C0">
        <w:rPr>
          <w:rFonts w:ascii="宋体" w:eastAsia="宋体" w:hAnsi="宋体" w:cs="宋体"/>
          <w:b/>
          <w:bCs/>
          <w:iCs w:val="0"/>
          <w:color w:val="auto"/>
          <w:kern w:val="0"/>
          <w:sz w:val="26"/>
          <w:szCs w:val="26"/>
          <w14:ligatures w14:val="none"/>
        </w:rPr>
        <w:t>发表期刊：</w:t>
      </w:r>
      <w:r w:rsidR="009C6BD3" w:rsidRPr="009C6BD3">
        <w:rPr>
          <w:rFonts w:ascii="宋体" w:eastAsia="宋体" w:hAnsi="宋体" w:cs="宋体"/>
          <w:iCs w:val="0"/>
          <w:color w:val="auto"/>
          <w:kern w:val="0"/>
          <w:sz w:val="26"/>
          <w:szCs w:val="26"/>
          <w14:ligatures w14:val="none"/>
        </w:rPr>
        <w:t>Journal of Chinese Economic and Business Studies</w:t>
      </w:r>
    </w:p>
    <w:p w14:paraId="2A2A33ED" w14:textId="66CD0FC0"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b/>
          <w:bCs/>
          <w:iCs w:val="0"/>
          <w:color w:val="3DA742"/>
          <w:kern w:val="0"/>
          <w:sz w:val="26"/>
          <w:szCs w:val="26"/>
          <w14:ligatures w14:val="none"/>
        </w:rPr>
        <w:t>联合国可持续发展目标：</w:t>
      </w:r>
      <w:r w:rsidR="009C6BD3" w:rsidRPr="009C6BD3">
        <w:rPr>
          <w:rFonts w:ascii="宋体" w:eastAsia="宋体" w:hAnsi="宋体" w:cs="宋体" w:hint="eastAsia"/>
          <w:iCs w:val="0"/>
          <w:color w:val="3DA742"/>
          <w:kern w:val="0"/>
          <w:sz w:val="26"/>
          <w:szCs w:val="26"/>
          <w14:ligatures w14:val="none"/>
        </w:rPr>
        <w:t>SDG 9 产业、创新和基础设施</w:t>
      </w:r>
      <w:r w:rsidR="00D34E30">
        <w:rPr>
          <w:rFonts w:ascii="宋体" w:eastAsia="宋体" w:hAnsi="宋体" w:cs="宋体" w:hint="eastAsia"/>
          <w:iCs w:val="0"/>
          <w:color w:val="3DA742"/>
          <w:kern w:val="0"/>
          <w:sz w:val="26"/>
          <w:szCs w:val="26"/>
          <w14:ligatures w14:val="none"/>
        </w:rPr>
        <w:t xml:space="preserve">; </w:t>
      </w:r>
      <w:r w:rsidR="009C6BD3" w:rsidRPr="009C6BD3">
        <w:rPr>
          <w:rFonts w:ascii="宋体" w:eastAsia="宋体" w:hAnsi="宋体" w:cs="宋体" w:hint="eastAsia"/>
          <w:iCs w:val="0"/>
          <w:color w:val="3DA742"/>
          <w:kern w:val="0"/>
          <w:sz w:val="26"/>
          <w:szCs w:val="26"/>
          <w14:ligatures w14:val="none"/>
        </w:rPr>
        <w:t>SDG 12 负责任消费和生产</w:t>
      </w:r>
    </w:p>
    <w:p w14:paraId="3016CF82"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7C4A0161">
          <v:rect id="_x0000_i1025" style="width:0;height:1.5pt" o:hralign="center" o:hrstd="t" o:hr="t" fillcolor="#a0a0a0" stroked="f"/>
        </w:pict>
      </w:r>
    </w:p>
    <w:p w14:paraId="762381D8"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Podcast (English)</w:t>
      </w:r>
    </w:p>
    <w:p w14:paraId="4B393095"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3E23F234">
          <v:rect id="_x0000_i1026" style="width:0;height:1.5pt" o:hralign="center" o:hrstd="t" o:hr="t" fillcolor="#a0a0a0" stroked="f"/>
        </w:pict>
      </w:r>
    </w:p>
    <w:p w14:paraId="6C099A5E"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作者信息：</w:t>
      </w:r>
    </w:p>
    <w:p w14:paraId="28552208" w14:textId="4D414E0C" w:rsidR="009C6BD3" w:rsidRDefault="00FE33C0" w:rsidP="00FE33C0">
      <w:pPr>
        <w:widowControl/>
        <w:spacing w:before="100" w:beforeAutospacing="1" w:after="100" w:afterAutospacing="1"/>
        <w:jc w:val="left"/>
        <w:rPr>
          <w:rFonts w:ascii="宋体" w:eastAsia="宋体" w:hAnsi="宋体" w:cs="宋体"/>
          <w:iCs w:val="0"/>
          <w:color w:val="auto"/>
          <w:kern w:val="0"/>
          <w:sz w:val="26"/>
          <w:szCs w:val="26"/>
          <w14:ligatures w14:val="none"/>
        </w:rPr>
      </w:pPr>
      <w:r w:rsidRPr="00FE33C0">
        <w:rPr>
          <w:rFonts w:ascii="宋体" w:eastAsia="宋体" w:hAnsi="宋体" w:cs="宋体"/>
          <w:iCs w:val="0"/>
          <w:color w:val="auto"/>
          <w:kern w:val="0"/>
          <w:sz w:val="26"/>
          <w:szCs w:val="26"/>
          <w14:ligatures w14:val="none"/>
        </w:rPr>
        <w:t xml:space="preserve">• </w:t>
      </w:r>
      <w:r w:rsidR="00462E29" w:rsidRPr="00462E29">
        <w:rPr>
          <w:rFonts w:ascii="宋体" w:eastAsia="宋体" w:hAnsi="宋体" w:cs="宋体"/>
          <w:iCs w:val="0"/>
          <w:color w:val="auto"/>
          <w:kern w:val="0"/>
          <w:sz w:val="26"/>
          <w:szCs w:val="26"/>
          <w14:ligatures w14:val="none"/>
        </w:rPr>
        <w:t>Guoyu Mao</w:t>
      </w:r>
      <w:r w:rsidR="00D34E30">
        <w:rPr>
          <w:rFonts w:ascii="宋体" w:eastAsia="宋体" w:hAnsi="宋体" w:cs="宋体" w:hint="eastAsia"/>
          <w:iCs w:val="0"/>
          <w:color w:val="auto"/>
          <w:kern w:val="0"/>
          <w:sz w:val="26"/>
          <w:szCs w:val="26"/>
          <w14:ligatures w14:val="none"/>
        </w:rPr>
        <w:t xml:space="preserve">, </w:t>
      </w:r>
      <w:r w:rsidR="00462E29" w:rsidRPr="00462E29">
        <w:rPr>
          <w:rFonts w:ascii="宋体" w:eastAsia="宋体" w:hAnsi="宋体" w:cs="宋体" w:hint="eastAsia"/>
          <w:iCs w:val="0"/>
          <w:color w:val="auto"/>
          <w:kern w:val="0"/>
          <w:sz w:val="26"/>
          <w:szCs w:val="26"/>
          <w14:ligatures w14:val="none"/>
        </w:rPr>
        <w:t>四川理工学院财务系主任，会计学硕士生导师，毕业于西南财经大学，现任高级会计师、副研究员，四川省高端会计人才，兼任多个学术与行业委员会职务</w:t>
      </w:r>
      <w:r w:rsidR="009C6BD3">
        <w:rPr>
          <w:rFonts w:ascii="宋体" w:eastAsia="宋体" w:hAnsi="宋体" w:cs="宋体" w:hint="eastAsia"/>
          <w:iCs w:val="0"/>
          <w:color w:val="auto"/>
          <w:kern w:val="0"/>
          <w:sz w:val="26"/>
          <w:szCs w:val="26"/>
          <w14:ligatures w14:val="none"/>
        </w:rPr>
        <w:t>。</w:t>
      </w:r>
    </w:p>
    <w:p w14:paraId="49D5D1FE" w14:textId="1A4C0B0A" w:rsidR="00FE33C0" w:rsidRPr="00FE33C0" w:rsidRDefault="00FE33C0" w:rsidP="00FE33C0">
      <w:pPr>
        <w:widowControl/>
        <w:spacing w:before="100" w:beforeAutospacing="1" w:after="100" w:afterAutospacing="1"/>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 xml:space="preserve">• </w:t>
      </w:r>
      <w:proofErr w:type="spellStart"/>
      <w:r w:rsidR="00462E29" w:rsidRPr="009C6BD3">
        <w:rPr>
          <w:rFonts w:ascii="宋体" w:eastAsia="宋体" w:hAnsi="宋体" w:cs="宋体" w:hint="eastAsia"/>
          <w:iCs w:val="0"/>
          <w:color w:val="auto"/>
          <w:kern w:val="0"/>
          <w:sz w:val="26"/>
          <w:szCs w:val="26"/>
          <w14:ligatures w14:val="none"/>
        </w:rPr>
        <w:t>Tharitsaya</w:t>
      </w:r>
      <w:proofErr w:type="spellEnd"/>
      <w:r w:rsidR="00462E29">
        <w:rPr>
          <w:rFonts w:ascii="宋体" w:eastAsia="宋体" w:hAnsi="宋体" w:cs="宋体" w:hint="eastAsia"/>
          <w:iCs w:val="0"/>
          <w:color w:val="auto"/>
          <w:kern w:val="0"/>
          <w:sz w:val="26"/>
          <w:szCs w:val="26"/>
          <w14:ligatures w14:val="none"/>
        </w:rPr>
        <w:t xml:space="preserve"> </w:t>
      </w:r>
      <w:proofErr w:type="spellStart"/>
      <w:r w:rsidR="009C6BD3" w:rsidRPr="009C6BD3">
        <w:rPr>
          <w:rFonts w:ascii="宋体" w:eastAsia="宋体" w:hAnsi="宋体" w:cs="宋体" w:hint="eastAsia"/>
          <w:iCs w:val="0"/>
          <w:color w:val="auto"/>
          <w:kern w:val="0"/>
          <w:sz w:val="26"/>
          <w:szCs w:val="26"/>
          <w14:ligatures w14:val="none"/>
        </w:rPr>
        <w:t>Kongkaew</w:t>
      </w:r>
      <w:proofErr w:type="spellEnd"/>
      <w:r w:rsidR="00D34E30">
        <w:rPr>
          <w:rFonts w:ascii="宋体" w:eastAsia="宋体" w:hAnsi="宋体" w:cs="宋体" w:hint="eastAsia"/>
          <w:iCs w:val="0"/>
          <w:color w:val="auto"/>
          <w:kern w:val="0"/>
          <w:sz w:val="26"/>
          <w:szCs w:val="26"/>
          <w14:ligatures w14:val="none"/>
        </w:rPr>
        <w:t xml:space="preserve">, </w:t>
      </w:r>
      <w:r w:rsidR="00F33E54" w:rsidRPr="00F33E54">
        <w:rPr>
          <w:rFonts w:ascii="宋体" w:eastAsia="宋体" w:hAnsi="宋体" w:cs="宋体" w:hint="eastAsia"/>
          <w:iCs w:val="0"/>
          <w:color w:val="auto"/>
          <w:kern w:val="0"/>
          <w:sz w:val="26"/>
          <w:szCs w:val="26"/>
          <w14:ligatures w14:val="none"/>
        </w:rPr>
        <w:t>泰国皇家理工大学</w:t>
      </w:r>
      <w:r w:rsidR="00F33E54">
        <w:rPr>
          <w:rFonts w:ascii="宋体" w:eastAsia="宋体" w:hAnsi="宋体" w:cs="宋体" w:hint="eastAsia"/>
          <w:iCs w:val="0"/>
          <w:color w:val="auto"/>
          <w:kern w:val="0"/>
          <w:sz w:val="26"/>
          <w:szCs w:val="26"/>
          <w14:ligatures w14:val="none"/>
        </w:rPr>
        <w:t>(</w:t>
      </w:r>
      <w:r w:rsidR="00F33E54" w:rsidRPr="00F33E54">
        <w:rPr>
          <w:rFonts w:ascii="宋体" w:eastAsia="宋体" w:hAnsi="宋体" w:cs="宋体"/>
          <w:iCs w:val="0"/>
          <w:color w:val="auto"/>
          <w:kern w:val="0"/>
          <w:sz w:val="26"/>
          <w:szCs w:val="26"/>
          <w14:ligatures w14:val="none"/>
        </w:rPr>
        <w:t>RMUTT</w:t>
      </w:r>
      <w:r w:rsidR="00F33E54">
        <w:rPr>
          <w:rFonts w:ascii="宋体" w:eastAsia="宋体" w:hAnsi="宋体" w:cs="宋体" w:hint="eastAsia"/>
          <w:iCs w:val="0"/>
          <w:color w:val="auto"/>
          <w:kern w:val="0"/>
          <w:sz w:val="26"/>
          <w:szCs w:val="26"/>
          <w14:ligatures w14:val="none"/>
        </w:rPr>
        <w:t>)金融</w:t>
      </w:r>
      <w:r w:rsidR="00462E29" w:rsidRPr="00462E29">
        <w:rPr>
          <w:rFonts w:ascii="宋体" w:eastAsia="宋体" w:hAnsi="宋体" w:cs="宋体" w:hint="eastAsia"/>
          <w:iCs w:val="0"/>
          <w:color w:val="auto"/>
          <w:kern w:val="0"/>
          <w:sz w:val="26"/>
          <w:szCs w:val="26"/>
          <w14:ligatures w14:val="none"/>
        </w:rPr>
        <w:t>学助理教授</w:t>
      </w:r>
      <w:r w:rsidR="00F33E54">
        <w:rPr>
          <w:rFonts w:ascii="宋体" w:eastAsia="宋体" w:hAnsi="宋体" w:cs="宋体" w:hint="eastAsia"/>
          <w:iCs w:val="0"/>
          <w:color w:val="auto"/>
          <w:kern w:val="0"/>
          <w:sz w:val="26"/>
          <w:szCs w:val="26"/>
          <w14:ligatures w14:val="none"/>
        </w:rPr>
        <w:t>。</w:t>
      </w:r>
      <w:r w:rsidR="00462E29" w:rsidRPr="00462E29">
        <w:rPr>
          <w:rFonts w:ascii="宋体" w:eastAsia="宋体" w:hAnsi="宋体" w:cs="宋体" w:hint="eastAsia"/>
          <w:iCs w:val="0"/>
          <w:color w:val="auto"/>
          <w:kern w:val="0"/>
          <w:sz w:val="26"/>
          <w:szCs w:val="26"/>
          <w14:ligatures w14:val="none"/>
        </w:rPr>
        <w:t>研究方向为财务管理、投资策略与公司金融</w:t>
      </w:r>
      <w:r w:rsidRPr="00FE33C0">
        <w:rPr>
          <w:rFonts w:ascii="宋体" w:eastAsia="宋体" w:hAnsi="宋体" w:cs="宋体"/>
          <w:iCs w:val="0"/>
          <w:color w:val="auto"/>
          <w:kern w:val="0"/>
          <w:sz w:val="26"/>
          <w:szCs w:val="26"/>
          <w14:ligatures w14:val="none"/>
        </w:rPr>
        <w:t>。</w:t>
      </w:r>
    </w:p>
    <w:p w14:paraId="3C41687F"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040F9A6C">
          <v:rect id="_x0000_i1027" style="width:0;height:1.5pt" o:hralign="center" o:hrstd="t" o:hr="t" fillcolor="#a0a0a0" stroked="f"/>
        </w:pict>
      </w:r>
    </w:p>
    <w:p w14:paraId="34529CCA" w14:textId="77777777" w:rsidR="00FE33C0" w:rsidRPr="00FE33C0" w:rsidRDefault="00FE33C0" w:rsidP="00FE33C0">
      <w:pPr>
        <w:widowControl/>
        <w:spacing w:before="36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研究问题</w:t>
      </w:r>
    </w:p>
    <w:p w14:paraId="2407847B" w14:textId="1FD5A1C3" w:rsidR="009C6BD3" w:rsidRPr="009C6BD3" w:rsidRDefault="00315855" w:rsidP="009C6BD3">
      <w:pPr>
        <w:widowControl/>
        <w:spacing w:before="240" w:after="120"/>
        <w:rPr>
          <w:rFonts w:ascii="宋体" w:eastAsia="宋体" w:hAnsi="宋体" w:cs="宋体"/>
          <w:iCs w:val="0"/>
          <w:color w:val="auto"/>
          <w:kern w:val="0"/>
          <w:sz w:val="26"/>
          <w:szCs w:val="26"/>
          <w14:ligatures w14:val="none"/>
        </w:rPr>
      </w:pPr>
      <w:r w:rsidRPr="00315855">
        <w:rPr>
          <w:rFonts w:ascii="宋体" w:eastAsia="宋体" w:hAnsi="宋体" w:cs="宋体" w:hint="eastAsia"/>
          <w:iCs w:val="0"/>
          <w:color w:val="auto"/>
          <w:kern w:val="0"/>
          <w:sz w:val="26"/>
          <w:szCs w:val="26"/>
          <w14:ligatures w14:val="none"/>
        </w:rPr>
        <w:t>近年来</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气候变化与环境退化的风险日益加剧</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推动全球企业在追求经济利润之外</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也需承担更多环境与社会责任。在“双碳”战略背景下</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中国企业</w:t>
      </w:r>
      <w:proofErr w:type="gramStart"/>
      <w:r w:rsidRPr="00315855">
        <w:rPr>
          <w:rFonts w:ascii="宋体" w:eastAsia="宋体" w:hAnsi="宋体" w:cs="宋体" w:hint="eastAsia"/>
          <w:iCs w:val="0"/>
          <w:color w:val="auto"/>
          <w:kern w:val="0"/>
          <w:sz w:val="26"/>
          <w:szCs w:val="26"/>
          <w14:ligatures w14:val="none"/>
        </w:rPr>
        <w:lastRenderedPageBreak/>
        <w:t>面临碳达峰</w:t>
      </w:r>
      <w:proofErr w:type="gramEnd"/>
      <w:r w:rsidRPr="00315855">
        <w:rPr>
          <w:rFonts w:ascii="宋体" w:eastAsia="宋体" w:hAnsi="宋体" w:cs="宋体" w:hint="eastAsia"/>
          <w:iCs w:val="0"/>
          <w:color w:val="auto"/>
          <w:kern w:val="0"/>
          <w:sz w:val="26"/>
          <w:szCs w:val="26"/>
          <w14:ligatures w14:val="none"/>
        </w:rPr>
        <w:t>与碳中和目标的双重压力</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ESG</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环境、社会与治理</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作为衡量企业可持续发展能力的关键工具</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逐渐受到政策制定者、投资者与学术界的高度关注。</w:t>
      </w:r>
      <w:r w:rsidR="009C6BD3" w:rsidRPr="009C6BD3">
        <w:rPr>
          <w:rFonts w:ascii="宋体" w:eastAsia="宋体" w:hAnsi="宋体" w:cs="宋体" w:hint="eastAsia"/>
          <w:iCs w:val="0"/>
          <w:color w:val="auto"/>
          <w:kern w:val="0"/>
          <w:sz w:val="26"/>
          <w:szCs w:val="26"/>
          <w14:ligatures w14:val="none"/>
        </w:rPr>
        <w:t>然而</w:t>
      </w:r>
      <w:r w:rsidR="00D34E30">
        <w:rPr>
          <w:rFonts w:ascii="宋体" w:eastAsia="宋体" w:hAnsi="宋体" w:cs="宋体" w:hint="eastAsia"/>
          <w:iCs w:val="0"/>
          <w:color w:val="auto"/>
          <w:kern w:val="0"/>
          <w:sz w:val="26"/>
          <w:szCs w:val="26"/>
          <w14:ligatures w14:val="none"/>
        </w:rPr>
        <w:t xml:space="preserve">, </w:t>
      </w:r>
      <w:r w:rsidR="009C6BD3" w:rsidRPr="009C6BD3">
        <w:rPr>
          <w:rFonts w:ascii="宋体" w:eastAsia="宋体" w:hAnsi="宋体" w:cs="宋体" w:hint="eastAsia"/>
          <w:iCs w:val="0"/>
          <w:color w:val="0052FF"/>
          <w:kern w:val="0"/>
          <w:sz w:val="26"/>
          <w:szCs w:val="26"/>
          <w14:ligatures w14:val="none"/>
        </w:rPr>
        <w:t>关于ESG绩效是否能创造企业价值、如何创造价值、在何种条件下更有效</w:t>
      </w:r>
      <w:r w:rsidR="00D34E30">
        <w:rPr>
          <w:rFonts w:ascii="宋体" w:eastAsia="宋体" w:hAnsi="宋体" w:cs="宋体" w:hint="eastAsia"/>
          <w:iCs w:val="0"/>
          <w:color w:val="0052FF"/>
          <w:kern w:val="0"/>
          <w:sz w:val="26"/>
          <w:szCs w:val="26"/>
          <w14:ligatures w14:val="none"/>
        </w:rPr>
        <w:t xml:space="preserve">, </w:t>
      </w:r>
      <w:r w:rsidR="009C6BD3" w:rsidRPr="009C6BD3">
        <w:rPr>
          <w:rFonts w:ascii="宋体" w:eastAsia="宋体" w:hAnsi="宋体" w:cs="宋体" w:hint="eastAsia"/>
          <w:iCs w:val="0"/>
          <w:color w:val="0052FF"/>
          <w:kern w:val="0"/>
          <w:sz w:val="26"/>
          <w:szCs w:val="26"/>
          <w14:ligatures w14:val="none"/>
        </w:rPr>
        <w:t>目前学界尚未达成一致</w:t>
      </w:r>
      <w:r w:rsidR="009C6BD3" w:rsidRPr="009C6BD3">
        <w:rPr>
          <w:rFonts w:ascii="宋体" w:eastAsia="宋体" w:hAnsi="宋体" w:cs="宋体" w:hint="eastAsia"/>
          <w:iCs w:val="0"/>
          <w:color w:val="auto"/>
          <w:kern w:val="0"/>
          <w:sz w:val="26"/>
          <w:szCs w:val="26"/>
          <w14:ligatures w14:val="none"/>
        </w:rPr>
        <w:t>。一方面</w:t>
      </w:r>
      <w:r w:rsidR="00D34E30">
        <w:rPr>
          <w:rFonts w:ascii="宋体" w:eastAsia="宋体" w:hAnsi="宋体" w:cs="宋体" w:hint="eastAsia"/>
          <w:iCs w:val="0"/>
          <w:color w:val="auto"/>
          <w:kern w:val="0"/>
          <w:sz w:val="26"/>
          <w:szCs w:val="26"/>
          <w14:ligatures w14:val="none"/>
        </w:rPr>
        <w:t xml:space="preserve">, </w:t>
      </w:r>
      <w:r w:rsidR="009C6BD3" w:rsidRPr="009C6BD3">
        <w:rPr>
          <w:rFonts w:ascii="宋体" w:eastAsia="宋体" w:hAnsi="宋体" w:cs="宋体" w:hint="eastAsia"/>
          <w:iCs w:val="0"/>
          <w:color w:val="auto"/>
          <w:kern w:val="0"/>
          <w:sz w:val="26"/>
          <w:szCs w:val="26"/>
          <w14:ligatures w14:val="none"/>
        </w:rPr>
        <w:t>已有研究发现ESG可通过降低融资成本、提升声誉等机制正向影响公司价值</w:t>
      </w:r>
      <w:r w:rsidR="00D34E30">
        <w:rPr>
          <w:rFonts w:ascii="宋体" w:eastAsia="宋体" w:hAnsi="宋体" w:cs="宋体" w:hint="eastAsia"/>
          <w:iCs w:val="0"/>
          <w:color w:val="auto"/>
          <w:kern w:val="0"/>
          <w:sz w:val="26"/>
          <w:szCs w:val="26"/>
          <w14:ligatures w14:val="none"/>
        </w:rPr>
        <w:t xml:space="preserve">; </w:t>
      </w:r>
      <w:r w:rsidR="009C6BD3" w:rsidRPr="009C6BD3">
        <w:rPr>
          <w:rFonts w:ascii="宋体" w:eastAsia="宋体" w:hAnsi="宋体" w:cs="宋体" w:hint="eastAsia"/>
          <w:iCs w:val="0"/>
          <w:color w:val="auto"/>
          <w:kern w:val="0"/>
          <w:sz w:val="26"/>
          <w:szCs w:val="26"/>
          <w14:ligatures w14:val="none"/>
        </w:rPr>
        <w:t>另一方面</w:t>
      </w:r>
      <w:r w:rsidR="00D34E30">
        <w:rPr>
          <w:rFonts w:ascii="宋体" w:eastAsia="宋体" w:hAnsi="宋体" w:cs="宋体" w:hint="eastAsia"/>
          <w:iCs w:val="0"/>
          <w:color w:val="auto"/>
          <w:kern w:val="0"/>
          <w:sz w:val="26"/>
          <w:szCs w:val="26"/>
          <w14:ligatures w14:val="none"/>
        </w:rPr>
        <w:t xml:space="preserve">, </w:t>
      </w:r>
      <w:r w:rsidR="009C6BD3" w:rsidRPr="009C6BD3">
        <w:rPr>
          <w:rFonts w:ascii="宋体" w:eastAsia="宋体" w:hAnsi="宋体" w:cs="宋体" w:hint="eastAsia"/>
          <w:iCs w:val="0"/>
          <w:color w:val="auto"/>
          <w:kern w:val="0"/>
          <w:sz w:val="26"/>
          <w:szCs w:val="26"/>
          <w14:ligatures w14:val="none"/>
        </w:rPr>
        <w:t>也有文献提出ESG投资可能带来资源挤出效应。</w:t>
      </w:r>
    </w:p>
    <w:p w14:paraId="07975D62" w14:textId="7CB9C403" w:rsidR="00315855" w:rsidRDefault="009C6BD3" w:rsidP="00315855">
      <w:pPr>
        <w:widowControl/>
        <w:spacing w:before="100" w:beforeAutospacing="1" w:after="120"/>
        <w:rPr>
          <w:rFonts w:ascii="宋体" w:eastAsia="宋体" w:hAnsi="宋体" w:cs="宋体"/>
          <w:iCs w:val="0"/>
          <w:color w:val="auto"/>
          <w:kern w:val="0"/>
          <w:sz w:val="26"/>
          <w:szCs w:val="26"/>
          <w14:ligatures w14:val="none"/>
        </w:rPr>
      </w:pPr>
      <w:r w:rsidRPr="009C6BD3">
        <w:rPr>
          <w:rFonts w:ascii="宋体" w:eastAsia="宋体" w:hAnsi="宋体" w:cs="宋体" w:hint="eastAsia"/>
          <w:iCs w:val="0"/>
          <w:color w:val="0052FF"/>
          <w:kern w:val="0"/>
          <w:sz w:val="26"/>
          <w:szCs w:val="26"/>
          <w14:ligatures w14:val="none"/>
        </w:rPr>
        <w:t>本研究聚焦于两个关键机制：全要素生产率</w:t>
      </w:r>
      <w:r w:rsidR="00D34E30">
        <w:rPr>
          <w:rFonts w:ascii="宋体" w:eastAsia="宋体" w:hAnsi="宋体" w:cs="宋体" w:hint="eastAsia"/>
          <w:iCs w:val="0"/>
          <w:color w:val="0052FF"/>
          <w:kern w:val="0"/>
          <w:sz w:val="26"/>
          <w:szCs w:val="26"/>
          <w14:ligatures w14:val="none"/>
        </w:rPr>
        <w:t xml:space="preserve"> (</w:t>
      </w:r>
      <w:r w:rsidRPr="009C6BD3">
        <w:rPr>
          <w:rFonts w:ascii="宋体" w:eastAsia="宋体" w:hAnsi="宋体" w:cs="宋体" w:hint="eastAsia"/>
          <w:iCs w:val="0"/>
          <w:color w:val="0052FF"/>
          <w:kern w:val="0"/>
          <w:sz w:val="26"/>
          <w:szCs w:val="26"/>
          <w14:ligatures w14:val="none"/>
        </w:rPr>
        <w:t>TFP</w:t>
      </w:r>
      <w:r w:rsidR="00D34E30">
        <w:rPr>
          <w:rFonts w:ascii="宋体" w:eastAsia="宋体" w:hAnsi="宋体" w:cs="宋体" w:hint="eastAsia"/>
          <w:iCs w:val="0"/>
          <w:color w:val="0052FF"/>
          <w:kern w:val="0"/>
          <w:sz w:val="26"/>
          <w:szCs w:val="26"/>
          <w14:ligatures w14:val="none"/>
        </w:rPr>
        <w:t xml:space="preserve">) </w:t>
      </w:r>
      <w:r w:rsidRPr="009C6BD3">
        <w:rPr>
          <w:rFonts w:ascii="宋体" w:eastAsia="宋体" w:hAnsi="宋体" w:cs="宋体" w:hint="eastAsia"/>
          <w:iCs w:val="0"/>
          <w:color w:val="0052FF"/>
          <w:kern w:val="0"/>
          <w:sz w:val="26"/>
          <w:szCs w:val="26"/>
          <w14:ligatures w14:val="none"/>
        </w:rPr>
        <w:t>的中介作用与研发创新投入的调节作用</w:t>
      </w:r>
      <w:r w:rsidR="00D34E30">
        <w:rPr>
          <w:rFonts w:ascii="宋体" w:eastAsia="宋体" w:hAnsi="宋体" w:cs="宋体" w:hint="eastAsia"/>
          <w:iCs w:val="0"/>
          <w:color w:val="auto"/>
          <w:kern w:val="0"/>
          <w:sz w:val="26"/>
          <w:szCs w:val="26"/>
          <w14:ligatures w14:val="none"/>
        </w:rPr>
        <w:t xml:space="preserve">, </w:t>
      </w:r>
      <w:r w:rsidRPr="009C6BD3">
        <w:rPr>
          <w:rFonts w:ascii="宋体" w:eastAsia="宋体" w:hAnsi="宋体" w:cs="宋体" w:hint="eastAsia"/>
          <w:iCs w:val="0"/>
          <w:color w:val="auto"/>
          <w:kern w:val="0"/>
          <w:sz w:val="26"/>
          <w:szCs w:val="26"/>
          <w14:ligatures w14:val="none"/>
        </w:rPr>
        <w:t>系统探讨ESG如何通过“提升生产率”和“协同创新”路径间接影响公司价值</w:t>
      </w:r>
      <w:r w:rsidR="00D34E30">
        <w:rPr>
          <w:rFonts w:ascii="宋体" w:eastAsia="宋体" w:hAnsi="宋体" w:cs="宋体" w:hint="eastAsia"/>
          <w:iCs w:val="0"/>
          <w:color w:val="auto"/>
          <w:kern w:val="0"/>
          <w:sz w:val="26"/>
          <w:szCs w:val="26"/>
          <w14:ligatures w14:val="none"/>
        </w:rPr>
        <w:t xml:space="preserve">, </w:t>
      </w:r>
      <w:r w:rsidRPr="009C6BD3">
        <w:rPr>
          <w:rFonts w:ascii="宋体" w:eastAsia="宋体" w:hAnsi="宋体" w:cs="宋体" w:hint="eastAsia"/>
          <w:iCs w:val="0"/>
          <w:color w:val="auto"/>
          <w:kern w:val="0"/>
          <w:sz w:val="26"/>
          <w:szCs w:val="26"/>
          <w14:ligatures w14:val="none"/>
        </w:rPr>
        <w:t>并考察这种作用机制是否具有行业异质性。</w:t>
      </w:r>
      <w:r w:rsidR="00315855" w:rsidRPr="00315855">
        <w:rPr>
          <w:rFonts w:ascii="宋体" w:eastAsia="宋体" w:hAnsi="宋体" w:cs="宋体" w:hint="eastAsia"/>
          <w:iCs w:val="0"/>
          <w:color w:val="auto"/>
          <w:kern w:val="0"/>
          <w:sz w:val="26"/>
          <w:szCs w:val="26"/>
          <w14:ligatures w14:val="none"/>
        </w:rPr>
        <w:t>在理论层面</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文章综合了利益相关</w:t>
      </w:r>
      <w:proofErr w:type="gramStart"/>
      <w:r w:rsidR="00315855" w:rsidRPr="00315855">
        <w:rPr>
          <w:rFonts w:ascii="宋体" w:eastAsia="宋体" w:hAnsi="宋体" w:cs="宋体" w:hint="eastAsia"/>
          <w:iCs w:val="0"/>
          <w:color w:val="auto"/>
          <w:kern w:val="0"/>
          <w:sz w:val="26"/>
          <w:szCs w:val="26"/>
          <w14:ligatures w14:val="none"/>
        </w:rPr>
        <w:t>者理论</w:t>
      </w:r>
      <w:proofErr w:type="gramEnd"/>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stakeholder theory</w:t>
      </w:r>
      <w:r w:rsidR="00D34E30">
        <w:rPr>
          <w:rFonts w:ascii="宋体" w:eastAsia="宋体" w:hAnsi="宋体" w:cs="宋体" w:hint="eastAsia"/>
          <w:iCs w:val="0"/>
          <w:color w:val="auto"/>
          <w:kern w:val="0"/>
          <w:sz w:val="26"/>
          <w:szCs w:val="26"/>
          <w14:ligatures w14:val="none"/>
        </w:rPr>
        <w:t>)、</w:t>
      </w:r>
      <w:r w:rsidR="00315855" w:rsidRPr="00315855">
        <w:rPr>
          <w:rFonts w:ascii="宋体" w:eastAsia="宋体" w:hAnsi="宋体" w:cs="宋体" w:hint="eastAsia"/>
          <w:iCs w:val="0"/>
          <w:color w:val="auto"/>
          <w:kern w:val="0"/>
          <w:sz w:val="26"/>
          <w:szCs w:val="26"/>
          <w14:ligatures w14:val="none"/>
        </w:rPr>
        <w:t>信号传递理论</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signaling theory</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与资源基础理论</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resource-based view</w:t>
      </w:r>
      <w:r w:rsidR="00D34E30">
        <w:rPr>
          <w:rFonts w:ascii="宋体" w:eastAsia="宋体" w:hAnsi="宋体" w:cs="宋体" w:hint="eastAsia"/>
          <w:iCs w:val="0"/>
          <w:color w:val="auto"/>
          <w:kern w:val="0"/>
          <w:sz w:val="26"/>
          <w:szCs w:val="26"/>
          <w14:ligatures w14:val="none"/>
        </w:rPr>
        <w:t xml:space="preserve">), </w:t>
      </w:r>
      <w:r w:rsidR="00315855">
        <w:rPr>
          <w:rFonts w:ascii="宋体" w:eastAsia="宋体" w:hAnsi="宋体" w:cs="宋体" w:hint="eastAsia"/>
          <w:iCs w:val="0"/>
          <w:color w:val="auto"/>
          <w:kern w:val="0"/>
          <w:sz w:val="26"/>
          <w:szCs w:val="26"/>
          <w14:ligatures w14:val="none"/>
        </w:rPr>
        <w:t>并</w:t>
      </w:r>
      <w:r w:rsidR="00315855" w:rsidRPr="00315855">
        <w:rPr>
          <w:rFonts w:ascii="宋体" w:eastAsia="宋体" w:hAnsi="宋体" w:cs="宋体" w:hint="eastAsia"/>
          <w:iCs w:val="0"/>
          <w:color w:val="auto"/>
          <w:kern w:val="0"/>
          <w:sz w:val="26"/>
          <w:szCs w:val="26"/>
          <w14:ligatures w14:val="none"/>
        </w:rPr>
        <w:t>提出如下假设：</w:t>
      </w:r>
    </w:p>
    <w:p w14:paraId="1EE7D969" w14:textId="54FFF85E" w:rsidR="00315855" w:rsidRDefault="00315855" w:rsidP="00315855">
      <w:pPr>
        <w:widowControl/>
        <w:spacing w:before="100" w:beforeAutospacing="1" w:after="120"/>
        <w:rPr>
          <w:rFonts w:ascii="宋体" w:eastAsia="宋体" w:hAnsi="宋体" w:cs="宋体"/>
          <w:iCs w:val="0"/>
          <w:color w:val="auto"/>
          <w:kern w:val="0"/>
          <w:sz w:val="26"/>
          <w:szCs w:val="26"/>
          <w14:ligatures w14:val="none"/>
        </w:rPr>
      </w:pPr>
      <w:r w:rsidRPr="00315855">
        <w:rPr>
          <w:rFonts w:ascii="宋体" w:eastAsia="宋体" w:hAnsi="宋体" w:cs="宋体" w:hint="eastAsia"/>
          <w:iCs w:val="0"/>
          <w:color w:val="auto"/>
          <w:kern w:val="0"/>
          <w:sz w:val="26"/>
          <w:szCs w:val="26"/>
          <w14:ligatures w14:val="none"/>
        </w:rPr>
        <w:t>H1</w:t>
      </w:r>
      <w:r>
        <w:rPr>
          <w:rFonts w:ascii="宋体" w:eastAsia="宋体" w:hAnsi="宋体" w:cs="宋体" w:hint="eastAsia"/>
          <w:iCs w:val="0"/>
          <w:color w:val="auto"/>
          <w:kern w:val="0"/>
          <w:sz w:val="26"/>
          <w:szCs w:val="26"/>
          <w14:ligatures w14:val="none"/>
        </w:rPr>
        <w:t>：</w:t>
      </w:r>
      <w:r w:rsidRPr="00315855">
        <w:rPr>
          <w:rFonts w:ascii="宋体" w:eastAsia="宋体" w:hAnsi="宋体" w:cs="宋体" w:hint="eastAsia"/>
          <w:iCs w:val="0"/>
          <w:color w:val="auto"/>
          <w:kern w:val="0"/>
          <w:sz w:val="26"/>
          <w:szCs w:val="26"/>
          <w14:ligatures w14:val="none"/>
        </w:rPr>
        <w:t>ESG绩效正向影响企业价值</w:t>
      </w:r>
      <w:r w:rsidR="00D34E30">
        <w:rPr>
          <w:rFonts w:ascii="宋体" w:eastAsia="宋体" w:hAnsi="宋体" w:cs="宋体" w:hint="eastAsia"/>
          <w:iCs w:val="0"/>
          <w:color w:val="auto"/>
          <w:kern w:val="0"/>
          <w:sz w:val="26"/>
          <w:szCs w:val="26"/>
          <w14:ligatures w14:val="none"/>
        </w:rPr>
        <w:t xml:space="preserve">; </w:t>
      </w:r>
    </w:p>
    <w:p w14:paraId="079B069D" w14:textId="3181B25A" w:rsidR="00315855" w:rsidRDefault="00315855" w:rsidP="00315855">
      <w:pPr>
        <w:widowControl/>
        <w:spacing w:before="100" w:beforeAutospacing="1" w:after="120"/>
        <w:rPr>
          <w:rFonts w:ascii="宋体" w:eastAsia="宋体" w:hAnsi="宋体" w:cs="宋体"/>
          <w:iCs w:val="0"/>
          <w:color w:val="auto"/>
          <w:kern w:val="0"/>
          <w:sz w:val="26"/>
          <w:szCs w:val="26"/>
          <w14:ligatures w14:val="none"/>
        </w:rPr>
      </w:pPr>
      <w:r w:rsidRPr="00315855">
        <w:rPr>
          <w:rFonts w:ascii="宋体" w:eastAsia="宋体" w:hAnsi="宋体" w:cs="宋体" w:hint="eastAsia"/>
          <w:iCs w:val="0"/>
          <w:color w:val="auto"/>
          <w:kern w:val="0"/>
          <w:sz w:val="26"/>
          <w:szCs w:val="26"/>
          <w14:ligatures w14:val="none"/>
        </w:rPr>
        <w:t>H2</w:t>
      </w:r>
      <w:r>
        <w:rPr>
          <w:rFonts w:ascii="宋体" w:eastAsia="宋体" w:hAnsi="宋体" w:cs="宋体" w:hint="eastAsia"/>
          <w:iCs w:val="0"/>
          <w:color w:val="auto"/>
          <w:kern w:val="0"/>
          <w:sz w:val="26"/>
          <w:szCs w:val="26"/>
          <w14:ligatures w14:val="none"/>
        </w:rPr>
        <w:t>：</w:t>
      </w:r>
      <w:r w:rsidRPr="00315855">
        <w:rPr>
          <w:rFonts w:ascii="宋体" w:eastAsia="宋体" w:hAnsi="宋体" w:cs="宋体" w:hint="eastAsia"/>
          <w:iCs w:val="0"/>
          <w:color w:val="auto"/>
          <w:kern w:val="0"/>
          <w:sz w:val="26"/>
          <w:szCs w:val="26"/>
          <w14:ligatures w14:val="none"/>
        </w:rPr>
        <w:t>TFP在ESG与企业价值之间起到中介作用</w:t>
      </w:r>
      <w:r w:rsidR="00D34E30">
        <w:rPr>
          <w:rFonts w:ascii="宋体" w:eastAsia="宋体" w:hAnsi="宋体" w:cs="宋体" w:hint="eastAsia"/>
          <w:iCs w:val="0"/>
          <w:color w:val="auto"/>
          <w:kern w:val="0"/>
          <w:sz w:val="26"/>
          <w:szCs w:val="26"/>
          <w14:ligatures w14:val="none"/>
        </w:rPr>
        <w:t xml:space="preserve">; </w:t>
      </w:r>
    </w:p>
    <w:p w14:paraId="3CBAEA65" w14:textId="485C68F6" w:rsidR="00315855" w:rsidRDefault="00315855" w:rsidP="00315855">
      <w:pPr>
        <w:widowControl/>
        <w:spacing w:before="100" w:beforeAutospacing="1" w:after="120"/>
        <w:rPr>
          <w:rFonts w:ascii="宋体" w:eastAsia="宋体" w:hAnsi="宋体" w:cs="宋体"/>
          <w:iCs w:val="0"/>
          <w:color w:val="auto"/>
          <w:kern w:val="0"/>
          <w:sz w:val="26"/>
          <w:szCs w:val="26"/>
          <w14:ligatures w14:val="none"/>
        </w:rPr>
      </w:pPr>
      <w:r w:rsidRPr="00315855">
        <w:rPr>
          <w:rFonts w:ascii="宋体" w:eastAsia="宋体" w:hAnsi="宋体" w:cs="宋体" w:hint="eastAsia"/>
          <w:iCs w:val="0"/>
          <w:color w:val="auto"/>
          <w:kern w:val="0"/>
          <w:sz w:val="26"/>
          <w:szCs w:val="26"/>
          <w14:ligatures w14:val="none"/>
        </w:rPr>
        <w:t>H3</w:t>
      </w:r>
      <w:r>
        <w:rPr>
          <w:rFonts w:ascii="宋体" w:eastAsia="宋体" w:hAnsi="宋体" w:cs="宋体" w:hint="eastAsia"/>
          <w:iCs w:val="0"/>
          <w:color w:val="auto"/>
          <w:kern w:val="0"/>
          <w:sz w:val="26"/>
          <w:szCs w:val="26"/>
          <w14:ligatures w14:val="none"/>
        </w:rPr>
        <w:t>：</w:t>
      </w:r>
      <w:r w:rsidRPr="00315855">
        <w:rPr>
          <w:rFonts w:ascii="宋体" w:eastAsia="宋体" w:hAnsi="宋体" w:cs="宋体" w:hint="eastAsia"/>
          <w:iCs w:val="0"/>
          <w:color w:val="auto"/>
          <w:kern w:val="0"/>
          <w:sz w:val="26"/>
          <w:szCs w:val="26"/>
          <w14:ligatures w14:val="none"/>
        </w:rPr>
        <w:t>研发投入正向调节ESG对公司价值的影响</w:t>
      </w:r>
      <w:r w:rsidR="00D34E30">
        <w:rPr>
          <w:rFonts w:ascii="宋体" w:eastAsia="宋体" w:hAnsi="宋体" w:cs="宋体" w:hint="eastAsia"/>
          <w:iCs w:val="0"/>
          <w:color w:val="auto"/>
          <w:kern w:val="0"/>
          <w:sz w:val="26"/>
          <w:szCs w:val="26"/>
          <w14:ligatures w14:val="none"/>
        </w:rPr>
        <w:t xml:space="preserve">; </w:t>
      </w:r>
    </w:p>
    <w:p w14:paraId="3E54E9FE" w14:textId="1279EC1E" w:rsidR="00FE33C0" w:rsidRDefault="00315855" w:rsidP="00462E29">
      <w:pPr>
        <w:widowControl/>
        <w:spacing w:before="100" w:beforeAutospacing="1" w:after="120"/>
        <w:rPr>
          <w:rFonts w:ascii="宋体" w:eastAsia="宋体" w:hAnsi="宋体" w:cs="宋体"/>
          <w:iCs w:val="0"/>
          <w:color w:val="auto"/>
          <w:kern w:val="0"/>
          <w:sz w:val="26"/>
          <w:szCs w:val="26"/>
          <w14:ligatures w14:val="none"/>
        </w:rPr>
      </w:pPr>
      <w:r w:rsidRPr="00315855">
        <w:rPr>
          <w:rFonts w:ascii="宋体" w:eastAsia="宋体" w:hAnsi="宋体" w:cs="宋体" w:hint="eastAsia"/>
          <w:iCs w:val="0"/>
          <w:color w:val="auto"/>
          <w:kern w:val="0"/>
          <w:sz w:val="26"/>
          <w:szCs w:val="26"/>
          <w14:ligatures w14:val="none"/>
        </w:rPr>
        <w:t>H4</w:t>
      </w:r>
      <w:r>
        <w:rPr>
          <w:rFonts w:ascii="宋体" w:eastAsia="宋体" w:hAnsi="宋体" w:cs="宋体" w:hint="eastAsia"/>
          <w:iCs w:val="0"/>
          <w:color w:val="auto"/>
          <w:kern w:val="0"/>
          <w:sz w:val="26"/>
          <w:szCs w:val="26"/>
          <w14:ligatures w14:val="none"/>
        </w:rPr>
        <w:t>：</w:t>
      </w:r>
      <w:r w:rsidRPr="00315855">
        <w:rPr>
          <w:rFonts w:ascii="宋体" w:eastAsia="宋体" w:hAnsi="宋体" w:cs="宋体" w:hint="eastAsia"/>
          <w:iCs w:val="0"/>
          <w:color w:val="auto"/>
          <w:kern w:val="0"/>
          <w:sz w:val="26"/>
          <w:szCs w:val="26"/>
          <w14:ligatures w14:val="none"/>
        </w:rPr>
        <w:t>研发投入调节ESG对TFP及TFP对公司价值的双重路径</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即存在调节的中介效应。</w:t>
      </w:r>
    </w:p>
    <w:p w14:paraId="197CEADD" w14:textId="48B03BF2" w:rsidR="00462E29" w:rsidRPr="00462E29" w:rsidRDefault="00462E29" w:rsidP="00462E29">
      <w:pPr>
        <w:widowControl/>
        <w:spacing w:before="100" w:beforeAutospacing="1" w:after="120"/>
        <w:rPr>
          <w:rFonts w:ascii="宋体" w:eastAsia="宋体" w:hAnsi="宋体" w:cs="宋体" w:hint="eastAsia"/>
          <w:iCs w:val="0"/>
          <w:color w:val="auto"/>
          <w:kern w:val="0"/>
          <w:sz w:val="26"/>
          <w:szCs w:val="26"/>
          <w14:ligatures w14:val="none"/>
        </w:rPr>
      </w:pPr>
      <w:r>
        <w:rPr>
          <w:rFonts w:ascii="宋体" w:eastAsia="宋体" w:hAnsi="宋体" w:cs="宋体"/>
          <w:iCs w:val="0"/>
          <w:noProof/>
          <w:color w:val="auto"/>
          <w:kern w:val="0"/>
          <w:sz w:val="26"/>
          <w:szCs w:val="26"/>
          <w14:ligatures w14:val="none"/>
        </w:rPr>
        <w:lastRenderedPageBreak/>
        <w:drawing>
          <wp:inline distT="0" distB="0" distL="0" distR="0" wp14:anchorId="63FF3576" wp14:editId="4FFD6FA0">
            <wp:extent cx="5265420" cy="5265420"/>
            <wp:effectExtent l="0" t="0" r="0" b="0"/>
            <wp:docPr id="78255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5420" cy="5265420"/>
                    </a:xfrm>
                    <a:prstGeom prst="rect">
                      <a:avLst/>
                    </a:prstGeom>
                    <a:noFill/>
                    <a:ln>
                      <a:noFill/>
                    </a:ln>
                  </pic:spPr>
                </pic:pic>
              </a:graphicData>
            </a:graphic>
          </wp:inline>
        </w:drawing>
      </w:r>
    </w:p>
    <w:p w14:paraId="5AA18658"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59D933A4">
          <v:rect id="_x0000_i1028" style="width:0;height:1.5pt" o:hralign="center" o:hrstd="t" o:hr="t" fillcolor="#a0a0a0" stroked="f"/>
        </w:pict>
      </w:r>
    </w:p>
    <w:p w14:paraId="01ABCC58" w14:textId="77777777" w:rsidR="00FE33C0" w:rsidRPr="00FE33C0" w:rsidRDefault="00FE33C0" w:rsidP="00FE33C0">
      <w:pPr>
        <w:widowControl/>
        <w:spacing w:before="36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核心结论</w:t>
      </w:r>
    </w:p>
    <w:p w14:paraId="0BCA1083" w14:textId="5A5CAB5A" w:rsidR="00315855" w:rsidRPr="00315855" w:rsidRDefault="00FE33C0" w:rsidP="00315855">
      <w:pPr>
        <w:widowControl/>
        <w:spacing w:before="100" w:beforeAutospacing="1" w:after="120"/>
        <w:jc w:val="left"/>
        <w:rPr>
          <w:rFonts w:ascii="宋体" w:eastAsia="宋体" w:hAnsi="宋体" w:cs="宋体"/>
          <w:iCs w:val="0"/>
          <w:color w:val="auto"/>
          <w:kern w:val="0"/>
          <w:sz w:val="26"/>
          <w:szCs w:val="26"/>
          <w14:ligatures w14:val="none"/>
        </w:rPr>
      </w:pPr>
      <w:r w:rsidRPr="00FE33C0">
        <w:rPr>
          <w:rFonts w:ascii="宋体" w:eastAsia="宋体" w:hAnsi="宋体" w:cs="宋体"/>
          <w:iCs w:val="0"/>
          <w:color w:val="auto"/>
          <w:kern w:val="0"/>
          <w:sz w:val="26"/>
          <w:szCs w:val="26"/>
          <w14:ligatures w14:val="none"/>
        </w:rPr>
        <w:t>研究结果表明</w:t>
      </w:r>
      <w:r w:rsidR="00D34E30">
        <w:rPr>
          <w:rFonts w:ascii="宋体" w:eastAsia="宋体" w:hAnsi="宋体" w:cs="宋体"/>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ESG绩效对公司价值具有显著正向影响</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在控制企业特征与治理变量后依然稳健</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支持假设H1。</w:t>
      </w:r>
      <w:r w:rsidR="00315855">
        <w:rPr>
          <w:rFonts w:ascii="宋体" w:eastAsia="宋体" w:hAnsi="宋体" w:cs="宋体" w:hint="eastAsia"/>
          <w:iCs w:val="0"/>
          <w:color w:val="auto"/>
          <w:kern w:val="0"/>
          <w:sz w:val="26"/>
          <w:szCs w:val="26"/>
          <w14:ligatures w14:val="none"/>
        </w:rPr>
        <w:t>此外</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TFP在其中发挥部分中介效应</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ESG绩效显著提升TFP</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进而提高公司价值</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同时引入TFP变量后ESG主效应虽有所下降但仍显著</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验证了H2。</w:t>
      </w:r>
      <w:r w:rsidR="00315855">
        <w:rPr>
          <w:rFonts w:ascii="宋体" w:eastAsia="宋体" w:hAnsi="宋体" w:cs="宋体" w:hint="eastAsia"/>
          <w:iCs w:val="0"/>
          <w:color w:val="auto"/>
          <w:kern w:val="0"/>
          <w:sz w:val="26"/>
          <w:szCs w:val="26"/>
          <w14:ligatures w14:val="none"/>
        </w:rPr>
        <w:t>该研究还发现</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ESG与研发投入交互</w:t>
      </w:r>
      <w:proofErr w:type="gramStart"/>
      <w:r w:rsidR="00315855" w:rsidRPr="00315855">
        <w:rPr>
          <w:rFonts w:ascii="宋体" w:eastAsia="宋体" w:hAnsi="宋体" w:cs="宋体" w:hint="eastAsia"/>
          <w:iCs w:val="0"/>
          <w:color w:val="auto"/>
          <w:kern w:val="0"/>
          <w:sz w:val="26"/>
          <w:szCs w:val="26"/>
          <w14:ligatures w14:val="none"/>
        </w:rPr>
        <w:t>项显著为</w:t>
      </w:r>
      <w:proofErr w:type="gramEnd"/>
      <w:r w:rsidR="00315855" w:rsidRPr="00315855">
        <w:rPr>
          <w:rFonts w:ascii="宋体" w:eastAsia="宋体" w:hAnsi="宋体" w:cs="宋体" w:hint="eastAsia"/>
          <w:iCs w:val="0"/>
          <w:color w:val="auto"/>
          <w:kern w:val="0"/>
          <w:sz w:val="26"/>
          <w:szCs w:val="26"/>
          <w14:ligatures w14:val="none"/>
        </w:rPr>
        <w:t>正</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表明研发创新投入强化了ESG对公司价值的正向作用</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支持H3。</w:t>
      </w:r>
      <w:r w:rsidR="00315855">
        <w:rPr>
          <w:rFonts w:ascii="宋体" w:eastAsia="宋体" w:hAnsi="宋体" w:cs="宋体" w:hint="eastAsia"/>
          <w:iCs w:val="0"/>
          <w:color w:val="auto"/>
          <w:kern w:val="0"/>
          <w:sz w:val="26"/>
          <w:szCs w:val="26"/>
          <w14:ligatures w14:val="none"/>
        </w:rPr>
        <w:t>同时</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调节的中介效应亦得到实证支持：一方面</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研发</w:t>
      </w:r>
      <w:r w:rsidR="00315855" w:rsidRPr="00315855">
        <w:rPr>
          <w:rFonts w:ascii="宋体" w:eastAsia="宋体" w:hAnsi="宋体" w:cs="宋体" w:hint="eastAsia"/>
          <w:iCs w:val="0"/>
          <w:color w:val="auto"/>
          <w:kern w:val="0"/>
          <w:sz w:val="26"/>
          <w:szCs w:val="26"/>
          <w14:ligatures w14:val="none"/>
        </w:rPr>
        <w:lastRenderedPageBreak/>
        <w:t>投入弱化了ESG对TFP的影响</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呈负向调节</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另一方面</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增强了TFP对公司价值的影响</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正向调节</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整体上使得ESG通过TFP间接影响公司价值的路径在高研发投入情形下更强</w:t>
      </w:r>
      <w:r w:rsidR="00D34E30">
        <w:rPr>
          <w:rFonts w:ascii="宋体" w:eastAsia="宋体" w:hAnsi="宋体" w:cs="宋体" w:hint="eastAsia"/>
          <w:iCs w:val="0"/>
          <w:color w:val="auto"/>
          <w:kern w:val="0"/>
          <w:sz w:val="26"/>
          <w:szCs w:val="26"/>
          <w14:ligatures w14:val="none"/>
        </w:rPr>
        <w:t xml:space="preserve">, </w:t>
      </w:r>
      <w:r w:rsidR="00315855" w:rsidRPr="00315855">
        <w:rPr>
          <w:rFonts w:ascii="宋体" w:eastAsia="宋体" w:hAnsi="宋体" w:cs="宋体" w:hint="eastAsia"/>
          <w:iCs w:val="0"/>
          <w:color w:val="auto"/>
          <w:kern w:val="0"/>
          <w:sz w:val="26"/>
          <w:szCs w:val="26"/>
          <w14:ligatures w14:val="none"/>
        </w:rPr>
        <w:t>支持H4。</w:t>
      </w:r>
    </w:p>
    <w:p w14:paraId="36CAEE70" w14:textId="60371708" w:rsidR="00FE33C0" w:rsidRPr="00315855" w:rsidRDefault="00315855" w:rsidP="00FE33C0">
      <w:pPr>
        <w:widowControl/>
        <w:spacing w:before="100" w:beforeAutospacing="1" w:after="120"/>
        <w:jc w:val="left"/>
        <w:rPr>
          <w:rFonts w:ascii="宋体" w:eastAsia="宋体" w:hAnsi="宋体" w:cs="宋体"/>
          <w:iCs w:val="0"/>
          <w:color w:val="auto"/>
          <w:kern w:val="0"/>
          <w:sz w:val="26"/>
          <w:szCs w:val="26"/>
          <w14:ligatures w14:val="none"/>
        </w:rPr>
      </w:pPr>
      <w:r>
        <w:rPr>
          <w:rFonts w:ascii="宋体" w:eastAsia="宋体" w:hAnsi="宋体" w:cs="宋体" w:hint="eastAsia"/>
          <w:iCs w:val="0"/>
          <w:color w:val="auto"/>
          <w:kern w:val="0"/>
          <w:sz w:val="26"/>
          <w:szCs w:val="26"/>
          <w14:ligatures w14:val="none"/>
        </w:rPr>
        <w:t>最后</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文章发现协同效应在高技术行业与制造业子样本中最为显著</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auto"/>
          <w:kern w:val="0"/>
          <w:sz w:val="26"/>
          <w:szCs w:val="26"/>
          <w14:ligatures w14:val="none"/>
        </w:rPr>
        <w:t>验证了行业异质性特征。在制造业中</w:t>
      </w:r>
      <w:r w:rsidR="00D34E30">
        <w:rPr>
          <w:rFonts w:ascii="宋体" w:eastAsia="宋体" w:hAnsi="宋体" w:cs="宋体" w:hint="eastAsia"/>
          <w:iCs w:val="0"/>
          <w:color w:val="auto"/>
          <w:kern w:val="0"/>
          <w:sz w:val="26"/>
          <w:szCs w:val="26"/>
          <w14:ligatures w14:val="none"/>
        </w:rPr>
        <w:t xml:space="preserve">, </w:t>
      </w:r>
      <w:r w:rsidRPr="00315855">
        <w:rPr>
          <w:rFonts w:ascii="宋体" w:eastAsia="宋体" w:hAnsi="宋体" w:cs="宋体" w:hint="eastAsia"/>
          <w:iCs w:val="0"/>
          <w:color w:val="0052FF"/>
          <w:kern w:val="0"/>
          <w:sz w:val="26"/>
          <w:szCs w:val="26"/>
          <w14:ligatures w14:val="none"/>
        </w:rPr>
        <w:t>ESG绩效对公司价值的影响及与研发投入的交互效应显著优于非制造业企业</w:t>
      </w:r>
      <w:r w:rsidR="00D34E30">
        <w:rPr>
          <w:rFonts w:ascii="宋体" w:eastAsia="宋体" w:hAnsi="宋体" w:cs="宋体" w:hint="eastAsia"/>
          <w:iCs w:val="0"/>
          <w:color w:val="0052FF"/>
          <w:kern w:val="0"/>
          <w:sz w:val="26"/>
          <w:szCs w:val="26"/>
          <w14:ligatures w14:val="none"/>
        </w:rPr>
        <w:t xml:space="preserve">, </w:t>
      </w:r>
      <w:r w:rsidRPr="00315855">
        <w:rPr>
          <w:rFonts w:ascii="宋体" w:eastAsia="宋体" w:hAnsi="宋体" w:cs="宋体" w:hint="eastAsia"/>
          <w:iCs w:val="0"/>
          <w:color w:val="0052FF"/>
          <w:kern w:val="0"/>
          <w:sz w:val="26"/>
          <w:szCs w:val="26"/>
          <w14:ligatures w14:val="none"/>
        </w:rPr>
        <w:t>说明资源密集型行业在ESG与创新协同方面的边际效应更大</w:t>
      </w:r>
      <w:r w:rsidRPr="00315855">
        <w:rPr>
          <w:rFonts w:ascii="宋体" w:eastAsia="宋体" w:hAnsi="宋体" w:cs="宋体" w:hint="eastAsia"/>
          <w:iCs w:val="0"/>
          <w:color w:val="auto"/>
          <w:kern w:val="0"/>
          <w:sz w:val="26"/>
          <w:szCs w:val="26"/>
          <w14:ligatures w14:val="none"/>
        </w:rPr>
        <w:t>。</w:t>
      </w:r>
    </w:p>
    <w:p w14:paraId="222A0773" w14:textId="77777777" w:rsidR="00FE33C0" w:rsidRPr="00FE33C0" w:rsidRDefault="00FE33C0" w:rsidP="00FE33C0">
      <w:pPr>
        <w:widowControl/>
        <w:spacing w:before="24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方法简介</w:t>
      </w:r>
    </w:p>
    <w:p w14:paraId="144C6996" w14:textId="3427EBD1" w:rsidR="00315855" w:rsidRDefault="00315855" w:rsidP="00FE33C0">
      <w:pPr>
        <w:widowControl/>
        <w:spacing w:before="240" w:after="120"/>
        <w:rPr>
          <w:rFonts w:ascii="宋体" w:eastAsia="宋体" w:hAnsi="宋体" w:cs="宋体"/>
          <w:iCs w:val="0"/>
          <w:color w:val="3E3E3E"/>
          <w:kern w:val="0"/>
          <w:sz w:val="26"/>
          <w:szCs w:val="26"/>
          <w14:ligatures w14:val="none"/>
        </w:rPr>
      </w:pPr>
      <w:r w:rsidRPr="00315855">
        <w:rPr>
          <w:rFonts w:ascii="宋体" w:eastAsia="宋体" w:hAnsi="宋体" w:cs="宋体" w:hint="eastAsia"/>
          <w:iCs w:val="0"/>
          <w:color w:val="3E3E3E"/>
          <w:kern w:val="0"/>
          <w:sz w:val="26"/>
          <w:szCs w:val="26"/>
          <w14:ligatures w14:val="none"/>
        </w:rPr>
        <w:t>文章以2012年至2022年中国A</w:t>
      </w:r>
      <w:proofErr w:type="gramStart"/>
      <w:r w:rsidRPr="00315855">
        <w:rPr>
          <w:rFonts w:ascii="宋体" w:eastAsia="宋体" w:hAnsi="宋体" w:cs="宋体" w:hint="eastAsia"/>
          <w:iCs w:val="0"/>
          <w:color w:val="3E3E3E"/>
          <w:kern w:val="0"/>
          <w:sz w:val="26"/>
          <w:szCs w:val="26"/>
          <w14:ligatures w14:val="none"/>
        </w:rPr>
        <w:t>股非金融</w:t>
      </w:r>
      <w:proofErr w:type="gramEnd"/>
      <w:r w:rsidRPr="00315855">
        <w:rPr>
          <w:rFonts w:ascii="宋体" w:eastAsia="宋体" w:hAnsi="宋体" w:cs="宋体" w:hint="eastAsia"/>
          <w:iCs w:val="0"/>
          <w:color w:val="3E3E3E"/>
          <w:kern w:val="0"/>
          <w:sz w:val="26"/>
          <w:szCs w:val="26"/>
          <w14:ligatures w14:val="none"/>
        </w:rPr>
        <w:t>上市公司为样本</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最终形成一个包含31,310个观测值的非平衡面板数据集。数据来源主要包括CSMAR与Wind数据库</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ESG绩效</w:t>
      </w:r>
      <w:proofErr w:type="gramStart"/>
      <w:r w:rsidRPr="00315855">
        <w:rPr>
          <w:rFonts w:ascii="宋体" w:eastAsia="宋体" w:hAnsi="宋体" w:cs="宋体" w:hint="eastAsia"/>
          <w:iCs w:val="0"/>
          <w:color w:val="3E3E3E"/>
          <w:kern w:val="0"/>
          <w:sz w:val="26"/>
          <w:szCs w:val="26"/>
          <w14:ligatures w14:val="none"/>
        </w:rPr>
        <w:t>以华证</w:t>
      </w:r>
      <w:proofErr w:type="gramEnd"/>
      <w:r w:rsidRPr="00315855">
        <w:rPr>
          <w:rFonts w:ascii="宋体" w:eastAsia="宋体" w:hAnsi="宋体" w:cs="宋体" w:hint="eastAsia"/>
          <w:iCs w:val="0"/>
          <w:color w:val="3E3E3E"/>
          <w:kern w:val="0"/>
          <w:sz w:val="26"/>
          <w:szCs w:val="26"/>
          <w14:ligatures w14:val="none"/>
        </w:rPr>
        <w:t>ESG评级为依据</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并按季度评分转化为年度均值。公司价值通过Tobin</w:t>
      </w:r>
      <w:proofErr w:type="gramStart"/>
      <w:r w:rsidR="00D34E30">
        <w:rPr>
          <w:rFonts w:ascii="宋体" w:eastAsia="宋体" w:hAnsi="宋体" w:cs="宋体"/>
          <w:iCs w:val="0"/>
          <w:color w:val="3E3E3E"/>
          <w:kern w:val="0"/>
          <w:sz w:val="26"/>
          <w:szCs w:val="26"/>
          <w14:ligatures w14:val="none"/>
        </w:rPr>
        <w:t>’</w:t>
      </w:r>
      <w:proofErr w:type="gramEnd"/>
      <w:r w:rsidRPr="00315855">
        <w:rPr>
          <w:rFonts w:ascii="宋体" w:eastAsia="宋体" w:hAnsi="宋体" w:cs="宋体" w:hint="eastAsia"/>
          <w:iCs w:val="0"/>
          <w:color w:val="3E3E3E"/>
          <w:kern w:val="0"/>
          <w:sz w:val="26"/>
          <w:szCs w:val="26"/>
          <w14:ligatures w14:val="none"/>
        </w:rPr>
        <w:t>s Q表示</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全要素生产率采用Levinsohn-Petrin</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LP</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法估算</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研发创新投入以研发总支出取对数形式处理。控制变量涵盖企业规模、年龄、成长性、财务状况与治理结构</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并引入年度、行业与个体固定效应。</w:t>
      </w:r>
    </w:p>
    <w:p w14:paraId="00675265" w14:textId="5F2DE77E" w:rsidR="00315855" w:rsidRDefault="00315855" w:rsidP="00FE33C0">
      <w:pPr>
        <w:widowControl/>
        <w:spacing w:before="240" w:after="120"/>
        <w:rPr>
          <w:rFonts w:ascii="宋体" w:eastAsia="宋体" w:hAnsi="宋体" w:cs="宋体"/>
          <w:iCs w:val="0"/>
          <w:color w:val="3E3E3E"/>
          <w:kern w:val="0"/>
          <w:sz w:val="26"/>
          <w:szCs w:val="26"/>
          <w14:ligatures w14:val="none"/>
        </w:rPr>
      </w:pPr>
      <w:r w:rsidRPr="00315855">
        <w:rPr>
          <w:rFonts w:ascii="宋体" w:eastAsia="宋体" w:hAnsi="宋体" w:cs="宋体" w:hint="eastAsia"/>
          <w:iCs w:val="0"/>
          <w:color w:val="3E3E3E"/>
          <w:kern w:val="0"/>
          <w:sz w:val="26"/>
          <w:szCs w:val="26"/>
          <w14:ligatures w14:val="none"/>
        </w:rPr>
        <w:t>在方法上</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文章采用多重回归策略验证机制路径。首先</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运用三步法</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Wen et al., 2004</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验证TFP的中介效应。其次</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在ESG与公司价值回归中引入交互项ESG</w:t>
      </w:r>
      <w:r w:rsidR="00D34E30">
        <w:rPr>
          <w:rFonts w:ascii="宋体" w:eastAsia="宋体" w:hAnsi="宋体" w:cs="宋体" w:hint="eastAsia"/>
          <w:iCs w:val="0"/>
          <w:color w:val="3E3E3E"/>
          <w:kern w:val="0"/>
          <w:sz w:val="26"/>
          <w:szCs w:val="26"/>
          <w14:ligatures w14:val="none"/>
        </w:rPr>
        <w:t>*</w:t>
      </w:r>
      <w:r w:rsidRPr="00315855">
        <w:rPr>
          <w:rFonts w:ascii="宋体" w:eastAsia="宋体" w:hAnsi="宋体" w:cs="宋体" w:hint="eastAsia"/>
          <w:iCs w:val="0"/>
          <w:color w:val="3E3E3E"/>
          <w:kern w:val="0"/>
          <w:sz w:val="26"/>
          <w:szCs w:val="26"/>
          <w14:ligatures w14:val="none"/>
        </w:rPr>
        <w:t>研发投入检验调节效应。第三</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采用调节的中介模型系统考察研发投入是否影响TFP的中介路径强度。此外</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研究还通过变量替换</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如</w:t>
      </w:r>
      <w:r w:rsidRPr="00315855">
        <w:rPr>
          <w:rFonts w:ascii="宋体" w:eastAsia="宋体" w:hAnsi="宋体" w:cs="宋体" w:hint="eastAsia"/>
          <w:iCs w:val="0"/>
          <w:color w:val="3E3E3E"/>
          <w:kern w:val="0"/>
          <w:sz w:val="26"/>
          <w:szCs w:val="26"/>
          <w14:ligatures w14:val="none"/>
        </w:rPr>
        <w:lastRenderedPageBreak/>
        <w:t>使用MV替代Tobin</w:t>
      </w:r>
      <w:proofErr w:type="gramStart"/>
      <w:r w:rsidR="00D34E30">
        <w:rPr>
          <w:rFonts w:ascii="宋体" w:eastAsia="宋体" w:hAnsi="宋体" w:cs="宋体"/>
          <w:iCs w:val="0"/>
          <w:color w:val="3E3E3E"/>
          <w:kern w:val="0"/>
          <w:sz w:val="26"/>
          <w:szCs w:val="26"/>
          <w14:ligatures w14:val="none"/>
        </w:rPr>
        <w:t>’</w:t>
      </w:r>
      <w:proofErr w:type="gramEnd"/>
      <w:r w:rsidRPr="00315855">
        <w:rPr>
          <w:rFonts w:ascii="宋体" w:eastAsia="宋体" w:hAnsi="宋体" w:cs="宋体" w:hint="eastAsia"/>
          <w:iCs w:val="0"/>
          <w:color w:val="3E3E3E"/>
          <w:kern w:val="0"/>
          <w:sz w:val="26"/>
          <w:szCs w:val="26"/>
          <w14:ligatures w14:val="none"/>
        </w:rPr>
        <w:t>s Q、OLS替代LP法测量TFP</w:t>
      </w:r>
      <w:r w:rsidR="00D34E30">
        <w:rPr>
          <w:rFonts w:ascii="宋体" w:eastAsia="宋体" w:hAnsi="宋体" w:cs="宋体" w:hint="eastAsia"/>
          <w:iCs w:val="0"/>
          <w:color w:val="3E3E3E"/>
          <w:kern w:val="0"/>
          <w:sz w:val="26"/>
          <w:szCs w:val="26"/>
          <w14:ligatures w14:val="none"/>
        </w:rPr>
        <w:t>)、</w:t>
      </w:r>
      <w:r w:rsidRPr="00315855">
        <w:rPr>
          <w:rFonts w:ascii="宋体" w:eastAsia="宋体" w:hAnsi="宋体" w:cs="宋体" w:hint="eastAsia"/>
          <w:iCs w:val="0"/>
          <w:color w:val="3E3E3E"/>
          <w:kern w:val="0"/>
          <w:sz w:val="26"/>
          <w:szCs w:val="26"/>
          <w14:ligatures w14:val="none"/>
        </w:rPr>
        <w:t>滞后变量回归与工具变量法</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以行业平均ESG作为工具变量</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开展稳健性与内生性检验。</w:t>
      </w:r>
    </w:p>
    <w:p w14:paraId="52EB5D78"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28FF319B">
          <v:rect id="_x0000_i1029" style="width:0;height:1.5pt" o:hralign="center" o:hrstd="t" o:hr="t" fillcolor="#a0a0a0" stroked="f"/>
        </w:pict>
      </w:r>
    </w:p>
    <w:p w14:paraId="2A6DA088" w14:textId="77777777" w:rsidR="00FE33C0" w:rsidRPr="00FE33C0" w:rsidRDefault="00FE33C0" w:rsidP="00FE33C0">
      <w:pPr>
        <w:widowControl/>
        <w:spacing w:before="360" w:after="240"/>
        <w:jc w:val="center"/>
        <w:rPr>
          <w:rFonts w:ascii="宋体" w:eastAsia="宋体" w:hAnsi="宋体" w:cs="宋体"/>
          <w:iCs w:val="0"/>
          <w:color w:val="3E3E3E"/>
          <w:kern w:val="0"/>
          <w14:ligatures w14:val="none"/>
        </w:rPr>
      </w:pPr>
      <w:r w:rsidRPr="00FE33C0">
        <w:rPr>
          <w:rFonts w:ascii="Microsoft YaHei UI" w:eastAsia="Microsoft YaHei UI" w:hAnsi="Microsoft YaHei UI" w:cs="宋体" w:hint="eastAsia"/>
          <w:b/>
          <w:bCs/>
          <w:iCs w:val="0"/>
          <w:color w:val="3E3E3E"/>
          <w:spacing w:val="9"/>
          <w:kern w:val="0"/>
          <w:sz w:val="26"/>
          <w:szCs w:val="26"/>
          <w14:ligatures w14:val="none"/>
        </w:rPr>
        <w:t>文章贡献</w:t>
      </w:r>
    </w:p>
    <w:p w14:paraId="31FAB259" w14:textId="096D428B" w:rsidR="00D34E30" w:rsidRPr="00D34E30" w:rsidRDefault="00D34E30" w:rsidP="00D34E30">
      <w:pPr>
        <w:widowControl/>
        <w:spacing w:before="240" w:after="120"/>
        <w:rPr>
          <w:rFonts w:ascii="宋体" w:eastAsia="宋体" w:hAnsi="宋体" w:cs="宋体"/>
          <w:iCs w:val="0"/>
          <w:color w:val="3E3E3E"/>
          <w:kern w:val="0"/>
          <w:sz w:val="26"/>
          <w:szCs w:val="26"/>
          <w14:ligatures w14:val="none"/>
        </w:rPr>
      </w:pPr>
      <w:r w:rsidRPr="00D34E30">
        <w:rPr>
          <w:rFonts w:ascii="宋体" w:eastAsia="宋体" w:hAnsi="宋体" w:cs="宋体" w:hint="eastAsia"/>
          <w:iCs w:val="0"/>
          <w:color w:val="3E3E3E"/>
          <w:kern w:val="0"/>
          <w:sz w:val="26"/>
          <w:szCs w:val="26"/>
          <w14:ligatures w14:val="none"/>
        </w:rPr>
        <w:t>在文献上</w:t>
      </w:r>
      <w:r>
        <w:rPr>
          <w:rFonts w:ascii="宋体" w:eastAsia="宋体" w:hAnsi="宋体" w:cs="宋体" w:hint="eastAsia"/>
          <w:iCs w:val="0"/>
          <w:color w:val="3E3E3E"/>
          <w:kern w:val="0"/>
          <w:sz w:val="26"/>
          <w:szCs w:val="26"/>
          <w14:ligatures w14:val="none"/>
        </w:rPr>
        <w:t>,</w:t>
      </w:r>
      <w:r w:rsidRPr="00D34E30">
        <w:rPr>
          <w:rFonts w:ascii="宋体" w:eastAsia="宋体" w:hAnsi="宋体" w:cs="宋体" w:hint="eastAsia"/>
          <w:iCs w:val="0"/>
          <w:color w:val="3E3E3E"/>
          <w:kern w:val="0"/>
          <w:sz w:val="26"/>
          <w:szCs w:val="26"/>
          <w14:ligatures w14:val="none"/>
        </w:rPr>
        <w:t>本研究具有三方面贡献。第一</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构建并实证验证了“ESG—TFP—公司价值”机制路径</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弥补了以往ESG价值研究中对效率机制关注不足的问题。第二</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创新性引入“调节的中介效应”模型</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将ESG、生产率与研发投入置于统一框架之中</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丰富了绿色金融与企业创新交叉领域的理论基础。第三</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通过行业异质性检验揭示高技术与制造业背景下ESG与研发协同的边际优势</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为相关企业的战略制定提供差异化参考。</w:t>
      </w:r>
    </w:p>
    <w:p w14:paraId="036279F8" w14:textId="0F01CFA3" w:rsidR="00FE33C0" w:rsidRPr="00FE33C0" w:rsidRDefault="00D34E30" w:rsidP="00D34E30">
      <w:pPr>
        <w:widowControl/>
        <w:spacing w:before="240" w:after="120"/>
        <w:rPr>
          <w:rFonts w:ascii="宋体" w:eastAsia="宋体" w:hAnsi="宋体" w:cs="宋体"/>
          <w:iCs w:val="0"/>
          <w:color w:val="auto"/>
          <w:kern w:val="0"/>
          <w14:ligatures w14:val="none"/>
        </w:rPr>
      </w:pPr>
      <w:r w:rsidRPr="00D34E30">
        <w:rPr>
          <w:rFonts w:ascii="宋体" w:eastAsia="宋体" w:hAnsi="宋体" w:cs="宋体" w:hint="eastAsia"/>
          <w:iCs w:val="0"/>
          <w:color w:val="3E3E3E"/>
          <w:kern w:val="0"/>
          <w:sz w:val="26"/>
          <w:szCs w:val="26"/>
          <w14:ligatures w14:val="none"/>
        </w:rPr>
        <w:t>在实践层面</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研究指出</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企业在推动ESG战略的同时</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应注重将其与创新投入相融合</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尤其是在资源依赖性较强的制造型企业中</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通过提高资源使用效率、优化创新流程以实现长期价值创造。投资者亦可将ESG与创新协同作为重要评估维度</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甄别具备持续发展潜力的投资标的。同时</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监管机构可通过制定行业导向型ESG评级与披露机制</w:t>
      </w:r>
      <w:r>
        <w:rPr>
          <w:rFonts w:ascii="宋体" w:eastAsia="宋体" w:hAnsi="宋体" w:cs="宋体" w:hint="eastAsia"/>
          <w:iCs w:val="0"/>
          <w:color w:val="3E3E3E"/>
          <w:kern w:val="0"/>
          <w:sz w:val="26"/>
          <w:szCs w:val="26"/>
          <w14:ligatures w14:val="none"/>
        </w:rPr>
        <w:t xml:space="preserve">, </w:t>
      </w:r>
      <w:r w:rsidRPr="00D34E30">
        <w:rPr>
          <w:rFonts w:ascii="宋体" w:eastAsia="宋体" w:hAnsi="宋体" w:cs="宋体" w:hint="eastAsia"/>
          <w:iCs w:val="0"/>
          <w:color w:val="3E3E3E"/>
          <w:kern w:val="0"/>
          <w:sz w:val="26"/>
          <w:szCs w:val="26"/>
          <w14:ligatures w14:val="none"/>
        </w:rPr>
        <w:t>推动ESG绩效与技术进步协同发展的制度环境建设。</w:t>
      </w:r>
      <w:r w:rsidR="00000000">
        <w:rPr>
          <w:rFonts w:ascii="宋体" w:eastAsia="宋体" w:hAnsi="宋体" w:cs="宋体"/>
          <w:iCs w:val="0"/>
          <w:color w:val="auto"/>
          <w:kern w:val="0"/>
          <w14:ligatures w14:val="none"/>
        </w:rPr>
        <w:pict w14:anchorId="611EE08C">
          <v:rect id="_x0000_i1030" style="width:0;height:1.5pt" o:hralign="center" o:hrstd="t" o:hr="t" fillcolor="#a0a0a0" stroked="f"/>
        </w:pict>
      </w:r>
    </w:p>
    <w:p w14:paraId="73EDD171" w14:textId="77777777" w:rsidR="00FE33C0" w:rsidRPr="00FE33C0" w:rsidRDefault="00FE33C0" w:rsidP="00FE33C0">
      <w:pPr>
        <w:widowControl/>
        <w:spacing w:before="360" w:after="240"/>
        <w:jc w:val="center"/>
        <w:rPr>
          <w:rFonts w:ascii="宋体" w:eastAsia="宋体" w:hAnsi="宋体" w:cs="宋体"/>
          <w:iCs w:val="0"/>
          <w:color w:val="3E3E3E"/>
          <w:kern w:val="0"/>
          <w14:ligatures w14:val="none"/>
        </w:rPr>
      </w:pPr>
      <w:r w:rsidRPr="00FE33C0">
        <w:rPr>
          <w:rFonts w:ascii="Microsoft YaHei UI" w:eastAsia="Microsoft YaHei UI" w:hAnsi="Microsoft YaHei UI" w:cs="宋体" w:hint="eastAsia"/>
          <w:b/>
          <w:bCs/>
          <w:iCs w:val="0"/>
          <w:color w:val="3E3E3E"/>
          <w:spacing w:val="9"/>
          <w:kern w:val="0"/>
          <w:sz w:val="26"/>
          <w:szCs w:val="26"/>
          <w14:ligatures w14:val="none"/>
        </w:rPr>
        <w:t>未来研究</w:t>
      </w:r>
    </w:p>
    <w:p w14:paraId="4B4FC166" w14:textId="606CA6BD" w:rsidR="00FE33C0" w:rsidRPr="00FE33C0" w:rsidRDefault="00D34E30" w:rsidP="00FE33C0">
      <w:pPr>
        <w:widowControl/>
        <w:jc w:val="left"/>
        <w:rPr>
          <w:rFonts w:ascii="宋体" w:eastAsia="宋体" w:hAnsi="宋体" w:cs="宋体"/>
          <w:iCs w:val="0"/>
          <w:color w:val="auto"/>
          <w:kern w:val="0"/>
          <w14:ligatures w14:val="none"/>
        </w:rPr>
      </w:pPr>
      <w:r w:rsidRPr="00D34E30">
        <w:rPr>
          <w:rFonts w:ascii="宋体" w:eastAsia="宋体" w:hAnsi="宋体" w:cs="宋体" w:hint="eastAsia"/>
          <w:iCs w:val="0"/>
          <w:color w:val="auto"/>
          <w:kern w:val="0"/>
          <w:sz w:val="26"/>
          <w:szCs w:val="26"/>
          <w14:ligatures w14:val="none"/>
        </w:rPr>
        <w:t>尽管本研究在机制识别与稳健性方面做出较充分工作</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但仍存在值得进一步拓展的空间。首先</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本文使用单一维度的ESG评分进行分析</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未来研究</w:t>
      </w:r>
      <w:r w:rsidRPr="00D34E30">
        <w:rPr>
          <w:rFonts w:ascii="宋体" w:eastAsia="宋体" w:hAnsi="宋体" w:cs="宋体" w:hint="eastAsia"/>
          <w:iCs w:val="0"/>
          <w:color w:val="auto"/>
          <w:kern w:val="0"/>
          <w:sz w:val="26"/>
          <w:szCs w:val="26"/>
          <w14:ligatures w14:val="none"/>
        </w:rPr>
        <w:lastRenderedPageBreak/>
        <w:t>可进一步分解E</w:t>
      </w:r>
      <w:r>
        <w:rPr>
          <w:rFonts w:ascii="宋体" w:eastAsia="宋体" w:hAnsi="宋体" w:cs="宋体" w:hint="eastAsia"/>
          <w:iCs w:val="0"/>
          <w:color w:val="auto"/>
          <w:kern w:val="0"/>
          <w:sz w:val="26"/>
          <w:szCs w:val="26"/>
          <w14:ligatures w14:val="none"/>
        </w:rPr>
        <w:t>、</w:t>
      </w:r>
      <w:r w:rsidRPr="00D34E30">
        <w:rPr>
          <w:rFonts w:ascii="宋体" w:eastAsia="宋体" w:hAnsi="宋体" w:cs="宋体" w:hint="eastAsia"/>
          <w:iCs w:val="0"/>
          <w:color w:val="auto"/>
          <w:kern w:val="0"/>
          <w:sz w:val="26"/>
          <w:szCs w:val="26"/>
          <w14:ligatures w14:val="none"/>
        </w:rPr>
        <w:t>S</w:t>
      </w:r>
      <w:r>
        <w:rPr>
          <w:rFonts w:ascii="宋体" w:eastAsia="宋体" w:hAnsi="宋体" w:cs="宋体" w:hint="eastAsia"/>
          <w:iCs w:val="0"/>
          <w:color w:val="auto"/>
          <w:kern w:val="0"/>
          <w:sz w:val="26"/>
          <w:szCs w:val="26"/>
          <w14:ligatures w14:val="none"/>
        </w:rPr>
        <w:t>、</w:t>
      </w:r>
      <w:r w:rsidRPr="00D34E30">
        <w:rPr>
          <w:rFonts w:ascii="宋体" w:eastAsia="宋体" w:hAnsi="宋体" w:cs="宋体" w:hint="eastAsia"/>
          <w:iCs w:val="0"/>
          <w:color w:val="auto"/>
          <w:kern w:val="0"/>
          <w:sz w:val="26"/>
          <w:szCs w:val="26"/>
          <w14:ligatures w14:val="none"/>
        </w:rPr>
        <w:t>G三个维度</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考察其差异化影响。其次</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样本限于中国A股市场</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缺乏国际比较视角</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未来可拓展至其他制度背景下的多国样本</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检验其一致性与外部效度。第三</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本文对研发投入的度量侧重数量指标</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后续研究可结合专利产出、创新效率等质量指标</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刻画ESG与创新之间更细致的协同路径。通过上述拓展</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有望进一步深化对ESG价值创造机制的理解</w:t>
      </w:r>
      <w:r>
        <w:rPr>
          <w:rFonts w:ascii="宋体" w:eastAsia="宋体" w:hAnsi="宋体" w:cs="宋体" w:hint="eastAsia"/>
          <w:iCs w:val="0"/>
          <w:color w:val="auto"/>
          <w:kern w:val="0"/>
          <w:sz w:val="26"/>
          <w:szCs w:val="26"/>
          <w14:ligatures w14:val="none"/>
        </w:rPr>
        <w:t xml:space="preserve">, </w:t>
      </w:r>
      <w:r w:rsidRPr="00D34E30">
        <w:rPr>
          <w:rFonts w:ascii="宋体" w:eastAsia="宋体" w:hAnsi="宋体" w:cs="宋体" w:hint="eastAsia"/>
          <w:iCs w:val="0"/>
          <w:color w:val="auto"/>
          <w:kern w:val="0"/>
          <w:sz w:val="26"/>
          <w:szCs w:val="26"/>
          <w14:ligatures w14:val="none"/>
        </w:rPr>
        <w:t>并为绿色金融与企业创新战略融合提供更有力的理论与实证支持。</w:t>
      </w:r>
      <w:r w:rsidR="00000000">
        <w:rPr>
          <w:rFonts w:ascii="宋体" w:eastAsia="宋体" w:hAnsi="宋体" w:cs="宋体"/>
          <w:iCs w:val="0"/>
          <w:color w:val="auto"/>
          <w:kern w:val="0"/>
          <w14:ligatures w14:val="none"/>
        </w:rPr>
        <w:pict w14:anchorId="78994182">
          <v:rect id="_x0000_i1031" style="width:0;height:1.5pt" o:hralign="center" o:hrstd="t" o:hr="t" fillcolor="#a0a0a0" stroked="f"/>
        </w:pict>
      </w:r>
    </w:p>
    <w:p w14:paraId="4DBB4284"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编辑：周鹏</w:t>
      </w:r>
    </w:p>
    <w:p w14:paraId="23F3A157"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附录：文章摘要</w:t>
      </w:r>
    </w:p>
    <w:p w14:paraId="74589F61" w14:textId="77777777" w:rsidR="00CA70ED" w:rsidRDefault="00CA70ED" w:rsidP="00D34E30">
      <w:pPr>
        <w:widowControl/>
        <w:spacing w:before="240" w:after="240"/>
        <w:rPr>
          <w:rFonts w:ascii="宋体" w:eastAsia="宋体" w:hAnsi="宋体" w:cs="宋体"/>
          <w:iCs w:val="0"/>
          <w:color w:val="auto"/>
          <w:kern w:val="0"/>
          <w:sz w:val="26"/>
          <w:szCs w:val="26"/>
          <w14:ligatures w14:val="none"/>
        </w:rPr>
      </w:pPr>
      <w:r w:rsidRPr="00CA70ED">
        <w:rPr>
          <w:rFonts w:ascii="宋体" w:eastAsia="宋体" w:hAnsi="宋体" w:cs="宋体"/>
          <w:iCs w:val="0"/>
          <w:color w:val="auto"/>
          <w:kern w:val="0"/>
          <w:sz w:val="26"/>
          <w:szCs w:val="26"/>
          <w14:ligatures w14:val="none"/>
        </w:rPr>
        <w:t>This study examines the effect of environmental, social, and governance (ESG) performance on company value, focusing on the mediating role of total factor productivity (TFP) and the moderating role of R&amp;D innovation investment. Using data from Chinese A-share companies (2012–2022) and a moderated mediation model, the study found that ESG performance enhances company value both directly and indirectly through TFP. R&amp;D innovation investment strengthens both effects, highlighting the synergy between ESG and innovation strategies in maximizing value creation. This effect is most pronounced in the high-tech and manufacturing sectors, underscoring the importance of integrating ESG initiatives with innovation to foster sustainable growth.</w:t>
      </w:r>
    </w:p>
    <w:p w14:paraId="70FC6D59" w14:textId="1DACC672" w:rsidR="00CA70ED" w:rsidRDefault="00CA70ED" w:rsidP="00CA70ED">
      <w:pPr>
        <w:widowControl/>
        <w:jc w:val="left"/>
        <w:rPr>
          <w:rFonts w:ascii="宋体" w:eastAsia="宋体" w:hAnsi="宋体" w:cs="宋体"/>
          <w:iCs w:val="0"/>
          <w:color w:val="auto"/>
          <w:kern w:val="0"/>
          <w:sz w:val="26"/>
          <w:szCs w:val="26"/>
          <w14:ligatures w14:val="none"/>
        </w:rPr>
      </w:pPr>
      <w:r w:rsidRPr="00CA70ED">
        <w:rPr>
          <w:rFonts w:ascii="宋体" w:eastAsia="宋体" w:hAnsi="宋体" w:cs="宋体"/>
          <w:iCs w:val="0"/>
          <w:color w:val="auto"/>
          <w:kern w:val="0"/>
          <w:sz w:val="26"/>
          <w:szCs w:val="26"/>
          <w14:ligatures w14:val="none"/>
        </w:rPr>
        <w:lastRenderedPageBreak/>
        <w:t xml:space="preserve">Mao, G., &amp; </w:t>
      </w:r>
      <w:proofErr w:type="spellStart"/>
      <w:r w:rsidRPr="00CA70ED">
        <w:rPr>
          <w:rFonts w:ascii="宋体" w:eastAsia="宋体" w:hAnsi="宋体" w:cs="宋体"/>
          <w:iCs w:val="0"/>
          <w:color w:val="auto"/>
          <w:kern w:val="0"/>
          <w:sz w:val="26"/>
          <w:szCs w:val="26"/>
          <w14:ligatures w14:val="none"/>
        </w:rPr>
        <w:t>Kongkaew</w:t>
      </w:r>
      <w:proofErr w:type="spellEnd"/>
      <w:r w:rsidRPr="00CA70ED">
        <w:rPr>
          <w:rFonts w:ascii="宋体" w:eastAsia="宋体" w:hAnsi="宋体" w:cs="宋体"/>
          <w:iCs w:val="0"/>
          <w:color w:val="auto"/>
          <w:kern w:val="0"/>
          <w:sz w:val="26"/>
          <w:szCs w:val="26"/>
          <w14:ligatures w14:val="none"/>
        </w:rPr>
        <w:t>, T. (2025). ESG’s path to value: the role of total factor productivity and R&amp;D innovation investment.</w:t>
      </w:r>
      <w:r>
        <w:rPr>
          <w:rFonts w:ascii="宋体" w:eastAsia="宋体" w:hAnsi="宋体" w:cs="宋体" w:hint="eastAsia"/>
          <w:iCs w:val="0"/>
          <w:color w:val="auto"/>
          <w:kern w:val="0"/>
          <w:sz w:val="26"/>
          <w:szCs w:val="26"/>
          <w14:ligatures w14:val="none"/>
        </w:rPr>
        <w:t xml:space="preserve"> </w:t>
      </w:r>
      <w:r w:rsidRPr="00CA70ED">
        <w:rPr>
          <w:rFonts w:ascii="宋体" w:eastAsia="宋体" w:hAnsi="宋体" w:cs="宋体"/>
          <w:i/>
          <w:color w:val="auto"/>
          <w:kern w:val="0"/>
          <w:sz w:val="26"/>
          <w:szCs w:val="26"/>
          <w14:ligatures w14:val="none"/>
        </w:rPr>
        <w:t>Journal of Chinese Economic and Business Studies</w:t>
      </w:r>
      <w:r w:rsidRPr="00CA70ED">
        <w:rPr>
          <w:rFonts w:ascii="宋体" w:eastAsia="宋体" w:hAnsi="宋体" w:cs="宋体"/>
          <w:iCs w:val="0"/>
          <w:color w:val="auto"/>
          <w:kern w:val="0"/>
          <w:sz w:val="26"/>
          <w:szCs w:val="26"/>
          <w14:ligatures w14:val="none"/>
        </w:rPr>
        <w:t>, 1-24.</w:t>
      </w:r>
    </w:p>
    <w:p w14:paraId="7DEE5A2B"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2A731296">
          <v:rect id="_x0000_i1032" style="width:0;height:1.5pt" o:hralign="center" o:hrstd="t" o:hr="t" fillcolor="#a0a0a0" stroked="f"/>
        </w:pict>
      </w:r>
    </w:p>
    <w:p w14:paraId="3C060D92" w14:textId="65BD251B"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0052FF"/>
          <w:kern w:val="0"/>
          <w:sz w:val="26"/>
          <w:szCs w:val="26"/>
          <w14:ligatures w14:val="none"/>
        </w:rPr>
        <w:t>全欧/全英中国经济学会</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Chinese Economic Association UK/Europe</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简称CEA</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成立于1988年</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是一个独立的非盈利的学术团体</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是欧洲最具影响力的关注中国经济发展的学会。学会成员包括对中国经济发展感兴趣的学者、学生和企业高管。学会的宗旨是增进公众对中国经济发展的理解</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并推动关于中国经济的高质量研究。学会在欧洲和中国举办年会以及学术研讨会</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鼓励中国与欧洲之间的学术交流。</w:t>
      </w:r>
    </w:p>
    <w:p w14:paraId="4F436DE2" w14:textId="301DA15B"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0052FF"/>
          <w:kern w:val="0"/>
          <w:sz w:val="26"/>
          <w:szCs w:val="26"/>
          <w14:ligatures w14:val="none"/>
        </w:rPr>
        <w:t>CEA学会出版英文期刊Journal of Chinese Economic and Business Studies</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JCEBS</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期刊注册于牛津大学TMCD研究院</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发表可持续发展主题的经济、金融和管理类的跨学科高质量论文</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欢迎基于各国样本的原创性研究。其CiteScore</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5.5</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位列“经济学、计量经济学和金融学”类别中前10%。影响因子</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2.4</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位列Q2。主编和核心编委会包括经济学领域世界前100引用学者Douglas Cumming</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英国社会科学院院士Xiaolan Fu</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欧洲科学院经济学部负责人Klaus Zimmermann</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英国科学院与发展中国家科学院林毅夫</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爱丁堡皇家学会</w:t>
      </w:r>
      <w:proofErr w:type="spellStart"/>
      <w:r w:rsidRPr="00FE33C0">
        <w:rPr>
          <w:rFonts w:ascii="宋体" w:eastAsia="宋体" w:hAnsi="宋体" w:cs="宋体"/>
          <w:iCs w:val="0"/>
          <w:color w:val="0052FF"/>
          <w:kern w:val="0"/>
          <w:sz w:val="26"/>
          <w:szCs w:val="26"/>
          <w14:ligatures w14:val="none"/>
        </w:rPr>
        <w:t>Wenxuan</w:t>
      </w:r>
      <w:proofErr w:type="spellEnd"/>
      <w:r w:rsidRPr="00FE33C0">
        <w:rPr>
          <w:rFonts w:ascii="宋体" w:eastAsia="宋体" w:hAnsi="宋体" w:cs="宋体"/>
          <w:iCs w:val="0"/>
          <w:color w:val="0052FF"/>
          <w:kern w:val="0"/>
          <w:sz w:val="26"/>
          <w:szCs w:val="26"/>
          <w14:ligatures w14:val="none"/>
        </w:rPr>
        <w:t xml:space="preserve"> Hou</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哈佛大学Dwight Perkins</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哥伦比亚大学Jeffrey Sachs</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普林斯顿大学Dani Rodrik等具有国际影响力的学者。</w:t>
      </w:r>
    </w:p>
    <w:p w14:paraId="68DB5AC1" w14:textId="77777777" w:rsidR="00FE33C0" w:rsidRPr="00FE33C0" w:rsidRDefault="00FE33C0" w:rsidP="00FE33C0">
      <w:pPr>
        <w:widowControl/>
        <w:spacing w:before="240" w:after="240"/>
        <w:jc w:val="center"/>
        <w:rPr>
          <w:rFonts w:ascii="宋体" w:eastAsia="宋体" w:hAnsi="宋体" w:cs="宋体"/>
          <w:iCs w:val="0"/>
          <w:color w:val="auto"/>
          <w:kern w:val="0"/>
          <w14:ligatures w14:val="none"/>
        </w:rPr>
      </w:pPr>
      <w:r w:rsidRPr="00FE33C0">
        <w:rPr>
          <w:rFonts w:ascii="宋体" w:eastAsia="宋体" w:hAnsi="宋体" w:cs="宋体"/>
          <w:iCs w:val="0"/>
          <w:color w:val="FF6827"/>
          <w:kern w:val="0"/>
          <w:sz w:val="26"/>
          <w:szCs w:val="26"/>
          <w14:ligatures w14:val="none"/>
        </w:rPr>
        <w:t>欢迎点击下方</w:t>
      </w:r>
      <w:proofErr w:type="gramStart"/>
      <w:r w:rsidRPr="00FE33C0">
        <w:rPr>
          <w:rFonts w:ascii="宋体" w:eastAsia="宋体" w:hAnsi="宋体" w:cs="宋体"/>
          <w:iCs w:val="0"/>
          <w:color w:val="FF6827"/>
          <w:kern w:val="0"/>
          <w:sz w:val="26"/>
          <w:szCs w:val="26"/>
          <w14:ligatures w14:val="none"/>
        </w:rPr>
        <w:t>二维码关注</w:t>
      </w:r>
      <w:proofErr w:type="gramEnd"/>
      <w:r w:rsidRPr="00FE33C0">
        <w:rPr>
          <w:rFonts w:ascii="宋体" w:eastAsia="宋体" w:hAnsi="宋体" w:cs="宋体"/>
          <w:iCs w:val="0"/>
          <w:color w:val="FF6827"/>
          <w:kern w:val="0"/>
          <w:sz w:val="26"/>
          <w:szCs w:val="26"/>
          <w14:ligatures w14:val="none"/>
        </w:rPr>
        <w:t>！</w:t>
      </w:r>
    </w:p>
    <w:p w14:paraId="4C37D2E2" w14:textId="780CD3ED" w:rsidR="00556218" w:rsidRPr="00FE33C0" w:rsidRDefault="00FE33C0" w:rsidP="00FE33C0">
      <w:pPr>
        <w:jc w:val="center"/>
      </w:pPr>
      <w:r w:rsidRPr="00FE33C0">
        <w:rPr>
          <w:rFonts w:ascii="宋体" w:eastAsia="宋体" w:hAnsi="宋体" w:cs="宋体"/>
          <w:iCs w:val="0"/>
          <w:noProof/>
          <w:color w:val="auto"/>
          <w:kern w:val="0"/>
          <w14:ligatures w14:val="none"/>
        </w:rPr>
        <w:lastRenderedPageBreak/>
        <w:drawing>
          <wp:inline distT="0" distB="0" distL="0" distR="0" wp14:anchorId="1B9CCFCC" wp14:editId="5B055EA5">
            <wp:extent cx="2461260" cy="2461260"/>
            <wp:effectExtent l="0" t="0" r="0" b="0"/>
            <wp:docPr id="6656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1260" cy="2461260"/>
                    </a:xfrm>
                    <a:prstGeom prst="rect">
                      <a:avLst/>
                    </a:prstGeom>
                    <a:noFill/>
                    <a:ln>
                      <a:noFill/>
                    </a:ln>
                  </pic:spPr>
                </pic:pic>
              </a:graphicData>
            </a:graphic>
          </wp:inline>
        </w:drawing>
      </w:r>
    </w:p>
    <w:sectPr w:rsidR="00556218" w:rsidRPr="00FE33C0" w:rsidSect="00850D95">
      <w:pgSz w:w="11906" w:h="16838"/>
      <w:pgMar w:top="1440" w:right="1800" w:bottom="1440" w:left="1800"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60202" w14:textId="77777777" w:rsidR="006E1120" w:rsidRDefault="006E1120" w:rsidP="00CA70ED">
      <w:r>
        <w:separator/>
      </w:r>
    </w:p>
  </w:endnote>
  <w:endnote w:type="continuationSeparator" w:id="0">
    <w:p w14:paraId="235CE607" w14:textId="77777777" w:rsidR="006E1120" w:rsidRDefault="006E1120" w:rsidP="00CA7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B0504020202020204"/>
    <w:charset w:val="86"/>
    <w:family w:val="swiss"/>
    <w:pitch w:val="variable"/>
    <w:sig w:usb0="A00002CF" w:usb1="3ACF3D13" w:usb2="00000017" w:usb3="00000000" w:csb0="00040001" w:csb1="00000000"/>
  </w:font>
  <w:font w:name="Microsoft YaHei UI">
    <w:panose1 w:val="020B0504020202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8203B" w14:textId="77777777" w:rsidR="006E1120" w:rsidRDefault="006E1120" w:rsidP="00CA70ED">
      <w:r>
        <w:separator/>
      </w:r>
    </w:p>
  </w:footnote>
  <w:footnote w:type="continuationSeparator" w:id="0">
    <w:p w14:paraId="4545E7AB" w14:textId="77777777" w:rsidR="006E1120" w:rsidRDefault="006E1120" w:rsidP="00CA7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66B09"/>
    <w:multiLevelType w:val="multilevel"/>
    <w:tmpl w:val="016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A239D"/>
    <w:multiLevelType w:val="multilevel"/>
    <w:tmpl w:val="F992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13476"/>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72DD0"/>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B1998"/>
    <w:multiLevelType w:val="multilevel"/>
    <w:tmpl w:val="1A6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0C3DB9"/>
    <w:multiLevelType w:val="multilevel"/>
    <w:tmpl w:val="5598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D413BC"/>
    <w:multiLevelType w:val="multilevel"/>
    <w:tmpl w:val="69D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729641">
    <w:abstractNumId w:val="4"/>
  </w:num>
  <w:num w:numId="2" w16cid:durableId="38938295">
    <w:abstractNumId w:val="6"/>
  </w:num>
  <w:num w:numId="3" w16cid:durableId="1369574488">
    <w:abstractNumId w:val="0"/>
  </w:num>
  <w:num w:numId="4" w16cid:durableId="1541942432">
    <w:abstractNumId w:val="3"/>
  </w:num>
  <w:num w:numId="5" w16cid:durableId="1036659389">
    <w:abstractNumId w:val="2"/>
  </w:num>
  <w:num w:numId="6" w16cid:durableId="1049190111">
    <w:abstractNumId w:val="1"/>
  </w:num>
  <w:num w:numId="7" w16cid:durableId="1308124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3tDQytbC0MDe2NDRX0lEKTi0uzszPAykwrwUA3JMlfiwAAAA="/>
  </w:docVars>
  <w:rsids>
    <w:rsidRoot w:val="00A127DD"/>
    <w:rsid w:val="0000197A"/>
    <w:rsid w:val="00105729"/>
    <w:rsid w:val="00145E83"/>
    <w:rsid w:val="001563FF"/>
    <w:rsid w:val="001B7648"/>
    <w:rsid w:val="001D4E76"/>
    <w:rsid w:val="001D70ED"/>
    <w:rsid w:val="0020477A"/>
    <w:rsid w:val="00234FC6"/>
    <w:rsid w:val="002A5494"/>
    <w:rsid w:val="00315855"/>
    <w:rsid w:val="003259E3"/>
    <w:rsid w:val="00401FE8"/>
    <w:rsid w:val="00423E1C"/>
    <w:rsid w:val="00462E29"/>
    <w:rsid w:val="005254E8"/>
    <w:rsid w:val="00530A20"/>
    <w:rsid w:val="00556218"/>
    <w:rsid w:val="006642DE"/>
    <w:rsid w:val="00692224"/>
    <w:rsid w:val="006A4A15"/>
    <w:rsid w:val="006E1120"/>
    <w:rsid w:val="0070633F"/>
    <w:rsid w:val="007B59D9"/>
    <w:rsid w:val="007D5F18"/>
    <w:rsid w:val="00807FD6"/>
    <w:rsid w:val="00843CB6"/>
    <w:rsid w:val="00850D95"/>
    <w:rsid w:val="008B4ABF"/>
    <w:rsid w:val="00920ED6"/>
    <w:rsid w:val="00927DE7"/>
    <w:rsid w:val="00952E07"/>
    <w:rsid w:val="00991178"/>
    <w:rsid w:val="009A4749"/>
    <w:rsid w:val="009B4F22"/>
    <w:rsid w:val="009C6BD3"/>
    <w:rsid w:val="009E7BAF"/>
    <w:rsid w:val="00A127DD"/>
    <w:rsid w:val="00A4534B"/>
    <w:rsid w:val="00B76354"/>
    <w:rsid w:val="00BB16A9"/>
    <w:rsid w:val="00BE4D57"/>
    <w:rsid w:val="00BF197E"/>
    <w:rsid w:val="00CA70ED"/>
    <w:rsid w:val="00D34E30"/>
    <w:rsid w:val="00D71021"/>
    <w:rsid w:val="00D715C5"/>
    <w:rsid w:val="00D87442"/>
    <w:rsid w:val="00DC752D"/>
    <w:rsid w:val="00DD3BD7"/>
    <w:rsid w:val="00EB05A4"/>
    <w:rsid w:val="00EC1AE4"/>
    <w:rsid w:val="00EF3AAF"/>
    <w:rsid w:val="00F33E54"/>
    <w:rsid w:val="00F44D13"/>
    <w:rsid w:val="00F738A3"/>
    <w:rsid w:val="00FB168A"/>
    <w:rsid w:val="00FC5BBF"/>
    <w:rsid w:val="00FE203F"/>
    <w:rsid w:val="00FE33C0"/>
    <w:rsid w:val="00FF425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5D701"/>
  <w15:chartTrackingRefBased/>
  <w15:docId w15:val="{2F422EDC-8193-4EE9-8FB5-143B1E7E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iCs/>
        <w:color w:val="000000"/>
        <w:kern w:val="2"/>
        <w:sz w:val="24"/>
        <w:szCs w:val="24"/>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FE8"/>
    <w:pPr>
      <w:widowControl/>
      <w:spacing w:before="100" w:beforeAutospacing="1" w:after="100" w:afterAutospacing="1"/>
      <w:jc w:val="left"/>
    </w:pPr>
    <w:rPr>
      <w:rFonts w:ascii="宋体" w:eastAsia="宋体" w:hAnsi="宋体" w:cs="宋体"/>
      <w:iCs w:val="0"/>
      <w:color w:val="auto"/>
      <w:kern w:val="0"/>
      <w14:ligatures w14:val="none"/>
    </w:rPr>
  </w:style>
  <w:style w:type="character" w:styleId="Strong">
    <w:name w:val="Strong"/>
    <w:basedOn w:val="DefaultParagraphFont"/>
    <w:uiPriority w:val="22"/>
    <w:qFormat/>
    <w:rsid w:val="00401FE8"/>
    <w:rPr>
      <w:b/>
      <w:bCs/>
    </w:rPr>
  </w:style>
  <w:style w:type="character" w:styleId="Emphasis">
    <w:name w:val="Emphasis"/>
    <w:basedOn w:val="DefaultParagraphFont"/>
    <w:uiPriority w:val="20"/>
    <w:qFormat/>
    <w:rsid w:val="00401FE8"/>
    <w:rPr>
      <w:i/>
      <w:iCs w:val="0"/>
    </w:rPr>
  </w:style>
  <w:style w:type="paragraph" w:styleId="Header">
    <w:name w:val="header"/>
    <w:basedOn w:val="Normal"/>
    <w:link w:val="HeaderChar"/>
    <w:uiPriority w:val="99"/>
    <w:unhideWhenUsed/>
    <w:rsid w:val="00CA70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A70ED"/>
    <w:rPr>
      <w:sz w:val="18"/>
      <w:szCs w:val="18"/>
    </w:rPr>
  </w:style>
  <w:style w:type="paragraph" w:styleId="Footer">
    <w:name w:val="footer"/>
    <w:basedOn w:val="Normal"/>
    <w:link w:val="FooterChar"/>
    <w:uiPriority w:val="99"/>
    <w:unhideWhenUsed/>
    <w:rsid w:val="00CA70E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A70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666201">
      <w:bodyDiv w:val="1"/>
      <w:marLeft w:val="0"/>
      <w:marRight w:val="0"/>
      <w:marTop w:val="0"/>
      <w:marBottom w:val="0"/>
      <w:divBdr>
        <w:top w:val="none" w:sz="0" w:space="0" w:color="auto"/>
        <w:left w:val="none" w:sz="0" w:space="0" w:color="auto"/>
        <w:bottom w:val="none" w:sz="0" w:space="0" w:color="auto"/>
        <w:right w:val="none" w:sz="0" w:space="0" w:color="auto"/>
      </w:divBdr>
    </w:div>
    <w:div w:id="107100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Shijie</dc:creator>
  <cp:keywords/>
  <dc:description/>
  <cp:lastModifiedBy>Shijie</cp:lastModifiedBy>
  <cp:revision>8</cp:revision>
  <dcterms:created xsi:type="dcterms:W3CDTF">2025-05-15T15:01:00Z</dcterms:created>
  <dcterms:modified xsi:type="dcterms:W3CDTF">2025-05-15T15:21:00Z</dcterms:modified>
</cp:coreProperties>
</file>