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C8DA3" w14:textId="2DE42C08" w:rsidR="00FE33C0" w:rsidRPr="00FE33C0" w:rsidRDefault="00FE33C0" w:rsidP="00EA5C8E">
      <w:pPr>
        <w:widowControl/>
        <w:spacing w:before="240" w:after="240"/>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文章题目：</w:t>
      </w:r>
      <w:r w:rsidR="008378FE" w:rsidRPr="008378FE">
        <w:rPr>
          <w:rFonts w:ascii="宋体" w:eastAsia="宋体" w:hAnsi="宋体" w:cs="宋体" w:hint="eastAsia"/>
          <w:iCs w:val="0"/>
          <w:color w:val="auto"/>
          <w:kern w:val="0"/>
          <w:sz w:val="26"/>
          <w:szCs w:val="26"/>
          <w14:ligatures w14:val="none"/>
        </w:rPr>
        <w:t>伊斯兰加密货币能否为可持续金融“减震”？——基于时-频波动溢出网络的实证解读</w:t>
      </w:r>
      <w:r w:rsidRPr="00FE33C0">
        <w:rPr>
          <w:rFonts w:ascii="宋体" w:eastAsia="宋体" w:hAnsi="宋体" w:cs="宋体"/>
          <w:iCs w:val="0"/>
          <w:color w:val="auto"/>
          <w:kern w:val="0"/>
          <w:sz w:val="26"/>
          <w:szCs w:val="26"/>
          <w14:ligatures w14:val="none"/>
        </w:rPr>
        <w:t xml:space="preserve"> (</w:t>
      </w:r>
      <w:r w:rsidR="00EA5C8E" w:rsidRPr="00EA5C8E">
        <w:rPr>
          <w:rFonts w:ascii="宋体" w:eastAsia="宋体" w:hAnsi="宋体" w:cs="宋体"/>
          <w:iCs w:val="0"/>
          <w:color w:val="auto"/>
          <w:kern w:val="0"/>
          <w:sz w:val="26"/>
          <w:szCs w:val="26"/>
          <w14:ligatures w14:val="none"/>
        </w:rPr>
        <w:t>Islamic cryptocurrency integration for enhanced sustainable finance: evidence from time-frequency volatility transmission investigation</w:t>
      </w:r>
      <w:r w:rsidRPr="00FE33C0">
        <w:rPr>
          <w:rFonts w:ascii="宋体" w:eastAsia="宋体" w:hAnsi="宋体" w:cs="宋体"/>
          <w:iCs w:val="0"/>
          <w:color w:val="auto"/>
          <w:kern w:val="0"/>
          <w:sz w:val="26"/>
          <w:szCs w:val="26"/>
          <w14:ligatures w14:val="none"/>
        </w:rPr>
        <w:t>)</w:t>
      </w:r>
    </w:p>
    <w:p w14:paraId="4D329FD3" w14:textId="446EEB4E" w:rsidR="00FE33C0" w:rsidRDefault="00FE33C0" w:rsidP="00FE33C0">
      <w:pPr>
        <w:widowControl/>
        <w:spacing w:before="240" w:after="240"/>
        <w:jc w:val="left"/>
        <w:rPr>
          <w:rFonts w:ascii="宋体" w:eastAsia="宋体" w:hAnsi="宋体" w:cs="宋体"/>
          <w:iCs w:val="0"/>
          <w:color w:val="auto"/>
          <w:kern w:val="0"/>
          <w:sz w:val="26"/>
          <w:szCs w:val="26"/>
          <w14:ligatures w14:val="none"/>
        </w:rPr>
      </w:pPr>
      <w:r w:rsidRPr="00FE33C0">
        <w:rPr>
          <w:rFonts w:ascii="宋体" w:eastAsia="宋体" w:hAnsi="宋体" w:cs="宋体"/>
          <w:b/>
          <w:bCs/>
          <w:iCs w:val="0"/>
          <w:color w:val="auto"/>
          <w:kern w:val="0"/>
          <w:sz w:val="26"/>
          <w:szCs w:val="26"/>
          <w14:ligatures w14:val="none"/>
        </w:rPr>
        <w:t>发表期刊：</w:t>
      </w:r>
      <w:r w:rsidR="009C6BD3" w:rsidRPr="009C6BD3">
        <w:rPr>
          <w:rFonts w:ascii="宋体" w:eastAsia="宋体" w:hAnsi="宋体" w:cs="宋体"/>
          <w:iCs w:val="0"/>
          <w:color w:val="auto"/>
          <w:kern w:val="0"/>
          <w:sz w:val="26"/>
          <w:szCs w:val="26"/>
          <w14:ligatures w14:val="none"/>
        </w:rPr>
        <w:t>Journal of Chinese Economic and Business Studies</w:t>
      </w:r>
    </w:p>
    <w:p w14:paraId="2A2A33ED" w14:textId="47826D7F"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b/>
          <w:bCs/>
          <w:iCs w:val="0"/>
          <w:color w:val="3DA742"/>
          <w:kern w:val="0"/>
          <w:sz w:val="26"/>
          <w:szCs w:val="26"/>
          <w14:ligatures w14:val="none"/>
        </w:rPr>
        <w:t>联合国可持续发展目标：</w:t>
      </w:r>
      <w:r w:rsidR="00EA5C8E" w:rsidRPr="009C6BD3">
        <w:rPr>
          <w:rFonts w:ascii="宋体" w:eastAsia="宋体" w:hAnsi="宋体" w:cs="宋体" w:hint="eastAsia"/>
          <w:iCs w:val="0"/>
          <w:color w:val="3DA742"/>
          <w:kern w:val="0"/>
          <w:sz w:val="26"/>
          <w:szCs w:val="26"/>
          <w14:ligatures w14:val="none"/>
        </w:rPr>
        <w:t xml:space="preserve">SDG </w:t>
      </w:r>
      <w:r w:rsidR="00EA5C8E">
        <w:rPr>
          <w:rFonts w:ascii="宋体" w:eastAsia="宋体" w:hAnsi="宋体" w:cs="宋体" w:hint="eastAsia"/>
          <w:iCs w:val="0"/>
          <w:color w:val="3DA742"/>
          <w:kern w:val="0"/>
          <w:sz w:val="26"/>
          <w:szCs w:val="26"/>
          <w14:ligatures w14:val="none"/>
        </w:rPr>
        <w:t>8</w:t>
      </w:r>
      <w:r w:rsidR="00EA5C8E" w:rsidRPr="009C6BD3">
        <w:rPr>
          <w:rFonts w:ascii="宋体" w:eastAsia="宋体" w:hAnsi="宋体" w:cs="宋体" w:hint="eastAsia"/>
          <w:iCs w:val="0"/>
          <w:color w:val="3DA742"/>
          <w:kern w:val="0"/>
          <w:sz w:val="26"/>
          <w:szCs w:val="26"/>
          <w14:ligatures w14:val="none"/>
        </w:rPr>
        <w:t xml:space="preserve"> </w:t>
      </w:r>
      <w:r w:rsidR="00EA5C8E" w:rsidRPr="00EA5C8E">
        <w:rPr>
          <w:rFonts w:ascii="宋体" w:eastAsia="宋体" w:hAnsi="宋体" w:cs="宋体" w:hint="eastAsia"/>
          <w:iCs w:val="0"/>
          <w:color w:val="3DA742"/>
          <w:kern w:val="0"/>
          <w:sz w:val="26"/>
          <w:szCs w:val="26"/>
          <w14:ligatures w14:val="none"/>
        </w:rPr>
        <w:t>体面工作与经济增长</w:t>
      </w:r>
      <w:r w:rsidR="00EA5C8E">
        <w:rPr>
          <w:rFonts w:ascii="宋体" w:eastAsia="宋体" w:hAnsi="宋体" w:cs="宋体" w:hint="eastAsia"/>
          <w:iCs w:val="0"/>
          <w:color w:val="3DA742"/>
          <w:kern w:val="0"/>
          <w:sz w:val="26"/>
          <w:szCs w:val="26"/>
          <w14:ligatures w14:val="none"/>
        </w:rPr>
        <w:t xml:space="preserve">; </w:t>
      </w:r>
      <w:r w:rsidR="00EA5C8E" w:rsidRPr="009C6BD3">
        <w:rPr>
          <w:rFonts w:ascii="宋体" w:eastAsia="宋体" w:hAnsi="宋体" w:cs="宋体" w:hint="eastAsia"/>
          <w:iCs w:val="0"/>
          <w:color w:val="3DA742"/>
          <w:kern w:val="0"/>
          <w:sz w:val="26"/>
          <w:szCs w:val="26"/>
          <w14:ligatures w14:val="none"/>
        </w:rPr>
        <w:t>S</w:t>
      </w:r>
      <w:r w:rsidR="009C6BD3" w:rsidRPr="009C6BD3">
        <w:rPr>
          <w:rFonts w:ascii="宋体" w:eastAsia="宋体" w:hAnsi="宋体" w:cs="宋体" w:hint="eastAsia"/>
          <w:iCs w:val="0"/>
          <w:color w:val="3DA742"/>
          <w:kern w:val="0"/>
          <w:sz w:val="26"/>
          <w:szCs w:val="26"/>
          <w14:ligatures w14:val="none"/>
        </w:rPr>
        <w:t>DG 9 产业、创新和基础设施</w:t>
      </w:r>
      <w:r w:rsidR="00D34E30">
        <w:rPr>
          <w:rFonts w:ascii="宋体" w:eastAsia="宋体" w:hAnsi="宋体" w:cs="宋体" w:hint="eastAsia"/>
          <w:iCs w:val="0"/>
          <w:color w:val="3DA742"/>
          <w:kern w:val="0"/>
          <w:sz w:val="26"/>
          <w:szCs w:val="26"/>
          <w14:ligatures w14:val="none"/>
        </w:rPr>
        <w:t xml:space="preserve">; </w:t>
      </w:r>
      <w:r w:rsidR="009C6BD3" w:rsidRPr="009C6BD3">
        <w:rPr>
          <w:rFonts w:ascii="宋体" w:eastAsia="宋体" w:hAnsi="宋体" w:cs="宋体" w:hint="eastAsia"/>
          <w:iCs w:val="0"/>
          <w:color w:val="3DA742"/>
          <w:kern w:val="0"/>
          <w:sz w:val="26"/>
          <w:szCs w:val="26"/>
          <w14:ligatures w14:val="none"/>
        </w:rPr>
        <w:t>SDG 12 负责任消费和生产</w:t>
      </w:r>
    </w:p>
    <w:p w14:paraId="3016CF82"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7C4A0161">
          <v:rect id="_x0000_i1025" style="width:0;height:1.5pt" o:hralign="center" o:hrstd="t" o:hr="t" fillcolor="#a0a0a0" stroked="f"/>
        </w:pict>
      </w:r>
    </w:p>
    <w:p w14:paraId="762381D8"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Podcast (English)</w:t>
      </w:r>
    </w:p>
    <w:p w14:paraId="4B393095"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3E23F234">
          <v:rect id="_x0000_i1026" style="width:0;height:1.5pt" o:hralign="center" o:hrstd="t" o:hr="t" fillcolor="#a0a0a0" stroked="f"/>
        </w:pict>
      </w:r>
    </w:p>
    <w:p w14:paraId="6C099A5E" w14:textId="77777777" w:rsidR="00FE33C0" w:rsidRPr="00FE33C0" w:rsidRDefault="00FE33C0" w:rsidP="00FE33C0">
      <w:pPr>
        <w:widowControl/>
        <w:jc w:val="left"/>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作者信息：</w:t>
      </w:r>
    </w:p>
    <w:p w14:paraId="4E63DB10" w14:textId="77777777" w:rsidR="00383C3C" w:rsidRDefault="00FE33C0" w:rsidP="00383C3C">
      <w:pPr>
        <w:widowControl/>
        <w:spacing w:before="100" w:beforeAutospacing="1" w:after="100" w:afterAutospacing="1"/>
        <w:jc w:val="left"/>
        <w:rPr>
          <w:rFonts w:ascii="宋体" w:eastAsia="宋体" w:hAnsi="宋体" w:cs="宋体"/>
          <w:iCs w:val="0"/>
          <w:color w:val="auto"/>
          <w:kern w:val="0"/>
          <w:sz w:val="26"/>
          <w:szCs w:val="26"/>
          <w14:ligatures w14:val="none"/>
        </w:rPr>
      </w:pPr>
      <w:r w:rsidRPr="00FE33C0">
        <w:rPr>
          <w:rFonts w:ascii="宋体" w:eastAsia="宋体" w:hAnsi="宋体" w:cs="宋体"/>
          <w:iCs w:val="0"/>
          <w:color w:val="auto"/>
          <w:kern w:val="0"/>
          <w:sz w:val="26"/>
          <w:szCs w:val="26"/>
          <w14:ligatures w14:val="none"/>
        </w:rPr>
        <w:t xml:space="preserve">• </w:t>
      </w:r>
      <w:r w:rsidR="00383C3C" w:rsidRPr="00383C3C">
        <w:rPr>
          <w:rFonts w:ascii="宋体" w:eastAsia="宋体" w:hAnsi="宋体" w:cs="宋体" w:hint="eastAsia"/>
          <w:iCs w:val="0"/>
          <w:color w:val="auto"/>
          <w:kern w:val="0"/>
          <w:sz w:val="26"/>
          <w:szCs w:val="26"/>
          <w14:ligatures w14:val="none"/>
        </w:rPr>
        <w:t>Emna Mnif</w:t>
      </w:r>
      <w:r w:rsidR="00383C3C">
        <w:rPr>
          <w:rFonts w:ascii="宋体" w:eastAsia="宋体" w:hAnsi="宋体" w:cs="宋体" w:hint="eastAsia"/>
          <w:iCs w:val="0"/>
          <w:color w:val="auto"/>
          <w:kern w:val="0"/>
          <w:sz w:val="26"/>
          <w:szCs w:val="26"/>
          <w14:ligatures w14:val="none"/>
        </w:rPr>
        <w:t>：</w:t>
      </w:r>
      <w:r w:rsidR="00383C3C" w:rsidRPr="00383C3C">
        <w:rPr>
          <w:rFonts w:ascii="宋体" w:eastAsia="宋体" w:hAnsi="宋体" w:cs="宋体" w:hint="eastAsia"/>
          <w:iCs w:val="0"/>
          <w:color w:val="auto"/>
          <w:kern w:val="0"/>
          <w:sz w:val="26"/>
          <w:szCs w:val="26"/>
          <w14:ligatures w14:val="none"/>
        </w:rPr>
        <w:t>现任突尼斯斯法克斯大学 LATIGE-Lab.（Technology, Governance and Entrepreneurship 实验室）研究员，长期活跃于金融学与数据科学的交叉领域。</w:t>
      </w:r>
    </w:p>
    <w:p w14:paraId="2CAFD096" w14:textId="7B28EB7E" w:rsidR="00383C3C" w:rsidRPr="00383C3C" w:rsidRDefault="00383C3C" w:rsidP="00383C3C">
      <w:pPr>
        <w:widowControl/>
        <w:spacing w:before="100" w:beforeAutospacing="1" w:after="100" w:afterAutospacing="1"/>
        <w:jc w:val="left"/>
        <w:rPr>
          <w:rFonts w:ascii="宋体" w:eastAsia="宋体" w:hAnsi="宋体" w:cs="宋体"/>
          <w:iCs w:val="0"/>
          <w:color w:val="auto"/>
          <w:kern w:val="0"/>
          <w:sz w:val="26"/>
          <w:szCs w:val="26"/>
          <w14:ligatures w14:val="none"/>
        </w:rPr>
      </w:pPr>
      <w:r w:rsidRPr="00FE33C0">
        <w:rPr>
          <w:rFonts w:ascii="宋体" w:eastAsia="宋体" w:hAnsi="宋体" w:cs="宋体"/>
          <w:iCs w:val="0"/>
          <w:color w:val="auto"/>
          <w:kern w:val="0"/>
          <w:sz w:val="26"/>
          <w:szCs w:val="26"/>
          <w14:ligatures w14:val="none"/>
        </w:rPr>
        <w:t xml:space="preserve">• </w:t>
      </w:r>
      <w:r w:rsidRPr="00383C3C">
        <w:rPr>
          <w:rFonts w:ascii="宋体" w:eastAsia="宋体" w:hAnsi="宋体" w:cs="宋体" w:hint="eastAsia"/>
          <w:iCs w:val="0"/>
          <w:color w:val="auto"/>
          <w:kern w:val="0"/>
          <w:sz w:val="26"/>
          <w:szCs w:val="26"/>
          <w14:ligatures w14:val="none"/>
        </w:rPr>
        <w:t>Yomna Daoud</w:t>
      </w:r>
      <w:r>
        <w:rPr>
          <w:rFonts w:ascii="宋体" w:eastAsia="宋体" w:hAnsi="宋体" w:cs="宋体" w:hint="eastAsia"/>
          <w:iCs w:val="0"/>
          <w:color w:val="auto"/>
          <w:kern w:val="0"/>
          <w:sz w:val="26"/>
          <w:szCs w:val="26"/>
          <w14:ligatures w14:val="none"/>
        </w:rPr>
        <w:t>：</w:t>
      </w:r>
      <w:r w:rsidRPr="00383C3C">
        <w:rPr>
          <w:rFonts w:ascii="宋体" w:eastAsia="宋体" w:hAnsi="宋体" w:cs="宋体" w:hint="eastAsia"/>
          <w:iCs w:val="0"/>
          <w:color w:val="auto"/>
          <w:kern w:val="0"/>
          <w:sz w:val="26"/>
          <w:szCs w:val="26"/>
          <w14:ligatures w14:val="none"/>
        </w:rPr>
        <w:t>毕业于突尼斯斯法克斯大学金融学专业，并在该校经济与管理研究实验室（LEG-Lab）从事科研工作。其研究兴趣涵盖伊斯兰金融、企业研究与金融发展等方向，在国际同行评审期刊发表多篇有影响力的学术成果。</w:t>
      </w:r>
    </w:p>
    <w:p w14:paraId="46CDD063" w14:textId="3CF678B8" w:rsidR="00383C3C" w:rsidRPr="00383C3C" w:rsidRDefault="00383C3C" w:rsidP="00383C3C">
      <w:pPr>
        <w:widowControl/>
        <w:spacing w:before="100" w:beforeAutospacing="1" w:after="100" w:afterAutospacing="1"/>
        <w:jc w:val="left"/>
        <w:rPr>
          <w:rFonts w:ascii="宋体" w:eastAsia="宋体" w:hAnsi="宋体" w:cs="宋体"/>
          <w:iCs w:val="0"/>
          <w:color w:val="auto"/>
          <w:kern w:val="0"/>
          <w:sz w:val="26"/>
          <w:szCs w:val="26"/>
          <w14:ligatures w14:val="none"/>
        </w:rPr>
      </w:pPr>
      <w:r w:rsidRPr="00FE33C0">
        <w:rPr>
          <w:rFonts w:ascii="宋体" w:eastAsia="宋体" w:hAnsi="宋体" w:cs="宋体"/>
          <w:iCs w:val="0"/>
          <w:color w:val="auto"/>
          <w:kern w:val="0"/>
          <w:sz w:val="26"/>
          <w:szCs w:val="26"/>
          <w14:ligatures w14:val="none"/>
        </w:rPr>
        <w:lastRenderedPageBreak/>
        <w:t xml:space="preserve">• </w:t>
      </w:r>
      <w:r w:rsidRPr="00383C3C">
        <w:rPr>
          <w:rFonts w:ascii="宋体" w:eastAsia="宋体" w:hAnsi="宋体" w:cs="宋体" w:hint="eastAsia"/>
          <w:iCs w:val="0"/>
          <w:color w:val="auto"/>
          <w:kern w:val="0"/>
          <w:sz w:val="26"/>
          <w:szCs w:val="26"/>
          <w14:ligatures w14:val="none"/>
        </w:rPr>
        <w:t>Akrout Zied</w:t>
      </w:r>
      <w:r>
        <w:rPr>
          <w:rFonts w:ascii="宋体" w:eastAsia="宋体" w:hAnsi="宋体" w:cs="宋体" w:hint="eastAsia"/>
          <w:iCs w:val="0"/>
          <w:color w:val="auto"/>
          <w:kern w:val="0"/>
          <w:sz w:val="26"/>
          <w:szCs w:val="26"/>
          <w14:ligatures w14:val="none"/>
        </w:rPr>
        <w:t>：</w:t>
      </w:r>
      <w:r w:rsidRPr="00383C3C">
        <w:rPr>
          <w:rFonts w:ascii="宋体" w:eastAsia="宋体" w:hAnsi="宋体" w:cs="宋体" w:hint="eastAsia"/>
          <w:iCs w:val="0"/>
          <w:color w:val="auto"/>
          <w:kern w:val="0"/>
          <w:sz w:val="26"/>
          <w:szCs w:val="26"/>
          <w14:ligatures w14:val="none"/>
        </w:rPr>
        <w:t>沙特阿卜哈哈立德国王大学商学院经济学系教授，研究专长包括应用微观计量、发展经济学、劳动经济学与旅游经济学，并在相关领域承担多项咨询与研究项目。</w:t>
      </w:r>
    </w:p>
    <w:p w14:paraId="28552208" w14:textId="78779973" w:rsidR="009C6BD3" w:rsidRDefault="00383C3C" w:rsidP="00383C3C">
      <w:pPr>
        <w:widowControl/>
        <w:spacing w:before="100" w:beforeAutospacing="1" w:after="100" w:afterAutospacing="1"/>
        <w:jc w:val="left"/>
        <w:rPr>
          <w:rFonts w:ascii="宋体" w:eastAsia="宋体" w:hAnsi="宋体" w:cs="宋体"/>
          <w:iCs w:val="0"/>
          <w:color w:val="auto"/>
          <w:kern w:val="0"/>
          <w:sz w:val="26"/>
          <w:szCs w:val="26"/>
          <w14:ligatures w14:val="none"/>
        </w:rPr>
      </w:pPr>
      <w:r w:rsidRPr="00FE33C0">
        <w:rPr>
          <w:rFonts w:ascii="宋体" w:eastAsia="宋体" w:hAnsi="宋体" w:cs="宋体"/>
          <w:iCs w:val="0"/>
          <w:color w:val="auto"/>
          <w:kern w:val="0"/>
          <w:sz w:val="26"/>
          <w:szCs w:val="26"/>
          <w14:ligatures w14:val="none"/>
        </w:rPr>
        <w:t xml:space="preserve">• </w:t>
      </w:r>
      <w:r w:rsidRPr="00383C3C">
        <w:rPr>
          <w:rFonts w:ascii="宋体" w:eastAsia="宋体" w:hAnsi="宋体" w:cs="宋体" w:hint="eastAsia"/>
          <w:iCs w:val="0"/>
          <w:color w:val="auto"/>
          <w:kern w:val="0"/>
          <w:sz w:val="26"/>
          <w:szCs w:val="26"/>
          <w14:ligatures w14:val="none"/>
        </w:rPr>
        <w:t>Anis Jarboui</w:t>
      </w:r>
      <w:r>
        <w:rPr>
          <w:rFonts w:ascii="宋体" w:eastAsia="宋体" w:hAnsi="宋体" w:cs="宋体" w:hint="eastAsia"/>
          <w:iCs w:val="0"/>
          <w:color w:val="auto"/>
          <w:kern w:val="0"/>
          <w:sz w:val="26"/>
          <w:szCs w:val="26"/>
          <w14:ligatures w14:val="none"/>
        </w:rPr>
        <w:t>：</w:t>
      </w:r>
      <w:r w:rsidRPr="00383C3C">
        <w:rPr>
          <w:rFonts w:ascii="宋体" w:eastAsia="宋体" w:hAnsi="宋体" w:cs="宋体" w:hint="eastAsia"/>
          <w:iCs w:val="0"/>
          <w:color w:val="auto"/>
          <w:kern w:val="0"/>
          <w:sz w:val="26"/>
          <w:szCs w:val="26"/>
          <w14:ligatures w14:val="none"/>
        </w:rPr>
        <w:t>任教于突尼斯斯法克斯大学商学院，获法国尼斯索菲亚-安提波利斯大学金融学博士学位（2004）及博士生导师资格（HDR，2008）。曾担任该院院长（2011–2017），在国际期刊发表学术论文逾百篇，主要聚焦公司金融与行为金融研究。</w:t>
      </w:r>
    </w:p>
    <w:p w14:paraId="3C41687F"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040F9A6C">
          <v:rect id="_x0000_i1027" style="width:0;height:1.5pt" o:hralign="center" o:hrstd="t" o:hr="t" fillcolor="#a0a0a0" stroked="f"/>
        </w:pict>
      </w:r>
    </w:p>
    <w:p w14:paraId="34529CCA" w14:textId="77777777" w:rsidR="00FE33C0" w:rsidRPr="00FE33C0" w:rsidRDefault="00FE33C0" w:rsidP="00FE33C0">
      <w:pPr>
        <w:widowControl/>
        <w:spacing w:before="36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研究问题</w:t>
      </w:r>
    </w:p>
    <w:p w14:paraId="197CEADD" w14:textId="7151E066" w:rsidR="00462E29" w:rsidRPr="00462E29" w:rsidRDefault="00EA5C8E" w:rsidP="00EA5C8E">
      <w:pPr>
        <w:widowControl/>
        <w:spacing w:before="240" w:after="120"/>
        <w:rPr>
          <w:rFonts w:ascii="宋体" w:eastAsia="宋体" w:hAnsi="宋体" w:cs="宋体"/>
          <w:iCs w:val="0"/>
          <w:color w:val="auto"/>
          <w:kern w:val="0"/>
          <w:sz w:val="26"/>
          <w:szCs w:val="26"/>
          <w14:ligatures w14:val="none"/>
        </w:rPr>
      </w:pPr>
      <w:r w:rsidRPr="00EA5C8E">
        <w:rPr>
          <w:rFonts w:ascii="宋体" w:eastAsia="宋体" w:hAnsi="宋体" w:cs="宋体" w:hint="eastAsia"/>
          <w:iCs w:val="0"/>
          <w:color w:val="auto"/>
          <w:kern w:val="0"/>
          <w:sz w:val="26"/>
          <w:szCs w:val="26"/>
          <w14:ligatures w14:val="none"/>
        </w:rPr>
        <w:t>疫情冲击、地缘冲突与气候风险迭加，迫使投资者重新衡量“避险”与“责任”之间的权衡。传统黄金及黄金支持的加密代币（PaxGold）提供了资产保值的直觉路径，而</w:t>
      </w:r>
      <w:r w:rsidR="00087EB6" w:rsidRPr="00087EB6">
        <w:rPr>
          <w:rFonts w:ascii="宋体" w:eastAsia="宋体" w:hAnsi="宋体" w:cs="宋体" w:hint="eastAsia"/>
          <w:iCs w:val="0"/>
          <w:color w:val="auto"/>
          <w:kern w:val="0"/>
          <w:sz w:val="26"/>
          <w:szCs w:val="26"/>
          <w14:ligatures w14:val="none"/>
        </w:rPr>
        <w:t>伊斯兰</w:t>
      </w:r>
      <w:r w:rsidRPr="00EA5C8E">
        <w:rPr>
          <w:rFonts w:ascii="宋体" w:eastAsia="宋体" w:hAnsi="宋体" w:cs="宋体" w:hint="eastAsia"/>
          <w:iCs w:val="0"/>
          <w:color w:val="auto"/>
          <w:kern w:val="0"/>
          <w:sz w:val="26"/>
          <w:szCs w:val="26"/>
          <w14:ligatures w14:val="none"/>
        </w:rPr>
        <w:t>合规的黄金背书币（HelloGold 与 X8X）则在去利息、反投机的伦理框架下尝试连接实体稀缺性与区块链效率。作者</w:t>
      </w:r>
      <w:r w:rsidR="00087EB6">
        <w:rPr>
          <w:rFonts w:ascii="宋体" w:eastAsia="宋体" w:hAnsi="宋体" w:cs="宋体" w:hint="eastAsia"/>
          <w:iCs w:val="0"/>
          <w:color w:val="auto"/>
          <w:kern w:val="0"/>
          <w:sz w:val="26"/>
          <w:szCs w:val="26"/>
          <w14:ligatures w14:val="none"/>
        </w:rPr>
        <w:t>因此</w:t>
      </w:r>
      <w:r w:rsidRPr="00EA5C8E">
        <w:rPr>
          <w:rFonts w:ascii="宋体" w:eastAsia="宋体" w:hAnsi="宋体" w:cs="宋体" w:hint="eastAsia"/>
          <w:iCs w:val="0"/>
          <w:color w:val="auto"/>
          <w:kern w:val="0"/>
          <w:sz w:val="26"/>
          <w:szCs w:val="26"/>
          <w14:ligatures w14:val="none"/>
        </w:rPr>
        <w:t>提出核心疑问：</w:t>
      </w:r>
      <w:r w:rsidRPr="00EA5C8E">
        <w:rPr>
          <w:rFonts w:ascii="宋体" w:eastAsia="宋体" w:hAnsi="宋体" w:cs="宋体" w:hint="eastAsia"/>
          <w:iCs w:val="0"/>
          <w:color w:val="0070C0"/>
          <w:kern w:val="0"/>
          <w:sz w:val="26"/>
          <w:szCs w:val="26"/>
          <w14:ligatures w14:val="none"/>
        </w:rPr>
        <w:t>伊斯兰黄金背书币是否真能在高波动期吸收风险，并由此成为可持续金融组合的缓冲层？</w:t>
      </w:r>
    </w:p>
    <w:p w14:paraId="5AA18658"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59D933A4">
          <v:rect id="_x0000_i1028" style="width:0;height:1.5pt" o:hralign="center" o:hrstd="t" o:hr="t" fillcolor="#a0a0a0" stroked="f"/>
        </w:pict>
      </w:r>
    </w:p>
    <w:p w14:paraId="01ABCC58" w14:textId="38D5DB75" w:rsidR="00FE33C0" w:rsidRPr="00FE33C0" w:rsidRDefault="00FE33C0" w:rsidP="00FE33C0">
      <w:pPr>
        <w:widowControl/>
        <w:spacing w:before="36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核心</w:t>
      </w:r>
      <w:r w:rsidR="00EA5C8E">
        <w:rPr>
          <w:rFonts w:ascii="宋体" w:eastAsia="宋体" w:hAnsi="宋体" w:cs="宋体" w:hint="eastAsia"/>
          <w:b/>
          <w:bCs/>
          <w:iCs w:val="0"/>
          <w:color w:val="auto"/>
          <w:kern w:val="0"/>
          <w:sz w:val="26"/>
          <w:szCs w:val="26"/>
          <w14:ligatures w14:val="none"/>
        </w:rPr>
        <w:t>结果</w:t>
      </w:r>
    </w:p>
    <w:p w14:paraId="4032F871" w14:textId="3FFA46C5" w:rsidR="00EA5C8E" w:rsidRDefault="00EA5C8E" w:rsidP="00EA5C8E">
      <w:pPr>
        <w:widowControl/>
        <w:spacing w:before="100" w:beforeAutospacing="1" w:after="120"/>
        <w:rPr>
          <w:rFonts w:ascii="宋体" w:eastAsia="宋体" w:hAnsi="宋体" w:cs="宋体"/>
          <w:iCs w:val="0"/>
          <w:color w:val="auto"/>
          <w:kern w:val="0"/>
          <w:sz w:val="26"/>
          <w:szCs w:val="26"/>
          <w14:ligatures w14:val="none"/>
        </w:rPr>
      </w:pPr>
      <w:r>
        <w:rPr>
          <w:rFonts w:ascii="宋体" w:eastAsia="宋体" w:hAnsi="宋体" w:cs="宋体" w:hint="eastAsia"/>
          <w:iCs w:val="0"/>
          <w:color w:val="auto"/>
          <w:kern w:val="0"/>
          <w:sz w:val="26"/>
          <w:szCs w:val="26"/>
          <w14:ligatures w14:val="none"/>
        </w:rPr>
        <w:t>首先，</w:t>
      </w:r>
      <w:r w:rsidRPr="00EA5C8E">
        <w:rPr>
          <w:rFonts w:ascii="宋体" w:eastAsia="宋体" w:hAnsi="宋体" w:cs="宋体" w:hint="eastAsia"/>
          <w:iCs w:val="0"/>
          <w:color w:val="auto"/>
          <w:kern w:val="0"/>
          <w:sz w:val="26"/>
          <w:szCs w:val="26"/>
          <w14:ligatures w14:val="none"/>
        </w:rPr>
        <w:t>整体样本</w:t>
      </w:r>
      <w:r w:rsidR="00087EB6">
        <w:rPr>
          <w:rFonts w:ascii="宋体" w:eastAsia="宋体" w:hAnsi="宋体" w:cs="宋体" w:hint="eastAsia"/>
          <w:iCs w:val="0"/>
          <w:color w:val="auto"/>
          <w:kern w:val="0"/>
          <w:sz w:val="26"/>
          <w:szCs w:val="26"/>
          <w14:ligatures w14:val="none"/>
        </w:rPr>
        <w:t>的</w:t>
      </w:r>
      <w:r w:rsidR="00087EB6" w:rsidRPr="00087EB6">
        <w:rPr>
          <w:rFonts w:ascii="宋体" w:eastAsia="宋体" w:hAnsi="宋体" w:cs="宋体" w:hint="eastAsia"/>
          <w:iCs w:val="0"/>
          <w:color w:val="3E3E3E"/>
          <w:kern w:val="0"/>
          <w:sz w:val="26"/>
          <w:szCs w:val="26"/>
          <w14:ligatures w14:val="none"/>
        </w:rPr>
        <w:t>平均联动指数（TACI）</w:t>
      </w:r>
      <w:r w:rsidRPr="00EA5C8E">
        <w:rPr>
          <w:rFonts w:ascii="宋体" w:eastAsia="宋体" w:hAnsi="宋体" w:cs="宋体" w:hint="eastAsia"/>
          <w:iCs w:val="0"/>
          <w:color w:val="auto"/>
          <w:kern w:val="0"/>
          <w:sz w:val="26"/>
          <w:szCs w:val="26"/>
          <w14:ligatures w14:val="none"/>
        </w:rPr>
        <w:t>为 15.30 %，意味着平均约一成半的误差方差来自跨资产冲击，其余源自各自市场内生波动。进一步分解</w:t>
      </w:r>
      <w:r w:rsidRPr="00EA5C8E">
        <w:rPr>
          <w:rFonts w:ascii="宋体" w:eastAsia="宋体" w:hAnsi="宋体" w:cs="宋体" w:hint="eastAsia"/>
          <w:iCs w:val="0"/>
          <w:color w:val="auto"/>
          <w:kern w:val="0"/>
          <w:sz w:val="26"/>
          <w:szCs w:val="26"/>
          <w14:ligatures w14:val="none"/>
        </w:rPr>
        <w:lastRenderedPageBreak/>
        <w:t>显示，短期传导贡献 12.75 %，长期仅 2.55 %，确证风险溢出以周度内迅速扩散为主</w:t>
      </w:r>
      <w:r>
        <w:rPr>
          <w:rFonts w:ascii="宋体" w:eastAsia="宋体" w:hAnsi="宋体" w:cs="宋体" w:hint="eastAsia"/>
          <w:iCs w:val="0"/>
          <w:color w:val="auto"/>
          <w:kern w:val="0"/>
          <w:sz w:val="26"/>
          <w:szCs w:val="26"/>
          <w14:ligatures w14:val="none"/>
        </w:rPr>
        <w:t>。</w:t>
      </w:r>
    </w:p>
    <w:p w14:paraId="1146901B" w14:textId="7970CCD8" w:rsidR="00EA5C8E" w:rsidRPr="00EA5C8E" w:rsidRDefault="00087EB6" w:rsidP="00EA5C8E">
      <w:pPr>
        <w:widowControl/>
        <w:spacing w:before="100" w:beforeAutospacing="1" w:after="120"/>
        <w:rPr>
          <w:rFonts w:ascii="宋体" w:eastAsia="宋体" w:hAnsi="宋体" w:cs="宋体"/>
          <w:iCs w:val="0"/>
          <w:color w:val="auto"/>
          <w:kern w:val="0"/>
          <w:sz w:val="26"/>
          <w:szCs w:val="26"/>
          <w14:ligatures w14:val="none"/>
        </w:rPr>
      </w:pPr>
      <w:r>
        <w:rPr>
          <w:rFonts w:ascii="宋体" w:eastAsia="宋体" w:hAnsi="宋体" w:cs="宋体" w:hint="eastAsia"/>
          <w:iCs w:val="0"/>
          <w:color w:val="auto"/>
          <w:kern w:val="0"/>
          <w:sz w:val="26"/>
          <w:szCs w:val="26"/>
          <w14:ligatures w14:val="none"/>
        </w:rPr>
        <w:t>之后的</w:t>
      </w:r>
      <w:r w:rsidR="00EA5C8E" w:rsidRPr="00EA5C8E">
        <w:rPr>
          <w:rFonts w:ascii="宋体" w:eastAsia="宋体" w:hAnsi="宋体" w:cs="宋体" w:hint="eastAsia"/>
          <w:iCs w:val="0"/>
          <w:color w:val="auto"/>
          <w:kern w:val="0"/>
          <w:sz w:val="26"/>
          <w:szCs w:val="26"/>
          <w14:ligatures w14:val="none"/>
        </w:rPr>
        <w:t>方向性结果揭示</w:t>
      </w:r>
      <w:r>
        <w:rPr>
          <w:rFonts w:ascii="宋体" w:eastAsia="宋体" w:hAnsi="宋体" w:cs="宋体" w:hint="eastAsia"/>
          <w:iCs w:val="0"/>
          <w:color w:val="auto"/>
          <w:kern w:val="0"/>
          <w:sz w:val="26"/>
          <w:szCs w:val="26"/>
          <w14:ligatures w14:val="none"/>
        </w:rPr>
        <w:t>比特币</w:t>
      </w:r>
      <w:r w:rsidRPr="00EA5C8E">
        <w:rPr>
          <w:rFonts w:ascii="宋体" w:eastAsia="宋体" w:hAnsi="宋体" w:cs="宋体" w:hint="eastAsia"/>
          <w:iCs w:val="0"/>
          <w:color w:val="auto"/>
          <w:kern w:val="0"/>
          <w:sz w:val="26"/>
          <w:szCs w:val="26"/>
          <w14:ligatures w14:val="none"/>
        </w:rPr>
        <w:t>（</w:t>
      </w:r>
      <w:r w:rsidR="00EA5C8E" w:rsidRPr="00EA5C8E">
        <w:rPr>
          <w:rFonts w:ascii="宋体" w:eastAsia="宋体" w:hAnsi="宋体" w:cs="宋体" w:hint="eastAsia"/>
          <w:iCs w:val="0"/>
          <w:color w:val="auto"/>
          <w:kern w:val="0"/>
          <w:sz w:val="26"/>
          <w:szCs w:val="26"/>
          <w14:ligatures w14:val="none"/>
        </w:rPr>
        <w:t>BTC</w:t>
      </w:r>
      <w:r w:rsidRPr="00EA5C8E">
        <w:rPr>
          <w:rFonts w:ascii="宋体" w:eastAsia="宋体" w:hAnsi="宋体" w:cs="宋体" w:hint="eastAsia"/>
          <w:iCs w:val="0"/>
          <w:color w:val="auto"/>
          <w:kern w:val="0"/>
          <w:sz w:val="26"/>
          <w:szCs w:val="26"/>
          <w14:ligatures w14:val="none"/>
        </w:rPr>
        <w:t>）</w:t>
      </w:r>
      <w:r w:rsidR="00EA5C8E" w:rsidRPr="00EA5C8E">
        <w:rPr>
          <w:rFonts w:ascii="宋体" w:eastAsia="宋体" w:hAnsi="宋体" w:cs="宋体" w:hint="eastAsia"/>
          <w:iCs w:val="0"/>
          <w:color w:val="auto"/>
          <w:kern w:val="0"/>
          <w:sz w:val="26"/>
          <w:szCs w:val="26"/>
          <w14:ligatures w14:val="none"/>
        </w:rPr>
        <w:t>与 HelloGold 是主要的“净输出端”，短期净传导分别达到 14.12 % 与 3.74 %；相对地，X8X 与 PaxGold 在同一窗口成为显著“净接收端”（-13.87 %、-4.00 %</w:t>
      </w:r>
      <w:r w:rsidRPr="00EA5C8E">
        <w:rPr>
          <w:rFonts w:ascii="宋体" w:eastAsia="宋体" w:hAnsi="宋体" w:cs="宋体" w:hint="eastAsia"/>
          <w:iCs w:val="0"/>
          <w:color w:val="auto"/>
          <w:kern w:val="0"/>
          <w:sz w:val="26"/>
          <w:szCs w:val="26"/>
          <w14:ligatures w14:val="none"/>
        </w:rPr>
        <w:t>）</w:t>
      </w:r>
      <w:r w:rsidR="00EA5C8E" w:rsidRPr="00EA5C8E">
        <w:rPr>
          <w:rFonts w:ascii="宋体" w:eastAsia="宋体" w:hAnsi="宋体" w:cs="宋体" w:hint="eastAsia"/>
          <w:iCs w:val="0"/>
          <w:color w:val="auto"/>
          <w:kern w:val="0"/>
          <w:sz w:val="26"/>
          <w:szCs w:val="26"/>
          <w14:ligatures w14:val="none"/>
        </w:rPr>
        <w:t>，显示伊斯兰黄金背书币对外部冲击具有吸收效应</w:t>
      </w:r>
      <w:r w:rsidR="00EA5C8E">
        <w:rPr>
          <w:rFonts w:ascii="宋体" w:eastAsia="宋体" w:hAnsi="宋体" w:cs="宋体" w:hint="eastAsia"/>
          <w:iCs w:val="0"/>
          <w:color w:val="auto"/>
          <w:kern w:val="0"/>
          <w:sz w:val="26"/>
          <w:szCs w:val="26"/>
          <w14:ligatures w14:val="none"/>
        </w:rPr>
        <w:t>。</w:t>
      </w:r>
      <w:r w:rsidR="00EA5C8E" w:rsidRPr="00EA5C8E">
        <w:rPr>
          <w:rFonts w:ascii="宋体" w:eastAsia="宋体" w:hAnsi="宋体" w:cs="宋体" w:hint="eastAsia"/>
          <w:iCs w:val="0"/>
          <w:color w:val="auto"/>
          <w:kern w:val="0"/>
          <w:sz w:val="26"/>
          <w:szCs w:val="26"/>
          <w14:ligatures w14:val="none"/>
        </w:rPr>
        <w:t>动态演化曲线在 2020 年 3 月（疫情恐慌）与 2022 年 2 月（俄乌冲突）出现“双峰”抬升，且低频带主导波动，表明宏观与政策不确定性长期地改变市场预期结构。</w:t>
      </w:r>
    </w:p>
    <w:p w14:paraId="36CAEE70" w14:textId="422152AA" w:rsidR="00FE33C0" w:rsidRPr="00315855" w:rsidRDefault="00087EB6" w:rsidP="00EA5C8E">
      <w:pPr>
        <w:widowControl/>
        <w:spacing w:before="100" w:beforeAutospacing="1" w:after="120"/>
        <w:rPr>
          <w:rFonts w:ascii="宋体" w:eastAsia="宋体" w:hAnsi="宋体" w:cs="宋体"/>
          <w:iCs w:val="0"/>
          <w:color w:val="auto"/>
          <w:kern w:val="0"/>
          <w:sz w:val="26"/>
          <w:szCs w:val="26"/>
          <w14:ligatures w14:val="none"/>
        </w:rPr>
      </w:pPr>
      <w:r>
        <w:rPr>
          <w:rFonts w:ascii="宋体" w:eastAsia="宋体" w:hAnsi="宋体" w:cs="宋体" w:hint="eastAsia"/>
          <w:iCs w:val="0"/>
          <w:color w:val="auto"/>
          <w:kern w:val="0"/>
          <w:sz w:val="26"/>
          <w:szCs w:val="26"/>
          <w14:ligatures w14:val="none"/>
        </w:rPr>
        <w:t>此外，作者通过</w:t>
      </w:r>
      <w:r w:rsidR="00EA5C8E" w:rsidRPr="00EA5C8E">
        <w:rPr>
          <w:rFonts w:ascii="宋体" w:eastAsia="宋体" w:hAnsi="宋体" w:cs="宋体" w:hint="eastAsia"/>
          <w:iCs w:val="0"/>
          <w:color w:val="auto"/>
          <w:kern w:val="0"/>
          <w:sz w:val="26"/>
          <w:szCs w:val="26"/>
          <w14:ligatures w14:val="none"/>
        </w:rPr>
        <w:t>QVAR 对照显示</w:t>
      </w:r>
      <w:r>
        <w:rPr>
          <w:rFonts w:ascii="宋体" w:eastAsia="宋体" w:hAnsi="宋体" w:cs="宋体" w:hint="eastAsia"/>
          <w:iCs w:val="0"/>
          <w:color w:val="auto"/>
          <w:kern w:val="0"/>
          <w:sz w:val="26"/>
          <w:szCs w:val="26"/>
          <w14:ligatures w14:val="none"/>
        </w:rPr>
        <w:t>说明</w:t>
      </w:r>
      <w:r w:rsidRPr="00EA5C8E">
        <w:rPr>
          <w:rFonts w:ascii="宋体" w:eastAsia="宋体" w:hAnsi="宋体" w:cs="宋体" w:hint="eastAsia"/>
          <w:iCs w:val="0"/>
          <w:color w:val="auto"/>
          <w:kern w:val="0"/>
          <w:sz w:val="26"/>
          <w:szCs w:val="26"/>
          <w14:ligatures w14:val="none"/>
        </w:rPr>
        <w:t>BTC</w:t>
      </w:r>
      <w:r w:rsidR="00EA5C8E" w:rsidRPr="00EA5C8E">
        <w:rPr>
          <w:rFonts w:ascii="宋体" w:eastAsia="宋体" w:hAnsi="宋体" w:cs="宋体" w:hint="eastAsia"/>
          <w:iCs w:val="0"/>
          <w:color w:val="auto"/>
          <w:kern w:val="0"/>
          <w:sz w:val="26"/>
          <w:szCs w:val="26"/>
          <w14:ligatures w14:val="none"/>
        </w:rPr>
        <w:t>与 HelloGold 对 X8X、PaxGold 的冲击在高分位区间依旧显著，而低分位偏弱，进一步确认“黄金背书—吸收”逻辑在市场极端应激时更加明显</w:t>
      </w:r>
      <w:r w:rsidR="00315855" w:rsidRPr="00315855">
        <w:rPr>
          <w:rFonts w:ascii="宋体" w:eastAsia="宋体" w:hAnsi="宋体" w:cs="宋体" w:hint="eastAsia"/>
          <w:iCs w:val="0"/>
          <w:color w:val="auto"/>
          <w:kern w:val="0"/>
          <w:sz w:val="26"/>
          <w:szCs w:val="26"/>
          <w14:ligatures w14:val="none"/>
        </w:rPr>
        <w:t>。</w:t>
      </w:r>
    </w:p>
    <w:p w14:paraId="222A0773" w14:textId="77777777" w:rsidR="00FE33C0" w:rsidRPr="00FE33C0" w:rsidRDefault="00FE33C0" w:rsidP="00FE33C0">
      <w:pPr>
        <w:widowControl/>
        <w:spacing w:before="240" w:after="240"/>
        <w:jc w:val="center"/>
        <w:rPr>
          <w:rFonts w:ascii="宋体" w:eastAsia="宋体" w:hAnsi="宋体" w:cs="宋体"/>
          <w:iCs w:val="0"/>
          <w:color w:val="auto"/>
          <w:kern w:val="0"/>
          <w14:ligatures w14:val="none"/>
        </w:rPr>
      </w:pPr>
      <w:r w:rsidRPr="00FE33C0">
        <w:rPr>
          <w:rFonts w:ascii="宋体" w:eastAsia="宋体" w:hAnsi="宋体" w:cs="宋体"/>
          <w:b/>
          <w:bCs/>
          <w:iCs w:val="0"/>
          <w:color w:val="auto"/>
          <w:kern w:val="0"/>
          <w:sz w:val="26"/>
          <w:szCs w:val="26"/>
          <w14:ligatures w14:val="none"/>
        </w:rPr>
        <w:t>方法简介</w:t>
      </w:r>
    </w:p>
    <w:p w14:paraId="144C6996" w14:textId="7BB923C1" w:rsidR="00315855" w:rsidRDefault="00087EB6" w:rsidP="00087EB6">
      <w:pPr>
        <w:widowControl/>
        <w:spacing w:before="240" w:after="120"/>
        <w:rPr>
          <w:rFonts w:ascii="宋体" w:eastAsia="宋体" w:hAnsi="宋体" w:cs="宋体"/>
          <w:iCs w:val="0"/>
          <w:color w:val="3E3E3E"/>
          <w:kern w:val="0"/>
          <w:sz w:val="26"/>
          <w:szCs w:val="26"/>
          <w14:ligatures w14:val="none"/>
        </w:rPr>
      </w:pPr>
      <w:r w:rsidRPr="00087EB6">
        <w:rPr>
          <w:rFonts w:ascii="宋体" w:eastAsia="宋体" w:hAnsi="宋体" w:cs="宋体" w:hint="eastAsia"/>
          <w:iCs w:val="0"/>
          <w:color w:val="3E3E3E"/>
          <w:kern w:val="0"/>
          <w:sz w:val="26"/>
          <w:szCs w:val="26"/>
          <w14:ligatures w14:val="none"/>
        </w:rPr>
        <w:t>本文运用 时变参数向量自回归—频域连接度模型（TVP-VAR-F） 处理 2019 年 12 月 31 日至 2023 年 7 月 31 日四种加密资产（Bitcoin、PaxGold、HelloGold、X8X）的日对数收益，以同时捕捉时间路径与频率结构中的波动传导。相较传统滚动窗口 VAR，TVP-VAR-F 避免了窗口宽度任意设定与样本截断问题，并可在同一框架下将波动溢出拆解为短期（1–5 日）与长期（≥ 5 日）成分，进而通过一般化误差方差分解（GFEVD）计算各类方向性联动指标 。作者先对原序列做 Elliott-Rothenberg-Stock 单根检验及描述性统计以确认平稳性与厚尾特征，随后在 TVP-VAR-F 框</w:t>
      </w:r>
      <w:r w:rsidRPr="00087EB6">
        <w:rPr>
          <w:rFonts w:ascii="宋体" w:eastAsia="宋体" w:hAnsi="宋体" w:cs="宋体" w:hint="eastAsia"/>
          <w:iCs w:val="0"/>
          <w:color w:val="3E3E3E"/>
          <w:kern w:val="0"/>
          <w:sz w:val="26"/>
          <w:szCs w:val="26"/>
          <w14:ligatures w14:val="none"/>
        </w:rPr>
        <w:lastRenderedPageBreak/>
        <w:t xml:space="preserve">架内绘制总平均联动指数与动态净传导曲线，用以揭示疫情与俄乌冲突期间的“双峰”风险攀升。为排除极端值干扰，研究再引入分位数 VAR（QVAR） 对关键结果进行稳健性检验，验证比特币与 HelloGold 在高分位区间仍为净冲击输出端，而 X8X 与 PaxGold 保持吸收特性 </w:t>
      </w:r>
      <w:r w:rsidR="00315855" w:rsidRPr="00315855">
        <w:rPr>
          <w:rFonts w:ascii="宋体" w:eastAsia="宋体" w:hAnsi="宋体" w:cs="宋体" w:hint="eastAsia"/>
          <w:iCs w:val="0"/>
          <w:color w:val="3E3E3E"/>
          <w:kern w:val="0"/>
          <w:sz w:val="26"/>
          <w:szCs w:val="26"/>
          <w14:ligatures w14:val="none"/>
        </w:rPr>
        <w:t>。</w:t>
      </w:r>
    </w:p>
    <w:p w14:paraId="00675265" w14:textId="5F2DE77E" w:rsidR="00315855" w:rsidRDefault="00315855" w:rsidP="00FE33C0">
      <w:pPr>
        <w:widowControl/>
        <w:spacing w:before="240" w:after="120"/>
        <w:rPr>
          <w:rFonts w:ascii="宋体" w:eastAsia="宋体" w:hAnsi="宋体" w:cs="宋体"/>
          <w:iCs w:val="0"/>
          <w:color w:val="3E3E3E"/>
          <w:kern w:val="0"/>
          <w:sz w:val="26"/>
          <w:szCs w:val="26"/>
          <w14:ligatures w14:val="none"/>
        </w:rPr>
      </w:pPr>
      <w:r w:rsidRPr="00315855">
        <w:rPr>
          <w:rFonts w:ascii="宋体" w:eastAsia="宋体" w:hAnsi="宋体" w:cs="宋体" w:hint="eastAsia"/>
          <w:iCs w:val="0"/>
          <w:color w:val="3E3E3E"/>
          <w:kern w:val="0"/>
          <w:sz w:val="26"/>
          <w:szCs w:val="26"/>
          <w14:ligatures w14:val="none"/>
        </w:rPr>
        <w:t>在方法上</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文章采用多重回归策略验证机制路径。首先</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运用三步法</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Wen et al., 2004</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验证TFP的中介效应。其次</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在ESG与公司价值回归中引入交互项ESG</w:t>
      </w:r>
      <w:r w:rsidR="00D34E30">
        <w:rPr>
          <w:rFonts w:ascii="宋体" w:eastAsia="宋体" w:hAnsi="宋体" w:cs="宋体" w:hint="eastAsia"/>
          <w:iCs w:val="0"/>
          <w:color w:val="3E3E3E"/>
          <w:kern w:val="0"/>
          <w:sz w:val="26"/>
          <w:szCs w:val="26"/>
          <w14:ligatures w14:val="none"/>
        </w:rPr>
        <w:t>*</w:t>
      </w:r>
      <w:r w:rsidRPr="00315855">
        <w:rPr>
          <w:rFonts w:ascii="宋体" w:eastAsia="宋体" w:hAnsi="宋体" w:cs="宋体" w:hint="eastAsia"/>
          <w:iCs w:val="0"/>
          <w:color w:val="3E3E3E"/>
          <w:kern w:val="0"/>
          <w:sz w:val="26"/>
          <w:szCs w:val="26"/>
          <w14:ligatures w14:val="none"/>
        </w:rPr>
        <w:t>研发投入检验调节效应。第三</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采用调节的中介模型系统考察研发投入是否影响TFP的中介路径强度。此外</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研究还通过变量替换</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如使用MV替代Tobin</w:t>
      </w:r>
      <w:r w:rsidR="00D34E30">
        <w:rPr>
          <w:rFonts w:ascii="宋体" w:eastAsia="宋体" w:hAnsi="宋体" w:cs="宋体"/>
          <w:iCs w:val="0"/>
          <w:color w:val="3E3E3E"/>
          <w:kern w:val="0"/>
          <w:sz w:val="26"/>
          <w:szCs w:val="26"/>
          <w14:ligatures w14:val="none"/>
        </w:rPr>
        <w:t>’</w:t>
      </w:r>
      <w:r w:rsidRPr="00315855">
        <w:rPr>
          <w:rFonts w:ascii="宋体" w:eastAsia="宋体" w:hAnsi="宋体" w:cs="宋体" w:hint="eastAsia"/>
          <w:iCs w:val="0"/>
          <w:color w:val="3E3E3E"/>
          <w:kern w:val="0"/>
          <w:sz w:val="26"/>
          <w:szCs w:val="26"/>
          <w14:ligatures w14:val="none"/>
        </w:rPr>
        <w:t>s Q、OLS替代LP法测量TFP</w:t>
      </w:r>
      <w:r w:rsidR="00D34E30">
        <w:rPr>
          <w:rFonts w:ascii="宋体" w:eastAsia="宋体" w:hAnsi="宋体" w:cs="宋体" w:hint="eastAsia"/>
          <w:iCs w:val="0"/>
          <w:color w:val="3E3E3E"/>
          <w:kern w:val="0"/>
          <w:sz w:val="26"/>
          <w:szCs w:val="26"/>
          <w14:ligatures w14:val="none"/>
        </w:rPr>
        <w:t>)、</w:t>
      </w:r>
      <w:r w:rsidRPr="00315855">
        <w:rPr>
          <w:rFonts w:ascii="宋体" w:eastAsia="宋体" w:hAnsi="宋体" w:cs="宋体" w:hint="eastAsia"/>
          <w:iCs w:val="0"/>
          <w:color w:val="3E3E3E"/>
          <w:kern w:val="0"/>
          <w:sz w:val="26"/>
          <w:szCs w:val="26"/>
          <w14:ligatures w14:val="none"/>
        </w:rPr>
        <w:t>滞后变量回归与工具变量法</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以行业平均ESG作为工具变量</w:t>
      </w:r>
      <w:r w:rsidR="00D34E30">
        <w:rPr>
          <w:rFonts w:ascii="宋体" w:eastAsia="宋体" w:hAnsi="宋体" w:cs="宋体" w:hint="eastAsia"/>
          <w:iCs w:val="0"/>
          <w:color w:val="3E3E3E"/>
          <w:kern w:val="0"/>
          <w:sz w:val="26"/>
          <w:szCs w:val="26"/>
          <w14:ligatures w14:val="none"/>
        </w:rPr>
        <w:t xml:space="preserve">) </w:t>
      </w:r>
      <w:r w:rsidRPr="00315855">
        <w:rPr>
          <w:rFonts w:ascii="宋体" w:eastAsia="宋体" w:hAnsi="宋体" w:cs="宋体" w:hint="eastAsia"/>
          <w:iCs w:val="0"/>
          <w:color w:val="3E3E3E"/>
          <w:kern w:val="0"/>
          <w:sz w:val="26"/>
          <w:szCs w:val="26"/>
          <w14:ligatures w14:val="none"/>
        </w:rPr>
        <w:t>开展稳健性与内生性检验。</w:t>
      </w:r>
    </w:p>
    <w:p w14:paraId="52EB5D78"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28FF319B">
          <v:rect id="_x0000_i1029" style="width:0;height:1.5pt" o:hralign="center" o:hrstd="t" o:hr="t" fillcolor="#a0a0a0" stroked="f"/>
        </w:pict>
      </w:r>
    </w:p>
    <w:p w14:paraId="2A6DA088" w14:textId="77777777" w:rsidR="00FE33C0" w:rsidRPr="00FE33C0" w:rsidRDefault="00FE33C0" w:rsidP="00FE33C0">
      <w:pPr>
        <w:widowControl/>
        <w:spacing w:before="360" w:after="240"/>
        <w:jc w:val="center"/>
        <w:rPr>
          <w:rFonts w:ascii="宋体" w:eastAsia="宋体" w:hAnsi="宋体" w:cs="宋体"/>
          <w:iCs w:val="0"/>
          <w:color w:val="3E3E3E"/>
          <w:kern w:val="0"/>
          <w14:ligatures w14:val="none"/>
        </w:rPr>
      </w:pPr>
      <w:r w:rsidRPr="00FE33C0">
        <w:rPr>
          <w:rFonts w:ascii="Microsoft YaHei UI" w:eastAsia="Microsoft YaHei UI" w:hAnsi="Microsoft YaHei UI" w:cs="宋体" w:hint="eastAsia"/>
          <w:b/>
          <w:bCs/>
          <w:iCs w:val="0"/>
          <w:color w:val="3E3E3E"/>
          <w:spacing w:val="9"/>
          <w:kern w:val="0"/>
          <w:sz w:val="26"/>
          <w:szCs w:val="26"/>
          <w14:ligatures w14:val="none"/>
        </w:rPr>
        <w:t>文章贡献</w:t>
      </w:r>
    </w:p>
    <w:p w14:paraId="0C44642A" w14:textId="77777777" w:rsidR="00087EB6" w:rsidRDefault="00087EB6" w:rsidP="00087EB6">
      <w:pPr>
        <w:widowControl/>
        <w:spacing w:before="240" w:after="120"/>
        <w:rPr>
          <w:rFonts w:ascii="宋体" w:eastAsia="宋体" w:hAnsi="宋体" w:cs="宋体"/>
          <w:iCs w:val="0"/>
          <w:color w:val="3E3E3E"/>
          <w:kern w:val="0"/>
          <w:sz w:val="26"/>
          <w:szCs w:val="26"/>
          <w14:ligatures w14:val="none"/>
        </w:rPr>
      </w:pPr>
      <w:r w:rsidRPr="00087EB6">
        <w:rPr>
          <w:rFonts w:ascii="宋体" w:eastAsia="宋体" w:hAnsi="宋体" w:cs="宋体" w:hint="eastAsia"/>
          <w:iCs w:val="0"/>
          <w:color w:val="3E3E3E"/>
          <w:kern w:val="0"/>
          <w:sz w:val="26"/>
          <w:szCs w:val="26"/>
          <w14:ligatures w14:val="none"/>
        </w:rPr>
        <w:t>纵观全文，伊斯兰黄金背书加密货币展现出在全球危机时期吸收波动、平滑收益的潜力，其作用介于“数字黄金”与“伦理金融”之间。对希望在可持续金融版图中寻求风险-收益平衡的投资者而言，这类资产提供了兼具道德约束与市场效率的新选项；对监管者与政策制定者而言，它们则提示了在创新速度与系统稳健之间寻找折衷的可能路径。文章以时-频视角勾勒出潜在的“伊斯兰数字资产—可持续发展”桥梁，也为未来学术与实践探索留下了丰富的延展空间。</w:t>
      </w:r>
    </w:p>
    <w:p w14:paraId="3F1115BB" w14:textId="36C35668" w:rsidR="00087EB6" w:rsidRDefault="00D34E30" w:rsidP="00087EB6">
      <w:pPr>
        <w:widowControl/>
        <w:spacing w:before="240" w:after="120"/>
        <w:rPr>
          <w:rFonts w:ascii="宋体" w:eastAsia="宋体" w:hAnsi="宋体" w:cs="宋体"/>
          <w:iCs w:val="0"/>
          <w:color w:val="3E3E3E"/>
          <w:kern w:val="0"/>
          <w:sz w:val="26"/>
          <w:szCs w:val="26"/>
          <w14:ligatures w14:val="none"/>
        </w:rPr>
      </w:pPr>
      <w:r w:rsidRPr="00D34E30">
        <w:rPr>
          <w:rFonts w:ascii="宋体" w:eastAsia="宋体" w:hAnsi="宋体" w:cs="宋体" w:hint="eastAsia"/>
          <w:iCs w:val="0"/>
          <w:color w:val="3E3E3E"/>
          <w:kern w:val="0"/>
          <w:sz w:val="26"/>
          <w:szCs w:val="26"/>
          <w14:ligatures w14:val="none"/>
        </w:rPr>
        <w:t>在</w:t>
      </w:r>
      <w:r w:rsidR="00087EB6">
        <w:rPr>
          <w:rFonts w:ascii="宋体" w:eastAsia="宋体" w:hAnsi="宋体" w:cs="宋体" w:hint="eastAsia"/>
          <w:iCs w:val="0"/>
          <w:color w:val="3E3E3E"/>
          <w:kern w:val="0"/>
          <w:sz w:val="26"/>
          <w:szCs w:val="26"/>
          <w14:ligatures w14:val="none"/>
        </w:rPr>
        <w:t>学术</w:t>
      </w:r>
      <w:r w:rsidRPr="00D34E30">
        <w:rPr>
          <w:rFonts w:ascii="宋体" w:eastAsia="宋体" w:hAnsi="宋体" w:cs="宋体" w:hint="eastAsia"/>
          <w:iCs w:val="0"/>
          <w:color w:val="3E3E3E"/>
          <w:kern w:val="0"/>
          <w:sz w:val="26"/>
          <w:szCs w:val="26"/>
          <w14:ligatures w14:val="none"/>
        </w:rPr>
        <w:t>上</w:t>
      </w:r>
      <w:r>
        <w:rPr>
          <w:rFonts w:ascii="宋体" w:eastAsia="宋体" w:hAnsi="宋体" w:cs="宋体" w:hint="eastAsia"/>
          <w:iCs w:val="0"/>
          <w:color w:val="3E3E3E"/>
          <w:kern w:val="0"/>
          <w:sz w:val="26"/>
          <w:szCs w:val="26"/>
          <w14:ligatures w14:val="none"/>
        </w:rPr>
        <w:t>,</w:t>
      </w:r>
      <w:r w:rsidR="00087EB6">
        <w:rPr>
          <w:rFonts w:ascii="宋体" w:eastAsia="宋体" w:hAnsi="宋体" w:cs="宋体" w:hint="eastAsia"/>
          <w:iCs w:val="0"/>
          <w:color w:val="3E3E3E"/>
          <w:kern w:val="0"/>
          <w:sz w:val="26"/>
          <w:szCs w:val="26"/>
          <w14:ligatures w14:val="none"/>
        </w:rPr>
        <w:t xml:space="preserve"> </w:t>
      </w:r>
      <w:r w:rsidR="00087EB6" w:rsidRPr="00087EB6">
        <w:rPr>
          <w:rFonts w:ascii="宋体" w:eastAsia="宋体" w:hAnsi="宋体" w:cs="宋体" w:hint="eastAsia"/>
          <w:iCs w:val="0"/>
          <w:color w:val="3E3E3E"/>
          <w:kern w:val="0"/>
          <w:sz w:val="26"/>
          <w:szCs w:val="26"/>
          <w14:ligatures w14:val="none"/>
        </w:rPr>
        <w:t>文章将伊斯兰黄金背书加密资产首次纳入 TVP-VAR-F 框架，拓宽了风险溢出研究的资产边界；其发现 BTC 与 HelloGold 共同扮演</w:t>
      </w:r>
      <w:r w:rsidR="00087EB6" w:rsidRPr="00087EB6">
        <w:rPr>
          <w:rFonts w:ascii="宋体" w:eastAsia="宋体" w:hAnsi="宋体" w:cs="宋体" w:hint="eastAsia"/>
          <w:iCs w:val="0"/>
          <w:color w:val="3E3E3E"/>
          <w:kern w:val="0"/>
          <w:sz w:val="26"/>
          <w:szCs w:val="26"/>
          <w14:ligatures w14:val="none"/>
        </w:rPr>
        <w:lastRenderedPageBreak/>
        <w:t>“冲击源”，而 X8X、PaxGold 作为“海绵层”，补足了此前只关注传统加密货币的一元研究格局。从可持续金融视角看，文中论证伊斯兰数字资产通过降低系统性风险，契合“稳健—合规—普惠”的 SDG 内涵，为 ESG 投资组合提供了兼顾伦理与效率的分散路径。</w:t>
      </w:r>
    </w:p>
    <w:p w14:paraId="036279F8" w14:textId="6C2DF3FB" w:rsidR="00FE33C0" w:rsidRPr="00087EB6" w:rsidRDefault="00087EB6" w:rsidP="00D34E30">
      <w:pPr>
        <w:widowControl/>
        <w:spacing w:before="240" w:after="120"/>
        <w:rPr>
          <w:rFonts w:ascii="宋体" w:eastAsia="宋体" w:hAnsi="宋体" w:cs="宋体"/>
          <w:iCs w:val="0"/>
          <w:color w:val="3E3E3E"/>
          <w:kern w:val="0"/>
          <w:sz w:val="26"/>
          <w:szCs w:val="26"/>
          <w14:ligatures w14:val="none"/>
        </w:rPr>
      </w:pPr>
      <w:r w:rsidRPr="00087EB6">
        <w:rPr>
          <w:rFonts w:ascii="宋体" w:eastAsia="宋体" w:hAnsi="宋体" w:cs="宋体" w:hint="eastAsia"/>
          <w:iCs w:val="0"/>
          <w:color w:val="3E3E3E"/>
          <w:kern w:val="0"/>
          <w:sz w:val="26"/>
          <w:szCs w:val="26"/>
          <w14:ligatures w14:val="none"/>
        </w:rPr>
        <w:t>对投资者而言，将 HelloGold 或 X8X 以 5-10 % 权重纳入高波动资产篮子，可在危机期收敛下行尾部并抬升夏普比率；其背书黄金托管与沙里亚合规双重披露为风险补偿提供了信誉基石 。资产管理机构若能在产品说明书中透明展示黄金库存、托管银行及审计报告，将显著提升市场认可度。政策制定者可考虑把黄金背书币纳入本地可持续金融分类（Taxonomy），辅以动态保证金与跨链审计机制，既抑制短线杠杆，又鼓励合规融资</w:t>
      </w:r>
      <w:r w:rsidR="00D34E30" w:rsidRPr="00D34E30">
        <w:rPr>
          <w:rFonts w:ascii="宋体" w:eastAsia="宋体" w:hAnsi="宋体" w:cs="宋体" w:hint="eastAsia"/>
          <w:iCs w:val="0"/>
          <w:color w:val="3E3E3E"/>
          <w:kern w:val="0"/>
          <w:sz w:val="26"/>
          <w:szCs w:val="26"/>
          <w14:ligatures w14:val="none"/>
        </w:rPr>
        <w:t>。</w:t>
      </w:r>
      <w:r w:rsidR="00000000">
        <w:rPr>
          <w:rFonts w:ascii="宋体" w:eastAsia="宋体" w:hAnsi="宋体" w:cs="宋体"/>
          <w:iCs w:val="0"/>
          <w:color w:val="auto"/>
          <w:kern w:val="0"/>
          <w14:ligatures w14:val="none"/>
        </w:rPr>
        <w:pict w14:anchorId="611EE08C">
          <v:rect id="_x0000_i1030" style="width:0;height:1.5pt" o:hralign="center" o:hrstd="t" o:hr="t" fillcolor="#a0a0a0" stroked="f"/>
        </w:pict>
      </w:r>
    </w:p>
    <w:p w14:paraId="73EDD171" w14:textId="77777777" w:rsidR="00FE33C0" w:rsidRPr="00FE33C0" w:rsidRDefault="00FE33C0" w:rsidP="00FE33C0">
      <w:pPr>
        <w:widowControl/>
        <w:spacing w:before="360" w:after="240"/>
        <w:jc w:val="center"/>
        <w:rPr>
          <w:rFonts w:ascii="宋体" w:eastAsia="宋体" w:hAnsi="宋体" w:cs="宋体"/>
          <w:iCs w:val="0"/>
          <w:color w:val="3E3E3E"/>
          <w:kern w:val="0"/>
          <w14:ligatures w14:val="none"/>
        </w:rPr>
      </w:pPr>
      <w:r w:rsidRPr="00FE33C0">
        <w:rPr>
          <w:rFonts w:ascii="Microsoft YaHei UI" w:eastAsia="Microsoft YaHei UI" w:hAnsi="Microsoft YaHei UI" w:cs="宋体" w:hint="eastAsia"/>
          <w:b/>
          <w:bCs/>
          <w:iCs w:val="0"/>
          <w:color w:val="3E3E3E"/>
          <w:spacing w:val="9"/>
          <w:kern w:val="0"/>
          <w:sz w:val="26"/>
          <w:szCs w:val="26"/>
          <w14:ligatures w14:val="none"/>
        </w:rPr>
        <w:t>未来研究</w:t>
      </w:r>
    </w:p>
    <w:p w14:paraId="27BAB158" w14:textId="77777777" w:rsidR="00087EB6" w:rsidRDefault="00087EB6" w:rsidP="00087EB6">
      <w:pPr>
        <w:widowControl/>
        <w:jc w:val="left"/>
        <w:rPr>
          <w:rFonts w:ascii="宋体" w:eastAsia="宋体" w:hAnsi="宋体" w:cs="宋体"/>
          <w:iCs w:val="0"/>
          <w:color w:val="auto"/>
          <w:kern w:val="0"/>
          <w:sz w:val="26"/>
          <w:szCs w:val="26"/>
          <w14:ligatures w14:val="none"/>
        </w:rPr>
      </w:pPr>
      <w:r w:rsidRPr="00087EB6">
        <w:rPr>
          <w:rFonts w:ascii="宋体" w:eastAsia="宋体" w:hAnsi="宋体" w:cs="宋体" w:hint="eastAsia"/>
          <w:iCs w:val="0"/>
          <w:color w:val="auto"/>
          <w:kern w:val="0"/>
          <w:sz w:val="26"/>
          <w:szCs w:val="26"/>
          <w14:ligatures w14:val="none"/>
        </w:rPr>
        <w:t>作者仅选取四种加密资产，未来可扩展至碳信用代币、绿色稳定币等，以检验多资产、多频率下的网络稳健性。此外，链上钱包行为与情绪指标尚未纳入；若能结合微观数据，可揭示投资者异质性与风险溢出之间的交互机制。跨国比较亦是潜在方向：不同沙里亚监管强度是否会扭曲或放大黄金背书币的吸收效应，有待多市场面板验证</w:t>
      </w:r>
      <w:r w:rsidR="00D34E30" w:rsidRPr="00D34E30">
        <w:rPr>
          <w:rFonts w:ascii="宋体" w:eastAsia="宋体" w:hAnsi="宋体" w:cs="宋体" w:hint="eastAsia"/>
          <w:iCs w:val="0"/>
          <w:color w:val="auto"/>
          <w:kern w:val="0"/>
          <w:sz w:val="26"/>
          <w:szCs w:val="26"/>
          <w14:ligatures w14:val="none"/>
        </w:rPr>
        <w:t>。</w:t>
      </w:r>
    </w:p>
    <w:p w14:paraId="04A0D136" w14:textId="10C5BD6E" w:rsidR="00087EB6" w:rsidRDefault="00087EB6" w:rsidP="00087EB6">
      <w:pPr>
        <w:widowControl/>
        <w:jc w:val="left"/>
        <w:rPr>
          <w:rFonts w:ascii="宋体" w:eastAsia="宋体" w:hAnsi="宋体" w:cs="宋体"/>
          <w:iCs w:val="0"/>
          <w:color w:val="auto"/>
          <w:kern w:val="0"/>
          <w:sz w:val="26"/>
          <w:szCs w:val="26"/>
          <w14:ligatures w14:val="none"/>
        </w:rPr>
      </w:pPr>
      <w:r w:rsidRPr="00087EB6">
        <w:rPr>
          <w:rFonts w:ascii="宋体" w:eastAsia="宋体" w:hAnsi="宋体" w:cs="宋体" w:hint="eastAsia"/>
          <w:iCs w:val="0"/>
          <w:color w:val="auto"/>
          <w:kern w:val="0"/>
          <w:sz w:val="26"/>
          <w:szCs w:val="26"/>
          <w14:ligatures w14:val="none"/>
        </w:rPr>
        <w:t>后续</w:t>
      </w:r>
      <w:r>
        <w:rPr>
          <w:rFonts w:ascii="宋体" w:eastAsia="宋体" w:hAnsi="宋体" w:cs="宋体" w:hint="eastAsia"/>
          <w:iCs w:val="0"/>
          <w:color w:val="auto"/>
          <w:kern w:val="0"/>
          <w:sz w:val="26"/>
          <w:szCs w:val="26"/>
          <w14:ligatures w14:val="none"/>
        </w:rPr>
        <w:t>研究</w:t>
      </w:r>
      <w:r w:rsidRPr="00087EB6">
        <w:rPr>
          <w:rFonts w:ascii="宋体" w:eastAsia="宋体" w:hAnsi="宋体" w:cs="宋体" w:hint="eastAsia"/>
          <w:iCs w:val="0"/>
          <w:color w:val="auto"/>
          <w:kern w:val="0"/>
          <w:sz w:val="26"/>
          <w:szCs w:val="26"/>
          <w14:ligatures w14:val="none"/>
        </w:rPr>
        <w:t>可沿三条脉络纵深展开：其一，宏观—监管视角，比较不同法律与监管环境对伊斯兰黄金背书币波动溢出的塑形作用，特别关注合规披露与动态保证金机制对市场稳定性的影响；其二，时间长度与资产维度，开展跨周期纵向跟踪，评估将沙里亚合规数字资产纳入可持续投资</w:t>
      </w:r>
      <w:r w:rsidRPr="00087EB6">
        <w:rPr>
          <w:rFonts w:ascii="宋体" w:eastAsia="宋体" w:hAnsi="宋体" w:cs="宋体" w:hint="eastAsia"/>
          <w:iCs w:val="0"/>
          <w:color w:val="auto"/>
          <w:kern w:val="0"/>
          <w:sz w:val="26"/>
          <w:szCs w:val="26"/>
          <w14:ligatures w14:val="none"/>
        </w:rPr>
        <w:lastRenderedPageBreak/>
        <w:t>组合后对金融系统韧性的长效贡献，同时将绿色稳定币、碳信用代币等新型资产纳入多频联动网络，以检验风险吸收是否具有普适性；其三，微观链上数据与行为金融，结合钱包交易流、投资者情绪与流动性指标，揭示市场参与者异质性如何放大或削弱跨资产波动传导，从而为更精细的风险管理模型奠定基础。这些方向将有助于深化“数字资产—可持续金融”桥梁的理论与实践价值。</w:t>
      </w:r>
    </w:p>
    <w:p w14:paraId="4B4FC166" w14:textId="322D76A1"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78994182">
          <v:rect id="_x0000_i1031" style="width:0;height:1.5pt" o:hralign="center" o:hrstd="t" o:hr="t" fillcolor="#a0a0a0" stroked="f"/>
        </w:pict>
      </w:r>
    </w:p>
    <w:p w14:paraId="4DBB4284"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编辑：周鹏</w:t>
      </w:r>
    </w:p>
    <w:p w14:paraId="23F3A157" w14:textId="77777777"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auto"/>
          <w:kern w:val="0"/>
          <w:sz w:val="26"/>
          <w:szCs w:val="26"/>
          <w14:ligatures w14:val="none"/>
        </w:rPr>
        <w:t>附录：文章摘要</w:t>
      </w:r>
    </w:p>
    <w:p w14:paraId="4AE6EFB1" w14:textId="77777777" w:rsidR="00087EB6" w:rsidRDefault="00087EB6" w:rsidP="00D34E30">
      <w:pPr>
        <w:widowControl/>
        <w:spacing w:before="240" w:after="240"/>
        <w:rPr>
          <w:rFonts w:ascii="宋体" w:eastAsia="宋体" w:hAnsi="宋体" w:cs="宋体"/>
          <w:iCs w:val="0"/>
          <w:color w:val="auto"/>
          <w:kern w:val="0"/>
          <w:sz w:val="26"/>
          <w:szCs w:val="26"/>
          <w14:ligatures w14:val="none"/>
        </w:rPr>
      </w:pPr>
      <w:r w:rsidRPr="00087EB6">
        <w:rPr>
          <w:rFonts w:ascii="宋体" w:eastAsia="宋体" w:hAnsi="宋体" w:cs="宋体"/>
          <w:iCs w:val="0"/>
          <w:color w:val="auto"/>
          <w:kern w:val="0"/>
          <w:sz w:val="26"/>
          <w:szCs w:val="26"/>
          <w14:ligatures w14:val="none"/>
        </w:rPr>
        <w:t xml:space="preserve">This study explores the potential of Islamic gold-backed cryptocurrencies in sustainable finance by focusing on volatility transmission between these cryptocurrencies and conventional digital assets like Bitcoin and PaxGold. Using a Time-Varying Parameter Vector Autoregression (TVP-VAR) approach, we analyze data from December 2019 to July 2023, including the COVID-19 pandemic period. Findings reveal a complex volatility network, with Bitcoin and HelloGold as major transmitters of spillover shocks, while X8X and PaxGold mainly serve as net recipients. Notable interactions between Bitcoin and Islamic gold-backed cryptocurrency markets show short-lived pairwise volatility interactions. Islamic gold-backed cryptocurrencies, net recipients of volatility, absorb market shocks, making them suitable for hedging against volatility. This can aid in </w:t>
      </w:r>
      <w:r w:rsidRPr="00087EB6">
        <w:rPr>
          <w:rFonts w:ascii="宋体" w:eastAsia="宋体" w:hAnsi="宋体" w:cs="宋体"/>
          <w:iCs w:val="0"/>
          <w:color w:val="auto"/>
          <w:kern w:val="0"/>
          <w:sz w:val="26"/>
          <w:szCs w:val="26"/>
          <w14:ligatures w14:val="none"/>
        </w:rPr>
        <w:lastRenderedPageBreak/>
        <w:t>diversifying portfolios, mitigating adverse market impacts, and informing risk management and regulatory approaches. Our research emphasizes the importance of Islamic finance in ethical and sustainable investment within the evolving cryptocurrency market.</w:t>
      </w:r>
    </w:p>
    <w:p w14:paraId="47F37591" w14:textId="77777777" w:rsidR="00087EB6" w:rsidRPr="00087EB6" w:rsidRDefault="00087EB6" w:rsidP="00087EB6">
      <w:pPr>
        <w:widowControl/>
        <w:rPr>
          <w:rFonts w:ascii="宋体" w:eastAsia="宋体" w:hAnsi="宋体" w:cs="宋体"/>
          <w:iCs w:val="0"/>
          <w:color w:val="auto"/>
          <w:kern w:val="0"/>
          <w:sz w:val="26"/>
          <w:szCs w:val="26"/>
          <w14:ligatures w14:val="none"/>
        </w:rPr>
      </w:pPr>
      <w:r w:rsidRPr="00087EB6">
        <w:rPr>
          <w:rFonts w:ascii="宋体" w:eastAsia="宋体" w:hAnsi="宋体" w:cs="宋体"/>
          <w:iCs w:val="0"/>
          <w:color w:val="auto"/>
          <w:kern w:val="0"/>
          <w:sz w:val="26"/>
          <w:szCs w:val="26"/>
          <w14:ligatures w14:val="none"/>
        </w:rPr>
        <w:t>Mnif, E., Daoud, Y., Zied, A., &amp; Jarboui, A. (2024). Islamic cryptocurrency integration for enhanced sustainable finance: evidence from time-frequency volatility transmission investigation.</w:t>
      </w:r>
      <w:r w:rsidRPr="00087EB6">
        <w:rPr>
          <w:rFonts w:ascii="宋体" w:eastAsia="宋体" w:hAnsi="宋体" w:cs="宋体" w:hint="eastAsia"/>
          <w:iCs w:val="0"/>
          <w:color w:val="auto"/>
          <w:kern w:val="0"/>
          <w:sz w:val="26"/>
          <w:szCs w:val="26"/>
          <w14:ligatures w14:val="none"/>
        </w:rPr>
        <w:t xml:space="preserve"> </w:t>
      </w:r>
      <w:r w:rsidRPr="00087EB6">
        <w:rPr>
          <w:rFonts w:ascii="宋体" w:eastAsia="宋体" w:hAnsi="宋体" w:cs="宋体"/>
          <w:i/>
          <w:color w:val="auto"/>
          <w:kern w:val="0"/>
          <w:sz w:val="26"/>
          <w:szCs w:val="26"/>
          <w14:ligatures w14:val="none"/>
        </w:rPr>
        <w:t>Journal of Chinese Economic and Business Studies</w:t>
      </w:r>
      <w:r w:rsidRPr="00087EB6">
        <w:rPr>
          <w:rFonts w:ascii="宋体" w:eastAsia="宋体" w:hAnsi="宋体" w:cs="宋体"/>
          <w:iCs w:val="0"/>
          <w:color w:val="auto"/>
          <w:kern w:val="0"/>
          <w:sz w:val="26"/>
          <w:szCs w:val="26"/>
          <w14:ligatures w14:val="none"/>
        </w:rPr>
        <w:t>,</w:t>
      </w:r>
      <w:r w:rsidRPr="00087EB6">
        <w:rPr>
          <w:rFonts w:ascii="宋体" w:eastAsia="宋体" w:hAnsi="宋体" w:cs="宋体" w:hint="eastAsia"/>
          <w:iCs w:val="0"/>
          <w:color w:val="auto"/>
          <w:kern w:val="0"/>
          <w:sz w:val="26"/>
          <w:szCs w:val="26"/>
          <w14:ligatures w14:val="none"/>
        </w:rPr>
        <w:t xml:space="preserve"> </w:t>
      </w:r>
      <w:r w:rsidRPr="00087EB6">
        <w:rPr>
          <w:rFonts w:ascii="宋体" w:eastAsia="宋体" w:hAnsi="宋体" w:cs="宋体"/>
          <w:i/>
          <w:color w:val="auto"/>
          <w:kern w:val="0"/>
          <w:sz w:val="26"/>
          <w:szCs w:val="26"/>
          <w14:ligatures w14:val="none"/>
        </w:rPr>
        <w:t>22</w:t>
      </w:r>
      <w:r w:rsidRPr="00087EB6">
        <w:rPr>
          <w:rFonts w:ascii="宋体" w:eastAsia="宋体" w:hAnsi="宋体" w:cs="宋体"/>
          <w:iCs w:val="0"/>
          <w:color w:val="auto"/>
          <w:kern w:val="0"/>
          <w:sz w:val="26"/>
          <w:szCs w:val="26"/>
          <w14:ligatures w14:val="none"/>
        </w:rPr>
        <w:t>(4), 435-453.</w:t>
      </w:r>
    </w:p>
    <w:p w14:paraId="7DEE5A2B" w14:textId="77777777" w:rsidR="00FE33C0" w:rsidRPr="00FE33C0" w:rsidRDefault="00000000" w:rsidP="00FE33C0">
      <w:pPr>
        <w:widowControl/>
        <w:jc w:val="left"/>
        <w:rPr>
          <w:rFonts w:ascii="宋体" w:eastAsia="宋体" w:hAnsi="宋体" w:cs="宋体"/>
          <w:iCs w:val="0"/>
          <w:color w:val="auto"/>
          <w:kern w:val="0"/>
          <w14:ligatures w14:val="none"/>
        </w:rPr>
      </w:pPr>
      <w:r>
        <w:rPr>
          <w:rFonts w:ascii="宋体" w:eastAsia="宋体" w:hAnsi="宋体" w:cs="宋体"/>
          <w:iCs w:val="0"/>
          <w:color w:val="auto"/>
          <w:kern w:val="0"/>
          <w14:ligatures w14:val="none"/>
        </w:rPr>
        <w:pict w14:anchorId="2A731296">
          <v:rect id="_x0000_i1032" style="width:0;height:1.5pt" o:hralign="center" o:hrstd="t" o:hr="t" fillcolor="#a0a0a0" stroked="f"/>
        </w:pict>
      </w:r>
    </w:p>
    <w:p w14:paraId="3C060D92" w14:textId="65BD251B"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0052FF"/>
          <w:kern w:val="0"/>
          <w:sz w:val="26"/>
          <w:szCs w:val="26"/>
          <w14:ligatures w14:val="none"/>
        </w:rPr>
        <w:t>全欧/全英中国经济学会</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Chinese Economic Association UK/Europe</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简称CEA</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成立于1988年</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是一个独立的非盈利的学术团体</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是欧洲最具影响力的关注中国经济发展的学会。学会成员包括对中国经济发展感兴趣的学者、学生和企业高管。学会的宗旨是增进公众对中国经济发展的理解</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并推动关于中国经济的高质量研究。学会在欧洲和中国举办年会以及学术研讨会</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鼓励中国与欧洲之间的学术交流。</w:t>
      </w:r>
    </w:p>
    <w:p w14:paraId="4F436DE2" w14:textId="301DA15B" w:rsidR="00FE33C0" w:rsidRPr="00FE33C0" w:rsidRDefault="00FE33C0" w:rsidP="00FE33C0">
      <w:pPr>
        <w:widowControl/>
        <w:spacing w:before="240" w:after="240"/>
        <w:jc w:val="left"/>
        <w:rPr>
          <w:rFonts w:ascii="宋体" w:eastAsia="宋体" w:hAnsi="宋体" w:cs="宋体"/>
          <w:iCs w:val="0"/>
          <w:color w:val="auto"/>
          <w:kern w:val="0"/>
          <w14:ligatures w14:val="none"/>
        </w:rPr>
      </w:pPr>
      <w:r w:rsidRPr="00FE33C0">
        <w:rPr>
          <w:rFonts w:ascii="宋体" w:eastAsia="宋体" w:hAnsi="宋体" w:cs="宋体"/>
          <w:iCs w:val="0"/>
          <w:color w:val="0052FF"/>
          <w:kern w:val="0"/>
          <w:sz w:val="26"/>
          <w:szCs w:val="26"/>
          <w14:ligatures w14:val="none"/>
        </w:rPr>
        <w:t>CEA学会出版英文期刊Journal of Chinese Economic and Business Studies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JCEBS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期刊注册于牛津大学TMCD研究院</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发表可持续发展主题的经济、金融和管理类的跨学科高质量论文</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欢迎基于各国样本的原创性研究。其CiteScore</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5.5</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位列“经济学、计量经济学和金融学”类别中前10%。影响因子</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2.4</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位列Q2。主编和核心编委会包括经济学领域世界前100引用学者Douglas Cumming</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英国社会科学院院士Xiaolan Fu</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lastRenderedPageBreak/>
        <w:t>欧洲科学院经济学部负责人Klaus Zimmermann</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英国科学院与发展中国家科学院林毅夫</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爱丁堡皇家学会Wenxuan Hou</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哈佛大学Dwight Perkins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哥伦比亚大学Jeffrey Sachs</w:t>
      </w:r>
      <w:r w:rsidR="00D34E30">
        <w:rPr>
          <w:rFonts w:ascii="宋体" w:eastAsia="宋体" w:hAnsi="宋体" w:cs="宋体"/>
          <w:iCs w:val="0"/>
          <w:color w:val="0052FF"/>
          <w:kern w:val="0"/>
          <w:sz w:val="26"/>
          <w:szCs w:val="26"/>
          <w14:ligatures w14:val="none"/>
        </w:rPr>
        <w:t xml:space="preserve">, </w:t>
      </w:r>
      <w:r w:rsidRPr="00FE33C0">
        <w:rPr>
          <w:rFonts w:ascii="宋体" w:eastAsia="宋体" w:hAnsi="宋体" w:cs="宋体"/>
          <w:iCs w:val="0"/>
          <w:color w:val="0052FF"/>
          <w:kern w:val="0"/>
          <w:sz w:val="26"/>
          <w:szCs w:val="26"/>
          <w14:ligatures w14:val="none"/>
        </w:rPr>
        <w:t>普林斯顿大学Dani Rodrik等具有国际影响力的学者。</w:t>
      </w:r>
    </w:p>
    <w:p w14:paraId="68DB5AC1" w14:textId="77777777" w:rsidR="00FE33C0" w:rsidRPr="00FE33C0" w:rsidRDefault="00FE33C0" w:rsidP="00FE33C0">
      <w:pPr>
        <w:widowControl/>
        <w:spacing w:before="240" w:after="240"/>
        <w:jc w:val="center"/>
        <w:rPr>
          <w:rFonts w:ascii="宋体" w:eastAsia="宋体" w:hAnsi="宋体" w:cs="宋体"/>
          <w:iCs w:val="0"/>
          <w:color w:val="auto"/>
          <w:kern w:val="0"/>
          <w14:ligatures w14:val="none"/>
        </w:rPr>
      </w:pPr>
      <w:r w:rsidRPr="00FE33C0">
        <w:rPr>
          <w:rFonts w:ascii="宋体" w:eastAsia="宋体" w:hAnsi="宋体" w:cs="宋体"/>
          <w:iCs w:val="0"/>
          <w:color w:val="FF6827"/>
          <w:kern w:val="0"/>
          <w:sz w:val="26"/>
          <w:szCs w:val="26"/>
          <w14:ligatures w14:val="none"/>
        </w:rPr>
        <w:t>欢迎点击下方二维码关注！</w:t>
      </w:r>
    </w:p>
    <w:p w14:paraId="4C37D2E2" w14:textId="780CD3ED" w:rsidR="00556218" w:rsidRPr="00FE33C0" w:rsidRDefault="00FE33C0" w:rsidP="00FE33C0">
      <w:pPr>
        <w:jc w:val="center"/>
      </w:pPr>
      <w:r w:rsidRPr="00FE33C0">
        <w:rPr>
          <w:rFonts w:ascii="宋体" w:eastAsia="宋体" w:hAnsi="宋体" w:cs="宋体"/>
          <w:iCs w:val="0"/>
          <w:noProof/>
          <w:color w:val="auto"/>
          <w:kern w:val="0"/>
          <w14:ligatures w14:val="none"/>
        </w:rPr>
        <w:drawing>
          <wp:inline distT="0" distB="0" distL="0" distR="0" wp14:anchorId="1B9CCFCC" wp14:editId="5B055EA5">
            <wp:extent cx="2461260" cy="2461260"/>
            <wp:effectExtent l="0" t="0" r="0" b="0"/>
            <wp:docPr id="6656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1260" cy="2461260"/>
                    </a:xfrm>
                    <a:prstGeom prst="rect">
                      <a:avLst/>
                    </a:prstGeom>
                    <a:noFill/>
                    <a:ln>
                      <a:noFill/>
                    </a:ln>
                  </pic:spPr>
                </pic:pic>
              </a:graphicData>
            </a:graphic>
          </wp:inline>
        </w:drawing>
      </w:r>
    </w:p>
    <w:sectPr w:rsidR="00556218" w:rsidRPr="00FE33C0" w:rsidSect="00850D95">
      <w:pgSz w:w="11906" w:h="16838"/>
      <w:pgMar w:top="1440" w:right="1800" w:bottom="1440" w:left="180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57A04" w14:textId="77777777" w:rsidR="00654F09" w:rsidRDefault="00654F09" w:rsidP="00CA70ED">
      <w:r>
        <w:separator/>
      </w:r>
    </w:p>
  </w:endnote>
  <w:endnote w:type="continuationSeparator" w:id="0">
    <w:p w14:paraId="43609269" w14:textId="77777777" w:rsidR="00654F09" w:rsidRDefault="00654F09" w:rsidP="00CA7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B0504020202020204"/>
    <w:charset w:val="86"/>
    <w:family w:val="swiss"/>
    <w:pitch w:val="variable"/>
    <w:sig w:usb0="A00002CF" w:usb1="3ACF3D13" w:usb2="00000017" w:usb3="00000000" w:csb0="00040001" w:csb1="00000000"/>
  </w:font>
  <w:font w:name="Microsoft YaHei UI">
    <w:panose1 w:val="020B0504020202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6312A" w14:textId="77777777" w:rsidR="00654F09" w:rsidRDefault="00654F09" w:rsidP="00CA70ED">
      <w:r>
        <w:separator/>
      </w:r>
    </w:p>
  </w:footnote>
  <w:footnote w:type="continuationSeparator" w:id="0">
    <w:p w14:paraId="5E9FE78E" w14:textId="77777777" w:rsidR="00654F09" w:rsidRDefault="00654F09" w:rsidP="00CA7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6B09"/>
    <w:multiLevelType w:val="multilevel"/>
    <w:tmpl w:val="016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A239D"/>
    <w:multiLevelType w:val="multilevel"/>
    <w:tmpl w:val="F992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13476"/>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72DD0"/>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B1998"/>
    <w:multiLevelType w:val="multilevel"/>
    <w:tmpl w:val="1A6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0C3DB9"/>
    <w:multiLevelType w:val="multilevel"/>
    <w:tmpl w:val="5598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D413BC"/>
    <w:multiLevelType w:val="multilevel"/>
    <w:tmpl w:val="69D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729641">
    <w:abstractNumId w:val="4"/>
  </w:num>
  <w:num w:numId="2" w16cid:durableId="38938295">
    <w:abstractNumId w:val="6"/>
  </w:num>
  <w:num w:numId="3" w16cid:durableId="1369574488">
    <w:abstractNumId w:val="0"/>
  </w:num>
  <w:num w:numId="4" w16cid:durableId="1541942432">
    <w:abstractNumId w:val="3"/>
  </w:num>
  <w:num w:numId="5" w16cid:durableId="1036659389">
    <w:abstractNumId w:val="2"/>
  </w:num>
  <w:num w:numId="6" w16cid:durableId="1049190111">
    <w:abstractNumId w:val="1"/>
  </w:num>
  <w:num w:numId="7" w16cid:durableId="1308124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3tDQytbC0MDe2NDRX0lEKTi0uzszPAymwqAUAE4+9+SwAAAA="/>
  </w:docVars>
  <w:rsids>
    <w:rsidRoot w:val="00A127DD"/>
    <w:rsid w:val="0000197A"/>
    <w:rsid w:val="00087EB6"/>
    <w:rsid w:val="000F68C8"/>
    <w:rsid w:val="00105729"/>
    <w:rsid w:val="00145E83"/>
    <w:rsid w:val="001563FF"/>
    <w:rsid w:val="001B7648"/>
    <w:rsid w:val="001D4E76"/>
    <w:rsid w:val="001D70ED"/>
    <w:rsid w:val="0020477A"/>
    <w:rsid w:val="00234FC6"/>
    <w:rsid w:val="002841AE"/>
    <w:rsid w:val="002A5494"/>
    <w:rsid w:val="002E03B3"/>
    <w:rsid w:val="002F7E84"/>
    <w:rsid w:val="00315855"/>
    <w:rsid w:val="003259E3"/>
    <w:rsid w:val="00383C3C"/>
    <w:rsid w:val="00401FE8"/>
    <w:rsid w:val="00423E1C"/>
    <w:rsid w:val="00462E29"/>
    <w:rsid w:val="005254E8"/>
    <w:rsid w:val="00530A20"/>
    <w:rsid w:val="00556218"/>
    <w:rsid w:val="005A333A"/>
    <w:rsid w:val="00654F09"/>
    <w:rsid w:val="006642DE"/>
    <w:rsid w:val="00692224"/>
    <w:rsid w:val="006A4A15"/>
    <w:rsid w:val="006E1120"/>
    <w:rsid w:val="0070633F"/>
    <w:rsid w:val="007B59D9"/>
    <w:rsid w:val="007D5F18"/>
    <w:rsid w:val="00807FD6"/>
    <w:rsid w:val="008378FE"/>
    <w:rsid w:val="00843CB6"/>
    <w:rsid w:val="00850D95"/>
    <w:rsid w:val="008B4ABF"/>
    <w:rsid w:val="00920ED6"/>
    <w:rsid w:val="00927DE7"/>
    <w:rsid w:val="00952E07"/>
    <w:rsid w:val="00991178"/>
    <w:rsid w:val="009A4749"/>
    <w:rsid w:val="009B4F22"/>
    <w:rsid w:val="009C6BD3"/>
    <w:rsid w:val="009E7BAF"/>
    <w:rsid w:val="00A127DD"/>
    <w:rsid w:val="00A4534B"/>
    <w:rsid w:val="00B76354"/>
    <w:rsid w:val="00BB16A9"/>
    <w:rsid w:val="00BE4D57"/>
    <w:rsid w:val="00BF197E"/>
    <w:rsid w:val="00CA70ED"/>
    <w:rsid w:val="00D34E30"/>
    <w:rsid w:val="00D71021"/>
    <w:rsid w:val="00D715C5"/>
    <w:rsid w:val="00D87442"/>
    <w:rsid w:val="00DC752D"/>
    <w:rsid w:val="00DD3BD7"/>
    <w:rsid w:val="00EA5C8E"/>
    <w:rsid w:val="00EB05A4"/>
    <w:rsid w:val="00EC1AE4"/>
    <w:rsid w:val="00EF3AAF"/>
    <w:rsid w:val="00F33E54"/>
    <w:rsid w:val="00F44D13"/>
    <w:rsid w:val="00F738A3"/>
    <w:rsid w:val="00FB168A"/>
    <w:rsid w:val="00FC5BBF"/>
    <w:rsid w:val="00FE203F"/>
    <w:rsid w:val="00FE33C0"/>
    <w:rsid w:val="00FF425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5D701"/>
  <w15:chartTrackingRefBased/>
  <w15:docId w15:val="{2F422EDC-8193-4EE9-8FB5-143B1E7E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iCs/>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FE8"/>
    <w:pPr>
      <w:widowControl/>
      <w:spacing w:before="100" w:beforeAutospacing="1" w:after="100" w:afterAutospacing="1"/>
      <w:jc w:val="left"/>
    </w:pPr>
    <w:rPr>
      <w:rFonts w:ascii="宋体" w:eastAsia="宋体" w:hAnsi="宋体" w:cs="宋体"/>
      <w:iCs w:val="0"/>
      <w:color w:val="auto"/>
      <w:kern w:val="0"/>
      <w14:ligatures w14:val="none"/>
    </w:rPr>
  </w:style>
  <w:style w:type="character" w:styleId="Strong">
    <w:name w:val="Strong"/>
    <w:basedOn w:val="DefaultParagraphFont"/>
    <w:uiPriority w:val="22"/>
    <w:qFormat/>
    <w:rsid w:val="00401FE8"/>
    <w:rPr>
      <w:b/>
      <w:bCs/>
    </w:rPr>
  </w:style>
  <w:style w:type="character" w:styleId="Emphasis">
    <w:name w:val="Emphasis"/>
    <w:basedOn w:val="DefaultParagraphFont"/>
    <w:uiPriority w:val="20"/>
    <w:qFormat/>
    <w:rsid w:val="00401FE8"/>
    <w:rPr>
      <w:i/>
      <w:iCs w:val="0"/>
    </w:rPr>
  </w:style>
  <w:style w:type="paragraph" w:styleId="Header">
    <w:name w:val="header"/>
    <w:basedOn w:val="Normal"/>
    <w:link w:val="HeaderChar"/>
    <w:uiPriority w:val="99"/>
    <w:unhideWhenUsed/>
    <w:rsid w:val="00CA70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A70ED"/>
    <w:rPr>
      <w:sz w:val="18"/>
      <w:szCs w:val="18"/>
    </w:rPr>
  </w:style>
  <w:style w:type="paragraph" w:styleId="Footer">
    <w:name w:val="footer"/>
    <w:basedOn w:val="Normal"/>
    <w:link w:val="FooterChar"/>
    <w:uiPriority w:val="99"/>
    <w:unhideWhenUsed/>
    <w:rsid w:val="00CA70E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A70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666201">
      <w:bodyDiv w:val="1"/>
      <w:marLeft w:val="0"/>
      <w:marRight w:val="0"/>
      <w:marTop w:val="0"/>
      <w:marBottom w:val="0"/>
      <w:divBdr>
        <w:top w:val="none" w:sz="0" w:space="0" w:color="auto"/>
        <w:left w:val="none" w:sz="0" w:space="0" w:color="auto"/>
        <w:bottom w:val="none" w:sz="0" w:space="0" w:color="auto"/>
        <w:right w:val="none" w:sz="0" w:space="0" w:color="auto"/>
      </w:divBdr>
    </w:div>
    <w:div w:id="10710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Shijie</cp:lastModifiedBy>
  <cp:revision>12</cp:revision>
  <dcterms:created xsi:type="dcterms:W3CDTF">2025-05-15T15:01:00Z</dcterms:created>
  <dcterms:modified xsi:type="dcterms:W3CDTF">2025-07-11T08:12:00Z</dcterms:modified>
</cp:coreProperties>
</file>