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color w:val="1F2A38"/>
        </w:rPr>
        <w:t>Online School Performance Analytics</w:t>
      </w:r>
    </w:p>
    <w:p>
      <w:pPr>
        <w:spacing w:after="160"/>
      </w:pPr>
      <w:r>
        <w:rPr>
          <w:b/>
          <w:color w:val="6D4CE0"/>
          <w:sz w:val="30"/>
        </w:rPr>
        <w:t>Case Summary Report</w:t>
      </w:r>
    </w:p>
    <w:p>
      <w:pPr>
        <w:spacing w:after="200"/>
      </w:pPr>
      <w:r>
        <w:rPr>
          <w:color w:val="5C6A7E"/>
          <w:sz w:val="20"/>
        </w:rPr>
        <w:t>End-to-end business analytics project for an online school: data audit, cleaning, EDA, marketing and sales analysis, product analytics, unit economics, growth hypothesis and interactive dashboard.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  <w:shd w:fill="F3F6FA"/>
            <w:vAlign w:val="center"/>
          </w:tcPr>
          <w:p>
            <w:pPr>
              <w:jc w:val="center"/>
            </w:pPr>
            <w:r/>
            <w:r>
              <w:rPr>
                <w:b/>
                <w:color w:val="5C6A7E"/>
                <w:sz w:val="15"/>
              </w:rPr>
              <w:t>Total Deals</w:t>
            </w:r>
          </w:p>
        </w:tc>
        <w:tc>
          <w:tcPr>
            <w:tcW w:type="dxa" w:w="2590"/>
            <w:shd w:fill="F3F6FA"/>
            <w:vAlign w:val="center"/>
          </w:tcPr>
          <w:p>
            <w:pPr>
              <w:jc w:val="center"/>
            </w:pPr>
            <w:r/>
            <w:r>
              <w:rPr>
                <w:b/>
                <w:color w:val="5C6A7E"/>
                <w:sz w:val="15"/>
              </w:rPr>
              <w:t>Paid Deals</w:t>
            </w:r>
          </w:p>
        </w:tc>
        <w:tc>
          <w:tcPr>
            <w:tcW w:type="dxa" w:w="2590"/>
            <w:shd w:fill="F3F6FA"/>
            <w:vAlign w:val="center"/>
          </w:tcPr>
          <w:p>
            <w:pPr>
              <w:jc w:val="center"/>
            </w:pPr>
            <w:r/>
            <w:r>
              <w:rPr>
                <w:b/>
                <w:color w:val="5C6A7E"/>
                <w:sz w:val="15"/>
              </w:rPr>
              <w:t>Payment Conversion</w:t>
            </w:r>
          </w:p>
        </w:tc>
        <w:tc>
          <w:tcPr>
            <w:tcW w:type="dxa" w:w="2590"/>
            <w:shd w:fill="F3F6FA"/>
            <w:vAlign w:val="center"/>
          </w:tcPr>
          <w:p>
            <w:pPr>
              <w:jc w:val="center"/>
            </w:pPr>
            <w:r/>
            <w:r>
              <w:rPr>
                <w:b/>
                <w:color w:val="5C6A7E"/>
                <w:sz w:val="15"/>
              </w:rPr>
              <w:t>Actual Revenue</w:t>
            </w:r>
          </w:p>
        </w:tc>
        <w:tc>
          <w:tcPr>
            <w:tcW w:type="dxa" w:w="2590"/>
            <w:shd w:fill="F3F6FA"/>
            <w:vAlign w:val="center"/>
          </w:tcPr>
          <w:p>
            <w:pPr>
              <w:jc w:val="center"/>
            </w:pPr>
            <w:r/>
            <w:r>
              <w:rPr>
                <w:b/>
                <w:color w:val="5C6A7E"/>
                <w:sz w:val="15"/>
              </w:rPr>
              <w:t>Marketing Spend</w:t>
            </w:r>
          </w:p>
        </w:tc>
        <w:tc>
          <w:tcPr>
            <w:tcW w:type="dxa" w:w="2590"/>
            <w:shd w:fill="F3F6FA"/>
            <w:vAlign w:val="center"/>
          </w:tcPr>
          <w:p>
            <w:pPr>
              <w:jc w:val="center"/>
            </w:pPr>
            <w:r/>
            <w:r>
              <w:rPr>
                <w:b/>
                <w:color w:val="5C6A7E"/>
                <w:sz w:val="15"/>
              </w:rPr>
              <w:t>ROMI</w:t>
            </w:r>
          </w:p>
        </w:tc>
      </w:tr>
      <w:tr>
        <w:tc>
          <w:tcPr>
            <w:tcW w:type="dxa" w:w="2590"/>
            <w:shd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F2A38"/>
                <w:sz w:val="24"/>
              </w:rPr>
              <w:t>21,593</w:t>
            </w:r>
          </w:p>
        </w:tc>
        <w:tc>
          <w:tcPr>
            <w:tcW w:type="dxa" w:w="2590"/>
            <w:shd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F2A38"/>
                <w:sz w:val="24"/>
              </w:rPr>
              <w:t>858</w:t>
            </w:r>
          </w:p>
        </w:tc>
        <w:tc>
          <w:tcPr>
            <w:tcW w:type="dxa" w:w="2590"/>
            <w:shd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F2A38"/>
                <w:sz w:val="24"/>
              </w:rPr>
              <w:t>3.97%</w:t>
            </w:r>
          </w:p>
        </w:tc>
        <w:tc>
          <w:tcPr>
            <w:tcW w:type="dxa" w:w="2590"/>
            <w:shd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F2A38"/>
                <w:sz w:val="24"/>
              </w:rPr>
              <w:t>978,651</w:t>
            </w:r>
          </w:p>
        </w:tc>
        <w:tc>
          <w:tcPr>
            <w:tcW w:type="dxa" w:w="2590"/>
            <w:shd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F2A38"/>
                <w:sz w:val="24"/>
              </w:rPr>
              <w:t>149,223.45</w:t>
            </w:r>
          </w:p>
        </w:tc>
        <w:tc>
          <w:tcPr>
            <w:tcW w:type="dxa" w:w="2590"/>
            <w:shd w:fill="FFFFFF"/>
            <w:vAlign w:val="center"/>
          </w:tcPr>
          <w:p>
            <w:pPr>
              <w:jc w:val="center"/>
            </w:pPr>
            <w:r/>
            <w:r>
              <w:rPr>
                <w:b/>
                <w:color w:val="1F2A38"/>
                <w:sz w:val="24"/>
              </w:rPr>
              <w:t>2,156.74%</w:t>
            </w:r>
          </w:p>
        </w:tc>
      </w:tr>
    </w:tbl>
    <w:p>
      <w:pPr>
        <w:spacing w:after="40"/>
      </w:pPr>
    </w:p>
    <w:p>
      <w:pPr>
        <w:pStyle w:val="Heading1"/>
        <w:spacing w:before="0" w:after="40"/>
      </w:pPr>
      <w:r>
        <w:rPr>
          <w:color w:val="1F4E79"/>
        </w:rPr>
        <w:t>Project Scope</w:t>
      </w:r>
    </w:p>
    <w:p>
      <w:pPr>
        <w:spacing w:after="20" w:line="240" w:lineRule="auto"/>
        <w:ind w:left="202" w:hanging="144"/>
      </w:pPr>
      <w:r>
        <w:rPr>
          <w:color w:val="6D4CE0"/>
          <w:sz w:val="18"/>
        </w:rPr>
        <w:t xml:space="preserve">• </w:t>
      </w:r>
      <w:r>
        <w:rPr>
          <w:color w:val="1F2A38"/>
          <w:sz w:val="18"/>
        </w:rPr>
        <w:t>Analyzed CRM, sales calls and marketing spend data in one reproducible analytics workflow.</w:t>
      </w:r>
    </w:p>
    <w:p>
      <w:pPr>
        <w:spacing w:after="20" w:line="240" w:lineRule="auto"/>
        <w:ind w:left="202" w:hanging="144"/>
      </w:pPr>
      <w:r>
        <w:rPr>
          <w:color w:val="6D4CE0"/>
          <w:sz w:val="18"/>
        </w:rPr>
        <w:t xml:space="preserve">• </w:t>
      </w:r>
      <w:r>
        <w:rPr>
          <w:color w:val="1F2A38"/>
          <w:sz w:val="18"/>
        </w:rPr>
        <w:t>Prepared documentation, data audit, cleaning rules, cleaned datasets, business analysis, unit economics and dashboard outputs.</w:t>
      </w:r>
    </w:p>
    <w:p>
      <w:pPr>
        <w:spacing w:after="20" w:line="240" w:lineRule="auto"/>
        <w:ind w:left="202" w:hanging="144"/>
      </w:pPr>
      <w:r>
        <w:rPr>
          <w:color w:val="6D4CE0"/>
          <w:sz w:val="18"/>
        </w:rPr>
        <w:t xml:space="preserve">• </w:t>
      </w:r>
      <w:r>
        <w:rPr>
          <w:color w:val="1F2A38"/>
          <w:sz w:val="18"/>
        </w:rPr>
        <w:t>Built a Plotly Dash dashboard covering funnel, acquisition, sales, products and growth economics.</w:t>
      </w:r>
    </w:p>
    <w:p>
      <w:r>
        <w:br w:type="page"/>
      </w:r>
    </w:p>
    <w:p>
      <w:pPr>
        <w:pStyle w:val="Heading1"/>
        <w:spacing w:before="0" w:after="40"/>
      </w:pPr>
      <w:r>
        <w:rPr>
          <w:color w:val="1F4E79"/>
        </w:rPr>
        <w:t>1. Analytical Workflow and Business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2220"/>
            <w:shd w:fill="EAF0FB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14"/>
              </w:rPr>
              <w:t>Data Dictionary</w:t>
            </w:r>
          </w:p>
        </w:tc>
        <w:tc>
          <w:tcPr>
            <w:tcW w:type="dxa" w:w="2220"/>
            <w:shd w:fill="F7F9FD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14"/>
              </w:rPr>
              <w:t>Data Audit</w:t>
            </w:r>
          </w:p>
        </w:tc>
        <w:tc>
          <w:tcPr>
            <w:tcW w:type="dxa" w:w="2220"/>
            <w:shd w:fill="EAF0FB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14"/>
              </w:rPr>
              <w:t>Cleaning Rules</w:t>
            </w:r>
          </w:p>
        </w:tc>
        <w:tc>
          <w:tcPr>
            <w:tcW w:type="dxa" w:w="2220"/>
            <w:shd w:fill="F7F9FD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14"/>
              </w:rPr>
              <w:t>Data Cleaning</w:t>
            </w:r>
          </w:p>
        </w:tc>
        <w:tc>
          <w:tcPr>
            <w:tcW w:type="dxa" w:w="2220"/>
            <w:shd w:fill="EAF0FB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14"/>
              </w:rPr>
              <w:t>EDA &amp; Business Analysis</w:t>
            </w:r>
          </w:p>
        </w:tc>
        <w:tc>
          <w:tcPr>
            <w:tcW w:type="dxa" w:w="2220"/>
            <w:shd w:fill="F7F9FD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14"/>
              </w:rPr>
              <w:t>Unit Economics</w:t>
            </w:r>
          </w:p>
        </w:tc>
        <w:tc>
          <w:tcPr>
            <w:tcW w:type="dxa" w:w="2220"/>
            <w:shd w:fill="EAF0FB"/>
            <w:vAlign w:val="center"/>
          </w:tcPr>
          <w:p>
            <w:pPr>
              <w:jc w:val="center"/>
            </w:pPr>
            <w:r/>
            <w:r>
              <w:rPr>
                <w:b/>
                <w:color w:val="1F4E79"/>
                <w:sz w:val="14"/>
              </w:rPr>
              <w:t>Dashboard</w:t>
            </w:r>
          </w:p>
        </w:tc>
      </w:tr>
    </w:tbl>
    <w:p/>
    <w:p>
      <w:pPr>
        <w:spacing w:after="20" w:line="240" w:lineRule="auto"/>
        <w:ind w:left="202" w:hanging="144"/>
      </w:pPr>
      <w:r>
        <w:rPr>
          <w:color w:val="6D4CE0"/>
          <w:sz w:val="18"/>
        </w:rPr>
        <w:t xml:space="preserve">• </w:t>
      </w:r>
      <w:r>
        <w:rPr>
          <w:color w:val="1F2A38"/>
          <w:sz w:val="18"/>
        </w:rPr>
        <w:t>Paid deal definition: Stage = Payment Done.</w:t>
      </w:r>
    </w:p>
    <w:p>
      <w:pPr>
        <w:spacing w:after="20" w:line="240" w:lineRule="auto"/>
        <w:ind w:left="202" w:hanging="144"/>
      </w:pPr>
      <w:r>
        <w:rPr>
          <w:color w:val="6D4CE0"/>
          <w:sz w:val="18"/>
        </w:rPr>
        <w:t xml:space="preserve">• </w:t>
      </w:r>
      <w:r>
        <w:rPr>
          <w:color w:val="1F2A38"/>
          <w:sz w:val="18"/>
        </w:rPr>
        <w:t>Actual revenue is based on Initial Amount Paid only for paid deals; Offer Total Amount is treated as potential contract value.</w:t>
      </w:r>
    </w:p>
    <w:p>
      <w:pPr>
        <w:spacing w:after="20" w:line="240" w:lineRule="auto"/>
        <w:ind w:left="202" w:hanging="144"/>
      </w:pPr>
      <w:r>
        <w:rPr>
          <w:color w:val="6D4CE0"/>
          <w:sz w:val="18"/>
        </w:rPr>
        <w:t xml:space="preserve">• </w:t>
      </w:r>
      <w:r>
        <w:rPr>
          <w:color w:val="1F2A38"/>
          <w:sz w:val="18"/>
        </w:rPr>
        <w:t>Source is used as the main level for marketing analysis; Campaign, Term, Content, AdGroup and Ad are supporting details.</w:t>
      </w:r>
    </w:p>
    <w:p>
      <w:pPr>
        <w:spacing w:after="20" w:line="240" w:lineRule="auto"/>
        <w:ind w:left="202" w:hanging="144"/>
      </w:pPr>
      <w:r>
        <w:rPr>
          <w:color w:val="6D4CE0"/>
          <w:sz w:val="18"/>
        </w:rPr>
        <w:t xml:space="preserve">• </w:t>
      </w:r>
      <w:r>
        <w:rPr>
          <w:color w:val="1F2A38"/>
          <w:sz w:val="18"/>
        </w:rPr>
        <w:t>CRM-style IDs are cleaned and processed as strings to preserve table relationships.</w:t>
      </w:r>
    </w:p>
    <w:p>
      <w:pPr>
        <w:spacing w:after="20" w:line="240" w:lineRule="auto"/>
        <w:ind w:left="202" w:hanging="144"/>
      </w:pPr>
      <w:r>
        <w:rPr>
          <w:color w:val="6D4CE0"/>
          <w:sz w:val="18"/>
        </w:rPr>
        <w:t xml:space="preserve">• </w:t>
      </w:r>
      <w:r>
        <w:rPr>
          <w:color w:val="1F2A38"/>
          <w:sz w:val="18"/>
        </w:rPr>
        <w:t>Rows with data quality flags are kept in the dataset and excluded only from calculations where the issue is critical.</w:t>
      </w:r>
    </w:p>
    <w:p>
      <w:r>
        <w:br w:type="page"/>
      </w:r>
    </w:p>
    <w:p>
      <w:pPr>
        <w:pStyle w:val="Heading1"/>
        <w:spacing w:before="0" w:after="40"/>
      </w:pPr>
      <w:r>
        <w:rPr>
          <w:color w:val="1F4E79"/>
        </w:rPr>
        <w:t>2. Overall Business Performance</w:t>
      </w:r>
    </w:p>
    <w:p>
      <w:pPr>
        <w:spacing w:after="80"/>
      </w:pPr>
      <w:r>
        <w:rPr>
          <w:color w:val="5C6A7E"/>
          <w:sz w:val="17"/>
        </w:rPr>
        <w:t>Large deal flow with low payment conversion.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21,593 deals were recorded; 858 became paid deals, resulting in 3.97% payment conversion.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The main growth challenge is conversion from created deals to paid students, not initial deal volume.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001000" cy="4880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88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40"/>
      </w:pPr>
      <w:r>
        <w:rPr>
          <w:color w:val="1F4E79"/>
        </w:rPr>
        <w:t>3. Marketing Performance</w:t>
      </w:r>
    </w:p>
    <w:p>
      <w:pPr>
        <w:spacing w:after="80"/>
      </w:pPr>
      <w:r>
        <w:rPr>
          <w:color w:val="5C6A7E"/>
          <w:sz w:val="17"/>
        </w:rPr>
        <w:t>Acquisition channels differ by volume, conversion and revenue.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Facebook Ads, Google Ads, Organic and SMM are the key business-driving sources.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Source is the most reliable level for marketing conclusions; campaign analysis is used as supporting detail.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001000" cy="4917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91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40"/>
      </w:pPr>
      <w:r>
        <w:rPr>
          <w:color w:val="1F4E79"/>
        </w:rPr>
        <w:t>4. Sales Team Performance</w:t>
      </w:r>
    </w:p>
    <w:p>
      <w:pPr>
        <w:spacing w:after="80"/>
      </w:pPr>
      <w:r>
        <w:rPr>
          <w:color w:val="5C6A7E"/>
          <w:sz w:val="17"/>
        </w:rPr>
        <w:t>Manager performance should be assessed through several metrics together.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Workload, conversion, paid deals, revenue, average check and call activity vary materially across managers.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High workload does not automatically equal high conversion or stronger revenue contribution.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001000" cy="4911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91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40"/>
      </w:pPr>
      <w:r>
        <w:rPr>
          <w:color w:val="1F4E79"/>
        </w:rPr>
        <w:t>5. Product Revenue Structure</w:t>
      </w:r>
    </w:p>
    <w:p>
      <w:pPr>
        <w:spacing w:after="80"/>
      </w:pPr>
      <w:r>
        <w:rPr>
          <w:color w:val="5C6A7E"/>
          <w:sz w:val="17"/>
        </w:rPr>
        <w:t>The product portfolio is concentrated around several main products.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Digital Marketing is the leading product by paid deals and revenue.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UX/UI Design and Web Developer also contribute, while small categories are excluded from main product charts.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001000" cy="49029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902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40"/>
      </w:pPr>
      <w:r>
        <w:rPr>
          <w:color w:val="1F4E79"/>
        </w:rPr>
        <w:t>6. Unit Economics</w:t>
      </w:r>
    </w:p>
    <w:p>
      <w:pPr>
        <w:spacing w:after="80"/>
      </w:pPr>
      <w:r>
        <w:rPr>
          <w:color w:val="5C6A7E"/>
          <w:sz w:val="17"/>
        </w:rPr>
        <w:t>Aggregate unit economics is positive and supports further optimization.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Contribution margin equals 3,224,833.67 and ROMI equals 2,156.74%.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C1 conversion was selected as the most actionable metric for a short growth experiment.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001000" cy="5504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over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550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40"/>
      </w:pPr>
      <w:r>
        <w:rPr>
          <w:color w:val="1F4E79"/>
        </w:rPr>
        <w:t>7. Growth Hypothesis and Recommended Next Step</w:t>
      </w:r>
    </w:p>
    <w:p>
      <w:pPr>
        <w:spacing w:after="80"/>
      </w:pPr>
      <w:r>
        <w:rPr>
          <w:color w:val="5C6A7E"/>
          <w:sz w:val="17"/>
        </w:rPr>
        <w:t>A practical HADI hypothesis can be tested within two weeks.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Hypothesis: an updated first-contact and follow-up script can increase lead-to-client conversion C1 by at least 10%.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Experiment parameters: 560 leads, average flow of 51 leads per day, estimated duration of 11 days.</w:t>
      </w:r>
    </w:p>
    <w:p>
      <w:pPr>
        <w:spacing w:after="20" w:line="240" w:lineRule="auto"/>
        <w:ind w:left="202" w:hanging="144"/>
      </w:pPr>
      <w:r>
        <w:rPr>
          <w:color w:val="6D4CE0"/>
          <w:sz w:val="16"/>
        </w:rPr>
        <w:t xml:space="preserve">• </w:t>
      </w:r>
      <w:r>
        <w:rPr>
          <w:color w:val="1F2A38"/>
          <w:sz w:val="16"/>
        </w:rPr>
        <w:t>The experiment can be run within 14 days and provides a manageable next step for performance improvement.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8001000" cy="43770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3770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5"/>
      <w:pgSz w:w="16834" w:h="11909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A7E"/>
        <w:sz w:val="14"/>
      </w:rPr>
      <w:t>Online School Performance Analytics | Case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