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17948"/>
      <w:r>
        <w:rPr>
          <w:rFonts w:hint="eastAsia"/>
        </w:rPr>
        <w:t>TensorFlow</w:t>
      </w:r>
      <w:r>
        <w:t xml:space="preserve"> </w:t>
      </w:r>
      <w:r>
        <w:rPr>
          <w:rFonts w:hint="eastAsia"/>
        </w:rPr>
        <w:t>Playground</w:t>
      </w:r>
      <w:r>
        <w:t xml:space="preserve"> </w:t>
      </w:r>
      <w:r>
        <w:rPr>
          <w:rFonts w:hint="eastAsia"/>
        </w:rPr>
        <w:t>试用报告</w:t>
      </w:r>
      <w:bookmarkEnd w:id="0"/>
    </w:p>
    <w:p>
      <w:pPr>
        <w:jc w:val="center"/>
        <w:rPr>
          <w:rFonts w:hint="default"/>
          <w:lang w:val="en-US"/>
        </w:rPr>
      </w:pPr>
      <w:r>
        <w:rPr>
          <w:rFonts w:hint="eastAsia"/>
        </w:rPr>
        <w:t>1</w:t>
      </w:r>
      <w:r>
        <w:t>221062228</w:t>
      </w:r>
      <w:r>
        <w:rPr>
          <w:rFonts w:hint="eastAsia"/>
          <w:lang w:val="en-US" w:eastAsia="zh-CN"/>
        </w:rPr>
        <w:t>37 张潇</w:t>
      </w:r>
    </w:p>
    <w:sdt>
      <w:sdtPr>
        <w:rPr>
          <w:lang w:val="zh-CN"/>
        </w:rPr>
        <w:id w:val="-9417530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8"/>
          <w:szCs w:val="22"/>
          <w:lang w:val="zh-CN"/>
        </w:rPr>
      </w:sdtEndPr>
      <w:sdtContent>
        <w:p>
          <w:pPr>
            <w:pStyle w:val="17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Style w:val="11"/>
            </w:rPr>
            <w:fldChar w:fldCharType="begin"/>
          </w:r>
          <w:r>
            <w:rPr>
              <w:rStyle w:val="11"/>
            </w:rPr>
            <w:instrText xml:space="preserve"> TOC \o "1-3" \h \z \u </w:instrText>
          </w:r>
          <w:r>
            <w:rPr>
              <w:rStyle w:val="11"/>
            </w:rPr>
            <w:fldChar w:fldCharType="separate"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HYPERLINK \l _Toc17948 </w:instrText>
          </w:r>
          <w:r>
            <w:rPr>
              <w:sz w:val="21"/>
              <w:szCs w:val="21"/>
            </w:rPr>
            <w:fldChar w:fldCharType="separate"/>
          </w:r>
          <w:r>
            <w:rPr>
              <w:rFonts w:hint="eastAsia"/>
              <w:sz w:val="21"/>
              <w:szCs w:val="21"/>
            </w:rPr>
            <w:t>TensorFlow</w:t>
          </w:r>
          <w:r>
            <w:rPr>
              <w:sz w:val="21"/>
              <w:szCs w:val="21"/>
            </w:rPr>
            <w:t xml:space="preserve"> </w:t>
          </w:r>
          <w:r>
            <w:rPr>
              <w:rFonts w:hint="eastAsia"/>
              <w:sz w:val="21"/>
              <w:szCs w:val="21"/>
            </w:rPr>
            <w:t>Playground</w:t>
          </w:r>
          <w:r>
            <w:rPr>
              <w:sz w:val="21"/>
              <w:szCs w:val="21"/>
            </w:rPr>
            <w:t xml:space="preserve"> </w:t>
          </w:r>
          <w:r>
            <w:rPr>
              <w:rFonts w:hint="eastAsia"/>
              <w:sz w:val="21"/>
              <w:szCs w:val="21"/>
            </w:rPr>
            <w:t>试用报告</w:t>
          </w:r>
          <w:r>
            <w:rPr>
              <w:sz w:val="21"/>
              <w:szCs w:val="21"/>
            </w:rPr>
            <w:tab/>
          </w: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PAGEREF _Toc17948 \h </w:instrText>
          </w:r>
          <w:r>
            <w:rPr>
              <w:sz w:val="21"/>
              <w:szCs w:val="21"/>
            </w:rPr>
            <w:fldChar w:fldCharType="separate"/>
          </w:r>
          <w:r>
            <w:rPr>
              <w:sz w:val="21"/>
              <w:szCs w:val="21"/>
            </w:rPr>
            <w:t>1</w:t>
          </w:r>
          <w:r>
            <w:rPr>
              <w:sz w:val="21"/>
              <w:szCs w:val="21"/>
            </w:rPr>
            <w:fldChar w:fldCharType="end"/>
          </w:r>
          <w:r>
            <w:rPr>
              <w:sz w:val="21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_Toc31529 </w:instrText>
          </w:r>
          <w:r>
            <w:fldChar w:fldCharType="separate"/>
          </w:r>
          <w:r>
            <w:t>TensorFlow Playground 简介</w:t>
          </w:r>
          <w:r>
            <w:tab/>
          </w:r>
          <w:r>
            <w:fldChar w:fldCharType="begin"/>
          </w:r>
          <w:r>
            <w:instrText xml:space="preserve"> PAGEREF _Toc31529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_Toc30900 </w:instrText>
          </w:r>
          <w:r>
            <w:fldChar w:fldCharType="separate"/>
          </w:r>
          <w:r>
            <w:t>数据集 DataSet</w:t>
          </w:r>
          <w:r>
            <w:tab/>
          </w:r>
          <w:r>
            <w:fldChar w:fldCharType="begin"/>
          </w:r>
          <w:r>
            <w:instrText xml:space="preserve"> PAGEREF _Toc30900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_Toc17834 </w:instrText>
          </w:r>
          <w:r>
            <w:fldChar w:fldCharType="separate"/>
          </w:r>
          <w:r>
            <w:t xml:space="preserve">特征 </w:t>
          </w:r>
          <w:r>
            <w:rPr>
              <w:rFonts w:hint="eastAsia"/>
            </w:rPr>
            <w:t>F</w:t>
          </w:r>
          <w:r>
            <w:t>eature</w:t>
          </w:r>
          <w:r>
            <w:tab/>
          </w:r>
          <w:r>
            <w:fldChar w:fldCharType="begin"/>
          </w:r>
          <w:r>
            <w:instrText xml:space="preserve"> PAGEREF _Toc17834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_Toc31479 </w:instrText>
          </w:r>
          <w:r>
            <w:fldChar w:fldCharType="separate"/>
          </w:r>
          <w:r>
            <w:t xml:space="preserve">隐藏层 </w:t>
          </w:r>
          <w:r>
            <w:rPr>
              <w:rFonts w:hint="eastAsia"/>
            </w:rPr>
            <w:t>H</w:t>
          </w:r>
          <w:r>
            <w:t xml:space="preserve">idden </w:t>
          </w:r>
          <w:r>
            <w:rPr>
              <w:rFonts w:hint="eastAsia"/>
            </w:rPr>
            <w:t>L</w:t>
          </w:r>
          <w:r>
            <w:t>ayers</w:t>
          </w:r>
          <w:r>
            <w:tab/>
          </w:r>
          <w:r>
            <w:fldChar w:fldCharType="begin"/>
          </w:r>
          <w:r>
            <w:instrText xml:space="preserve"> PAGEREF _Toc31479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  <w:jc w:val="left"/>
          </w:pPr>
          <w:r>
            <w:fldChar w:fldCharType="begin"/>
          </w:r>
          <w:r>
            <w:instrText xml:space="preserve"> HYPERLINK \l _Toc32698 </w:instrText>
          </w:r>
          <w:r>
            <w:fldChar w:fldCharType="separate"/>
          </w:r>
          <w:r>
            <w:t xml:space="preserve">学习率 Learning </w:t>
          </w:r>
          <w:r>
            <w:rPr>
              <w:rFonts w:hint="eastAsia"/>
            </w:rPr>
            <w:t>Ra</w:t>
          </w:r>
          <w:r>
            <w:t>te</w:t>
          </w:r>
          <w:r>
            <w:tab/>
          </w:r>
          <w:r>
            <w:fldChar w:fldCharType="begin"/>
          </w:r>
          <w:r>
            <w:instrText xml:space="preserve"> PAGEREF _Toc32698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_Toc22497 </w:instrText>
          </w:r>
          <w:r>
            <w:fldChar w:fldCharType="separate"/>
          </w:r>
          <w:r>
            <w:t>激活函数 Activation</w:t>
          </w:r>
          <w:r>
            <w:tab/>
          </w:r>
          <w:r>
            <w:fldChar w:fldCharType="begin"/>
          </w:r>
          <w:r>
            <w:instrText xml:space="preserve"> PAGEREF _Toc22497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_Toc24264 </w:instrText>
          </w:r>
          <w:r>
            <w:fldChar w:fldCharType="separate"/>
          </w:r>
          <w:r>
            <w:t>正则化 Regularization 和 正则化率 Regularization Rate</w:t>
          </w:r>
          <w:r>
            <w:tab/>
          </w:r>
          <w:r>
            <w:fldChar w:fldCharType="begin"/>
          </w:r>
          <w:r>
            <w:instrText xml:space="preserve"> PAGEREF _Toc24264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_Toc5099 </w:instrText>
          </w:r>
          <w:r>
            <w:fldChar w:fldCharType="separate"/>
          </w:r>
          <w:r>
            <w:rPr>
              <w:rFonts w:hint="eastAsia"/>
            </w:rPr>
            <w:t>试用展示</w:t>
          </w:r>
          <w:r>
            <w:tab/>
          </w:r>
          <w:r>
            <w:fldChar w:fldCharType="begin"/>
          </w:r>
          <w:r>
            <w:instrText xml:space="preserve"> PAGEREF _Toc5099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hint="eastAsia"/>
            </w:rPr>
          </w:pPr>
          <w:r>
            <w:fldChar w:fldCharType="end"/>
          </w:r>
        </w:p>
      </w:sdtContent>
    </w:sdt>
    <w:p>
      <w:pPr>
        <w:pStyle w:val="4"/>
      </w:pPr>
      <w:bookmarkStart w:id="1" w:name="_Toc31529"/>
      <w:r>
        <w:t>TensorFlow Playground 简介</w:t>
      </w:r>
      <w:bookmarkEnd w:id="1"/>
      <w:bookmarkStart w:id="9" w:name="_GoBack"/>
      <w:bookmarkEnd w:id="9"/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fldChar w:fldCharType="begin"/>
      </w:r>
      <w:r>
        <w:instrText xml:space="preserve"> HYPERLINK "https://link.juejin.cn?target=https%3A%2F%2Fgithub.com%2Ftensorflow%2Fplayground" \t "_blank" \o "https://github.com/tensorflow/playground" </w:instrText>
      </w:r>
      <w:r>
        <w:fldChar w:fldCharType="separate"/>
      </w:r>
      <w:r>
        <w:rPr>
          <w:rFonts w:ascii="宋体" w:hAnsi="宋体" w:eastAsia="宋体"/>
          <w:sz w:val="28"/>
          <w:szCs w:val="28"/>
        </w:rPr>
        <w:t>TenforFlow Playground</w:t>
      </w:r>
      <w:r>
        <w:rPr>
          <w:rFonts w:ascii="宋体" w:hAnsi="宋体" w:eastAsia="宋体"/>
          <w:sz w:val="28"/>
          <w:szCs w:val="28"/>
        </w:rPr>
        <w:fldChar w:fldCharType="end"/>
      </w:r>
      <w:r>
        <w:rPr>
          <w:rFonts w:ascii="宋体" w:hAnsi="宋体" w:eastAsia="宋体"/>
          <w:sz w:val="28"/>
          <w:szCs w:val="28"/>
        </w:rPr>
        <w:t>是一个用来图形化教学的简单神经网络在线演示和实验的平台</w:t>
      </w:r>
      <w:r>
        <w:rPr>
          <w:rFonts w:hint="eastAsia" w:ascii="宋体" w:hAnsi="宋体" w:eastAsia="宋体"/>
          <w:sz w:val="28"/>
          <w:szCs w:val="28"/>
        </w:rPr>
        <w:t>。其可</w:t>
      </w:r>
      <w:r>
        <w:rPr>
          <w:rFonts w:ascii="宋体" w:hAnsi="宋体" w:eastAsia="宋体"/>
          <w:sz w:val="28"/>
          <w:szCs w:val="28"/>
        </w:rPr>
        <w:t>将神经网络的训练过程直接可视化</w:t>
      </w:r>
      <w:r>
        <w:rPr>
          <w:rFonts w:hint="eastAsia" w:ascii="宋体" w:hAnsi="宋体" w:eastAsia="宋体"/>
          <w:sz w:val="28"/>
          <w:szCs w:val="28"/>
        </w:rPr>
        <w:t>，从中可快速便捷的感受参数的变化对训练的影响。各部分介绍如下：</w:t>
      </w:r>
    </w:p>
    <w:p>
      <w:pPr>
        <w:pStyle w:val="4"/>
      </w:pPr>
      <w:bookmarkStart w:id="2" w:name="_Toc30900"/>
      <w:r>
        <w:t>数据集 DataSet</w:t>
      </w:r>
      <w:bookmarkEnd w:id="2"/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在分类任务的实验数据中，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需要</w:t>
      </w:r>
      <w:r>
        <w:rPr>
          <w:rFonts w:ascii="宋体" w:hAnsi="宋体" w:eastAsia="宋体"/>
          <w:sz w:val="28"/>
          <w:szCs w:val="28"/>
        </w:rPr>
        <w:t>分别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对</w:t>
      </w:r>
      <w:r>
        <w:rPr>
          <w:rFonts w:ascii="宋体" w:hAnsi="宋体" w:eastAsia="宋体"/>
          <w:sz w:val="28"/>
          <w:szCs w:val="28"/>
        </w:rPr>
        <w:t>圆形、异或、高斯和螺旋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形状的数据进行分类</w:t>
      </w:r>
      <w:r>
        <w:rPr>
          <w:rFonts w:hint="eastAsia" w:ascii="宋体" w:hAnsi="宋体" w:eastAsia="宋体"/>
          <w:sz w:val="28"/>
          <w:szCs w:val="28"/>
        </w:rPr>
        <w:t>，</w:t>
      </w:r>
      <w:r>
        <w:rPr>
          <w:rFonts w:ascii="宋体" w:hAnsi="宋体" w:eastAsia="宋体"/>
          <w:sz w:val="28"/>
          <w:szCs w:val="28"/>
        </w:rPr>
        <w:t>蓝色和黄色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代表</w:t>
      </w:r>
      <w:r>
        <w:rPr>
          <w:rFonts w:ascii="宋体" w:hAnsi="宋体" w:eastAsia="宋体"/>
          <w:sz w:val="28"/>
          <w:szCs w:val="28"/>
        </w:rPr>
        <w:t>两类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数据</w:t>
      </w:r>
      <w:r>
        <w:rPr>
          <w:rFonts w:hint="eastAsia" w:ascii="宋体" w:hAnsi="宋体" w:eastAsia="宋体"/>
          <w:sz w:val="28"/>
          <w:szCs w:val="28"/>
        </w:rPr>
        <w:t>，如下图所示：</w:t>
      </w:r>
    </w:p>
    <w:p>
      <w:pPr>
        <w:ind w:firstLine="420"/>
        <w:jc w:val="center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3108960" cy="31000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7367" cy="31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PlayGround提供了非常灵活的数据配置，可以调节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神经元个数，</w:t>
      </w:r>
      <w:r>
        <w:rPr>
          <w:rFonts w:ascii="宋体" w:hAnsi="宋体" w:eastAsia="宋体"/>
          <w:sz w:val="28"/>
          <w:szCs w:val="28"/>
        </w:rPr>
        <w:t>噪声、训练数据和测试数据的比例和Batchsize的大小。</w:t>
      </w:r>
    </w:p>
    <w:p>
      <w:pPr>
        <w:pStyle w:val="4"/>
      </w:pPr>
      <w:bookmarkStart w:id="3" w:name="_Toc17834"/>
      <w:r>
        <w:t xml:space="preserve">特征 </w:t>
      </w:r>
      <w:r>
        <w:rPr>
          <w:rFonts w:hint="eastAsia"/>
        </w:rPr>
        <w:t>F</w:t>
      </w:r>
      <w:r>
        <w:t>eature</w:t>
      </w:r>
      <w:bookmarkEnd w:id="3"/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Feature一栏包含了可供选择的7种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输入</w:t>
      </w:r>
      <w:r>
        <w:rPr>
          <w:rFonts w:ascii="宋体" w:hAnsi="宋体" w:eastAsia="宋体"/>
          <w:sz w:val="28"/>
          <w:szCs w:val="28"/>
        </w:rPr>
        <w:t>特征</w:t>
      </w:r>
      <w:r>
        <w:rPr>
          <w:rFonts w:hint="eastAsia" w:ascii="宋体" w:hAnsi="宋体" w:eastAsia="宋体"/>
          <w:sz w:val="28"/>
          <w:szCs w:val="28"/>
        </w:rPr>
        <w:t>：</w:t>
      </w:r>
      <m:oMath>
        <m:sSub>
          <m:sSub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sz w:val="28"/>
          <w:szCs w:val="28"/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sz w:val="28"/>
          <w:szCs w:val="28"/>
        </w:rPr>
        <w:t>，</w:t>
      </w:r>
      <m:oMath>
        <m:sSubSup>
          <m:sSubSup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SubSupPr>
          <m:e>
            <m:r>
              <m:rPr/>
              <w:rPr>
                <w:rFonts w:hint="default"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p>
        </m:sSubSup>
      </m:oMath>
      <w:r>
        <w:rPr>
          <w:rFonts w:hint="default" w:ascii="Times New Roman" w:hAnsi="Times New Roman" w:eastAsia="宋体" w:cs="Times New Roman"/>
          <w:sz w:val="28"/>
          <w:szCs w:val="28"/>
        </w:rPr>
        <w:t>，</w:t>
      </w:r>
      <m:oMath>
        <m:sSubSup>
          <m:sSubSup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SubSupPr>
          <m:e>
            <m:r>
              <m:rPr/>
              <w:rPr>
                <w:rFonts w:hint="default"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p>
        </m:sSubSup>
      </m:oMath>
      <w:r>
        <w:rPr>
          <w:rFonts w:hint="default" w:ascii="Times New Roman" w:hAnsi="Times New Roman" w:eastAsia="宋体" w:cs="Times New Roman"/>
          <w:sz w:val="28"/>
          <w:szCs w:val="28"/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1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sz w:val="28"/>
                <w:szCs w:val="28"/>
              </w:rPr>
              <m:t>X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2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sz w:val="28"/>
          <w:szCs w:val="28"/>
        </w:rPr>
        <w:t>，</w:t>
      </w:r>
      <m:oMath>
        <m:func>
          <m:func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sin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  <m:t>X</m:t>
                </m:r>
                <m:ctrl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  <m:t>1</m:t>
                </m:r>
                <m:ctrl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</m:func>
      </m:oMath>
      <w:r>
        <w:rPr>
          <w:rFonts w:hint="default" w:ascii="Times New Roman" w:hAnsi="Times New Roman" w:eastAsia="宋体" w:cs="Times New Roman"/>
          <w:sz w:val="28"/>
          <w:szCs w:val="28"/>
        </w:rPr>
        <w:t>，</w:t>
      </w:r>
      <m:oMath>
        <m:func>
          <m:funcP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8"/>
                <w:szCs w:val="28"/>
              </w:rPr>
              <m:t>sin</m:t>
            </m:r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  <m:t>X</m:t>
                </m:r>
                <m:ctrl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sz w:val="28"/>
                    <w:szCs w:val="28"/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sz w:val="28"/>
                <w:szCs w:val="28"/>
              </w:rPr>
            </m:ctrlPr>
          </m:e>
        </m:func>
      </m:oMath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pStyle w:val="4"/>
      </w:pPr>
      <w:bookmarkStart w:id="4" w:name="_Toc31479"/>
      <w:r>
        <w:t xml:space="preserve">隐藏层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L</w:t>
      </w:r>
      <w:r>
        <w:t>ayers</w:t>
      </w:r>
      <w:bookmarkEnd w:id="4"/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隐藏层</w:t>
      </w:r>
      <w:r>
        <w:rPr>
          <w:rFonts w:ascii="宋体" w:hAnsi="宋体" w:eastAsia="宋体"/>
          <w:sz w:val="28"/>
          <w:szCs w:val="28"/>
        </w:rPr>
        <w:t>一栏可设置多少隐含层。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隐藏层就是除去输入和输出的神经元，每一层的神经元的输出经过激活函数后传递给下一层神经元。其中神经元</w:t>
      </w:r>
      <w:r>
        <w:rPr>
          <w:rFonts w:ascii="宋体" w:hAnsi="宋体" w:eastAsia="宋体"/>
          <w:sz w:val="28"/>
          <w:szCs w:val="28"/>
        </w:rPr>
        <w:t>的颜色</w:t>
      </w:r>
      <w:r>
        <w:rPr>
          <w:rFonts w:hint="eastAsia" w:ascii="宋体" w:hAnsi="宋体" w:eastAsia="宋体"/>
          <w:sz w:val="28"/>
          <w:szCs w:val="28"/>
          <w:lang w:eastAsia="zh-CN"/>
        </w:rPr>
        <w:t>的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意义如下</w:t>
      </w:r>
      <w:r>
        <w:rPr>
          <w:rFonts w:ascii="宋体" w:hAnsi="宋体" w:eastAsia="宋体"/>
          <w:sz w:val="28"/>
          <w:szCs w:val="28"/>
        </w:rPr>
        <w:t>：</w:t>
      </w: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每个神经元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中的</w:t>
      </w:r>
      <w:r>
        <w:rPr>
          <w:rFonts w:ascii="宋体" w:hAnsi="宋体" w:eastAsia="宋体"/>
          <w:sz w:val="28"/>
          <w:szCs w:val="28"/>
        </w:rPr>
        <w:t>蓝色部分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和黄色部分代表对应类别数据造成的激活情况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每个神经元输出的线有蓝黄两色，蓝色是正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权重</w:t>
      </w:r>
      <w:r>
        <w:rPr>
          <w:rFonts w:ascii="宋体" w:hAnsi="宋体" w:eastAsia="宋体"/>
          <w:sz w:val="28"/>
          <w:szCs w:val="28"/>
        </w:rPr>
        <w:t>，黄色是负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权重</w:t>
      </w:r>
      <w:r>
        <w:rPr>
          <w:rFonts w:ascii="宋体" w:hAnsi="宋体" w:eastAsia="宋体"/>
          <w:sz w:val="28"/>
          <w:szCs w:val="28"/>
        </w:rPr>
        <w:t>。越粗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说明响应的权重越大。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隐藏层中神经元和权重可视化结果如下图所示：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2405" cy="3916680"/>
            <wp:effectExtent l="0" t="0" r="63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" w:name="_Toc32698"/>
      <w:r>
        <w:t xml:space="preserve">学习率 Learning </w:t>
      </w:r>
      <w:r>
        <w:rPr>
          <w:rFonts w:hint="eastAsia"/>
        </w:rPr>
        <w:t>Ra</w:t>
      </w:r>
      <w:r>
        <w:t>te</w:t>
      </w:r>
      <w:bookmarkEnd w:id="5"/>
    </w:p>
    <w:p>
      <w:pPr>
        <w:ind w:firstLine="42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ascii="宋体" w:hAnsi="宋体" w:eastAsia="宋体"/>
          <w:sz w:val="28"/>
          <w:szCs w:val="28"/>
        </w:rPr>
        <w:t>学习率就是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每次梯度下降时采用的步长，反映了参数更新的幅度。较大的学习率能收敛很快，但是可能找不到最优解；小的学习率收敛太慢，可能陷入局部最优解，因此学习率的选取是很重要的。</w:t>
      </w:r>
    </w:p>
    <w:p>
      <w:pPr>
        <w:ind w:firstLine="42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下面是不同学习率的影响对比：</w:t>
      </w:r>
    </w:p>
    <w:p>
      <w:pPr>
        <w:ind w:firstLine="42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学习率=0.03</w:t>
      </w:r>
    </w:p>
    <w:p>
      <w:pPr>
        <w:ind w:firstLine="420"/>
      </w:pPr>
      <w:r>
        <w:drawing>
          <wp:inline distT="0" distB="0" distL="114300" distR="114300">
            <wp:extent cx="5264150" cy="2802890"/>
            <wp:effectExtent l="0" t="0" r="8890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学习率=0.003：</w:t>
      </w:r>
    </w:p>
    <w:p>
      <w:pPr>
        <w:ind w:firstLine="420"/>
      </w:pPr>
      <w:r>
        <w:drawing>
          <wp:inline distT="0" distB="0" distL="114300" distR="114300">
            <wp:extent cx="5262245" cy="2269490"/>
            <wp:effectExtent l="0" t="0" r="1079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收敛时情况如下：</w:t>
      </w:r>
    </w:p>
    <w:p>
      <w:pPr>
        <w:ind w:firstLine="420"/>
      </w:pPr>
      <w:r>
        <w:drawing>
          <wp:inline distT="0" distB="0" distL="114300" distR="114300">
            <wp:extent cx="5262245" cy="2232660"/>
            <wp:effectExtent l="0" t="0" r="10795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可见学习率较大时收敛很快，学习率较小时收敛很慢但是最终的结果比大学习率要略精细。</w:t>
      </w:r>
    </w:p>
    <w:p>
      <w:pPr>
        <w:pStyle w:val="4"/>
      </w:pPr>
      <w:bookmarkStart w:id="6" w:name="_Toc22497"/>
      <w:r>
        <w:t>激活函数 Activation</w:t>
      </w:r>
      <w:bookmarkEnd w:id="6"/>
    </w:p>
    <w:p>
      <w:pPr>
        <w:ind w:firstLine="42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ascii="宋体" w:hAnsi="宋体" w:eastAsia="宋体"/>
          <w:sz w:val="28"/>
          <w:szCs w:val="28"/>
        </w:rPr>
        <w:t>激活函数</w:t>
      </w:r>
      <w:r>
        <w:rPr>
          <w:rFonts w:hint="eastAsia" w:ascii="宋体" w:hAnsi="宋体" w:eastAsia="宋体"/>
          <w:sz w:val="28"/>
          <w:szCs w:val="28"/>
          <w:lang w:eastAsia="zh-CN"/>
        </w:rPr>
        <w:t>的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目的是提升神经网络的非线性拟合能力，如果缺少激活函数，神经网络就变成了简单的线性矩阵运算，然而实际的数据往往不是线性的。</w:t>
      </w:r>
    </w:p>
    <w:p>
      <w:pPr>
        <w:ind w:firstLine="420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下面是不同的激活函数的对比：</w:t>
      </w:r>
    </w:p>
    <w:p>
      <w:pPr>
        <w:ind w:firstLine="42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使用Tanh：</w:t>
      </w:r>
    </w:p>
    <w:p>
      <w:pPr>
        <w:ind w:firstLine="420"/>
      </w:pPr>
      <w:r>
        <w:drawing>
          <wp:inline distT="0" distB="0" distL="114300" distR="114300">
            <wp:extent cx="4447540" cy="2760980"/>
            <wp:effectExtent l="0" t="0" r="2540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使用ReLU：</w:t>
      </w:r>
    </w:p>
    <w:p>
      <w:p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71850"/>
            <wp:effectExtent l="0" t="0" r="6350" b="1143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由此可见，激活函数的非线性程度影响了最终的结果，ReLU在非负数域是线性函数，而TanH的非线性性较好，能拟合更复杂的分布（比如上图的瑞士卷分布）。</w:t>
      </w:r>
    </w:p>
    <w:p>
      <w:pPr>
        <w:pStyle w:val="4"/>
      </w:pPr>
      <w:bookmarkStart w:id="7" w:name="_Toc24264"/>
      <w:r>
        <w:t>正则化 Regularization 和 正则化率 Regularization Rate</w:t>
      </w:r>
      <w:bookmarkEnd w:id="7"/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正则化是解决过拟合的手段之一，使用正则化可以降低模型的复杂度，增强模型的泛化能力。正则化常用的几种方法有 L</w:t>
      </w:r>
      <w:r>
        <w:rPr>
          <w:rFonts w:ascii="宋体" w:hAnsi="宋体" w:eastAsia="宋体"/>
          <w:sz w:val="28"/>
          <w:szCs w:val="28"/>
          <w:vertAlign w:val="subscript"/>
        </w:rPr>
        <w:t>1</w:t>
      </w:r>
      <w:r>
        <w:rPr>
          <w:rFonts w:ascii="宋体" w:hAnsi="宋体" w:eastAsia="宋体"/>
          <w:sz w:val="28"/>
          <w:szCs w:val="28"/>
        </w:rPr>
        <w:t xml:space="preserve"> 和 L</w:t>
      </w:r>
      <w:r>
        <w:rPr>
          <w:rFonts w:ascii="宋体" w:hAnsi="宋体" w:eastAsia="宋体"/>
          <w:sz w:val="28"/>
          <w:szCs w:val="28"/>
          <w:vertAlign w:val="subscript"/>
        </w:rPr>
        <w:t>2</w:t>
      </w:r>
      <w:r>
        <w:rPr>
          <w:rFonts w:ascii="宋体" w:hAnsi="宋体" w:eastAsia="宋体"/>
          <w:sz w:val="28"/>
          <w:szCs w:val="28"/>
        </w:rPr>
        <w:t>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/>
          <w:sz w:val="28"/>
          <w:szCs w:val="28"/>
        </w:rPr>
        <w:t>L</w:t>
      </w:r>
      <w:r>
        <w:rPr>
          <w:rFonts w:ascii="宋体" w:hAnsi="宋体" w:eastAsia="宋体"/>
          <w:sz w:val="28"/>
          <w:szCs w:val="28"/>
          <w:vertAlign w:val="subscript"/>
        </w:rPr>
        <w:t>1</w:t>
      </w:r>
      <w:r>
        <w:rPr>
          <w:rFonts w:ascii="宋体" w:hAnsi="宋体" w:eastAsia="宋体"/>
          <w:sz w:val="28"/>
          <w:szCs w:val="28"/>
        </w:rPr>
        <w:t xml:space="preserve"> 范数：权值向量 w 中各个元素的绝对值之和。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L</w:t>
      </w:r>
      <w:r>
        <w:rPr>
          <w:rFonts w:ascii="宋体" w:hAnsi="宋体" w:eastAsia="宋体"/>
          <w:sz w:val="28"/>
          <w:szCs w:val="28"/>
          <w:vertAlign w:val="subscript"/>
        </w:rPr>
        <w:t>2</w:t>
      </w:r>
      <w:r>
        <w:rPr>
          <w:rFonts w:ascii="宋体" w:hAnsi="宋体" w:eastAsia="宋体"/>
          <w:sz w:val="28"/>
          <w:szCs w:val="28"/>
        </w:rPr>
        <w:t xml:space="preserve"> 范数：权值向量 w 中各个元素的平方和求平方根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正则化率就是正则化的程度，提高正则化率可以减少过拟合，但是也要注意不要过高导致欠拟合。</w:t>
      </w:r>
    </w:p>
    <w:p>
      <w:pPr>
        <w:pStyle w:val="4"/>
      </w:pPr>
      <w:bookmarkStart w:id="8" w:name="_Toc5099"/>
      <w:r>
        <w:rPr>
          <w:rFonts w:hint="eastAsia"/>
        </w:rPr>
        <w:t>试用展示</w:t>
      </w:r>
      <w:bookmarkEnd w:id="8"/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各类型数据集调参后分类结果展示如下各图所示。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圆形：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1135" cy="3399790"/>
            <wp:effectExtent l="0" t="0" r="1905" b="139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异或：</w:t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2880" cy="3336290"/>
            <wp:effectExtent l="0" t="0" r="10160" b="127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高斯：</w:t>
      </w:r>
    </w:p>
    <w:p>
      <w:pPr>
        <w:ind w:firstLine="420"/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0340" cy="2928620"/>
            <wp:effectExtent l="0" t="0" r="12700" b="1270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螺旋型：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66690" cy="2919730"/>
            <wp:effectExtent l="0" t="0" r="635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980F84"/>
    <w:multiLevelType w:val="multilevel"/>
    <w:tmpl w:val="19980F8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505D5234"/>
    <w:multiLevelType w:val="multilevel"/>
    <w:tmpl w:val="505D5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A3OGZjMDRiNTc1ZGVlNTkyYWFiODM1NTBjMmU5MDIifQ=="/>
  </w:docVars>
  <w:rsids>
    <w:rsidRoot w:val="00211124"/>
    <w:rsid w:val="001A3E45"/>
    <w:rsid w:val="00211124"/>
    <w:rsid w:val="002B68EC"/>
    <w:rsid w:val="003346EF"/>
    <w:rsid w:val="00493AB2"/>
    <w:rsid w:val="004C3066"/>
    <w:rsid w:val="004E142B"/>
    <w:rsid w:val="00850E2C"/>
    <w:rsid w:val="00895EA9"/>
    <w:rsid w:val="008C58B7"/>
    <w:rsid w:val="00CD7276"/>
    <w:rsid w:val="0AC901C8"/>
    <w:rsid w:val="13C5743C"/>
    <w:rsid w:val="2C775AD6"/>
    <w:rsid w:val="31865055"/>
    <w:rsid w:val="31D26556"/>
    <w:rsid w:val="4A23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unhideWhenUsed/>
    <w:qFormat/>
    <w:uiPriority w:val="39"/>
    <w:pPr>
      <w:spacing w:before="240" w:after="240"/>
    </w:pPr>
    <w:rPr>
      <w:sz w:val="28"/>
    </w:rPr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uiPriority w:val="99"/>
    <w:rPr>
      <w:color w:val="0000FF"/>
      <w:u w:val="single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uiPriority w:val="9"/>
    <w:rPr>
      <w:b/>
      <w:bCs/>
      <w:sz w:val="32"/>
      <w:szCs w:val="32"/>
    </w:rPr>
  </w:style>
  <w:style w:type="character" w:styleId="15">
    <w:name w:val="Placeholder Text"/>
    <w:basedOn w:val="9"/>
    <w:semiHidden/>
    <w:qFormat/>
    <w:uiPriority w:val="99"/>
    <w:rPr>
      <w:color w:val="808080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8BBB9-0FCF-448E-8F30-2CABF5EBD57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994</Words>
  <Characters>1289</Characters>
  <Lines>20</Lines>
  <Paragraphs>5</Paragraphs>
  <TotalTime>2</TotalTime>
  <ScaleCrop>false</ScaleCrop>
  <LinksUpToDate>false</LinksUpToDate>
  <CharactersWithSpaces>1477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2023-04-08T02:11:00Z</dcterms:created>
  <dc:creator>ASUS</dc:creator>
  <cp:lastModifiedBy>Glimmer</cp:lastModifiedBy>
  <dcterms:modified xsi:type="dcterms:W3CDTF">2023-04-10T13:44:35Z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BB0A3C7A00EC42F6B655125B9EC5429E_12</vt:lpwstr>
  </property>
</Properties>
</file>