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cs="Arial"/>
          <w:b/>
          <w:sz w:val="38"/>
        </w:rPr>
        <w:t>تقرير مشروع Two-Path Breast Cancer AI</w:t>
      </w:r>
    </w:p>
    <w:p>
      <w:pPr>
        <w:jc w:val="right"/>
        <w:bidi w:val="1"/>
      </w:pPr>
      <w:r>
        <w:rPr>
          <w:rFonts w:ascii="Arial" w:hAnsi="Arial" w:cs="Arial"/>
          <w:b/>
          <w:sz w:val="22"/>
        </w:rPr>
        <w:t>نظام دعم قرار لسرطان الثدي قبل التشخيص وبعد التشخيص، مع نتائج النماذج وشكل المخرجات النهائية عند إدخال بيانات مريضة.</w:t>
      </w:r>
    </w:p>
    <w:p>
      <w:pPr>
        <w:jc w:val="right"/>
        <w:bidi w:val="1"/>
      </w:pPr>
      <w:r>
        <w:rPr>
          <w:rFonts w:ascii="Arial" w:hAnsi="Arial" w:cs="Arial"/>
          <w:b/>
          <w:color w:val="1F4D78"/>
          <w:sz w:val="30"/>
        </w:rPr>
        <w:t>1. ملخص تنفيذي</w:t>
      </w:r>
    </w:p>
    <w:p>
      <w:pPr>
        <w:jc w:val="right"/>
        <w:bidi w:val="1"/>
      </w:pPr>
      <w:r>
        <w:rPr>
          <w:rFonts w:ascii="Arial" w:hAnsi="Arial" w:cs="Arial"/>
          <w:b w:val="0"/>
          <w:sz w:val="22"/>
        </w:rPr>
        <w:t>المشروع عبارة عن نظامين مكملين لدعم قرار سرطان الثدي: مسار قبل التشخيص لتقدير خطر الإصابة مستقبلا، ومسار بعد التشخيص لتوقع النوع الجزيئي وخطر الارتجاع/البقاء مع توصيات مساعدة للطبيب.</w:t>
      </w:r>
    </w:p>
    <w:p>
      <w:pPr>
        <w:jc w:val="right"/>
        <w:bidi w:val="1"/>
      </w:pPr>
      <w:r>
        <w:rPr>
          <w:rFonts w:ascii="Arial" w:hAnsi="Arial" w:cs="Arial"/>
          <w:b w:val="0"/>
          <w:sz w:val="22"/>
        </w:rPr>
        <w:t>الهدف إن العميل يشوف الصورة كاملة: الداتا المستخدمة، الموديلات، النتائج، وشكل المخرجات عند إدخال بيانات مريضة أو رفع CSV.</w:t>
      </w:r>
    </w:p>
    <w:p>
      <w:pPr>
        <w:jc w:val="right"/>
        <w:bidi w:val="1"/>
      </w:pPr>
      <w:r>
        <w:rPr>
          <w:rFonts w:ascii="Arial" w:hAnsi="Arial" w:cs="Arial"/>
          <w:b w:val="0"/>
          <w:sz w:val="22"/>
        </w:rPr>
        <w:t>المشروع متقسم لمسارين: قبل التشخيص باستخدام BCSC لتوقع خطر الإصابة مستقبلا، وبعد التشخيص باستخدام METABRIC لتوقع subtype و5-year recurrence/survival مع أهم الجينات وتوصيات مساعدة للطبيب.</w:t>
      </w:r>
    </w:p>
    <w:p>
      <w:pPr>
        <w:jc w:val="right"/>
        <w:bidi w:val="1"/>
      </w:pPr>
      <w:r>
        <w:rPr>
          <w:rFonts w:ascii="Arial" w:hAnsi="Arial" w:cs="Arial"/>
          <w:b/>
          <w:color w:val="1F4D78"/>
          <w:sz w:val="30"/>
        </w:rPr>
        <w:t>2. إحنا عملنا إيه بالضبط؟</w:t>
      </w:r>
    </w:p>
    <w:p>
      <w:pPr>
        <w:jc w:val="right"/>
        <w:bidi w:val="1"/>
      </w:pPr>
      <w:r>
        <w:rPr>
          <w:rFonts w:ascii="Arial" w:hAnsi="Arial" w:cs="Arial"/>
          <w:b w:val="0"/>
          <w:sz w:val="22"/>
        </w:rPr>
        <w:t>جهزنا pipeline كامل داخل نوتبوك واحدة clean، وكل خطوات القراءة والتنظيف والتدريب والتقييم موجودة داخل النوتبوك.</w:t>
      </w:r>
    </w:p>
    <w:p>
      <w:pPr>
        <w:jc w:val="right"/>
        <w:bidi w:val="1"/>
      </w:pPr>
      <w:r>
        <w:rPr>
          <w:rFonts w:ascii="Arial" w:hAnsi="Arial" w:cs="Arial"/>
          <w:b w:val="0"/>
          <w:sz w:val="22"/>
        </w:rPr>
        <w:t>استخدمنا BCSC لمسار ما قبل التشخيص، واشتغلنا على عوامل خطورة مثل العمر، كثافة الثدي، BMI، التاريخ العائلي، تاريخ الماموجرام، وحالة الهرمونات.</w:t>
      </w:r>
    </w:p>
    <w:p>
      <w:pPr>
        <w:jc w:val="right"/>
        <w:bidi w:val="1"/>
      </w:pPr>
      <w:r>
        <w:rPr>
          <w:rFonts w:ascii="Arial" w:hAnsi="Arial" w:cs="Arial"/>
          <w:b w:val="0"/>
          <w:sz w:val="22"/>
        </w:rPr>
        <w:t>دربنا نموذج risk prediction يخرج predicted 1-year breast cancer risk percentage مع risk tier، وليس مجرد high/low label.</w:t>
      </w:r>
    </w:p>
    <w:p>
      <w:pPr>
        <w:jc w:val="right"/>
        <w:bidi w:val="1"/>
      </w:pPr>
      <w:r>
        <w:rPr>
          <w:rFonts w:ascii="Arial" w:hAnsi="Arial" w:cs="Arial"/>
          <w:b w:val="0"/>
          <w:sz w:val="22"/>
        </w:rPr>
        <w:t>استخدمنا METABRIC لمسار ما بعد التشخيص، ودمجنا clinical data مع gene expression data.</w:t>
      </w:r>
    </w:p>
    <w:p>
      <w:pPr>
        <w:jc w:val="right"/>
        <w:bidi w:val="1"/>
      </w:pPr>
      <w:r>
        <w:rPr>
          <w:rFonts w:ascii="Arial" w:hAnsi="Arial" w:cs="Arial"/>
          <w:b w:val="0"/>
          <w:sz w:val="22"/>
        </w:rPr>
        <w:t>دربنا نموذج لتوقع molecular subtype، ونماذج لتوقع 5-year survival event و5-year recurrence.</w:t>
      </w:r>
    </w:p>
    <w:p>
      <w:pPr>
        <w:jc w:val="right"/>
        <w:bidi w:val="1"/>
      </w:pPr>
      <w:r>
        <w:rPr>
          <w:rFonts w:ascii="Arial" w:hAnsi="Arial" w:cs="Arial"/>
          <w:b w:val="0"/>
          <w:sz w:val="22"/>
        </w:rPr>
        <w:t>أضفنا explainability layer لأهم الجينات والعوامل السريرية، ومعها correlation matrix.</w:t>
      </w:r>
    </w:p>
    <w:p>
      <w:pPr>
        <w:jc w:val="right"/>
        <w:bidi w:val="1"/>
      </w:pPr>
      <w:r>
        <w:rPr>
          <w:rFonts w:ascii="Arial" w:hAnsi="Arial" w:cs="Arial"/>
          <w:b w:val="0"/>
          <w:sz w:val="22"/>
        </w:rPr>
        <w:t>أضفنا doctor-support recommendations تساعد الطبيب في التفكير العلاجي حسب subtype وrisk group، بدون استبدال القرار الطبي.</w:t>
      </w:r>
    </w:p>
    <w:p>
      <w:pPr>
        <w:jc w:val="right"/>
        <w:bidi w:val="1"/>
      </w:pPr>
      <w:r>
        <w:rPr>
          <w:rFonts w:ascii="Arial" w:hAnsi="Arial" w:cs="Arial"/>
          <w:b w:val="0"/>
          <w:sz w:val="22"/>
        </w:rPr>
        <w:t>جهزنا patient-level outputs توضح شكل التقرير النهائي لكل مريضة، سواء قبل التشخيص أو بعد التشخيص.</w:t>
      </w:r>
    </w:p>
    <w:p>
      <w:pPr>
        <w:jc w:val="right"/>
        <w:bidi w:val="1"/>
      </w:pPr>
      <w:r>
        <w:rPr>
          <w:rFonts w:ascii="Arial" w:hAnsi="Arial" w:cs="Arial"/>
          <w:b/>
          <w:color w:val="1F4D78"/>
          <w:sz w:val="30"/>
        </w:rPr>
        <w:t>3. لماذا لا نرفع الأرقام بشكل مصطنع؟</w:t>
      </w:r>
    </w:p>
    <w:p>
      <w:pPr>
        <w:jc w:val="right"/>
        <w:bidi w:val="1"/>
      </w:pPr>
      <w:r>
        <w:rPr>
          <w:rFonts w:ascii="Arial" w:hAnsi="Arial" w:cs="Arial"/>
          <w:b w:val="0"/>
          <w:sz w:val="22"/>
        </w:rPr>
        <w:t>رفع الأرقام بدون ضبط علمي قد يعني data leakage أو overfitting، وده يضعف الثقة في المشروع. التحسين الصحيح يكون بتجربة balancing مناسب، calibration، feature selection، cross-validation، وموديلات أقوى مع الحفاظ على فصل التدريب والاختبار.</w:t>
      </w:r>
    </w:p>
    <w:p>
      <w:pPr>
        <w:jc w:val="right"/>
        <w:bidi w:val="1"/>
      </w:pPr>
      <w:r>
        <w:rPr>
          <w:rFonts w:ascii="Arial" w:hAnsi="Arial" w:cs="Arial"/>
          <w:b w:val="0"/>
          <w:sz w:val="22"/>
        </w:rPr>
        <w:t>BCSC تحديدا يتعامل مع حدث نادر جدا قبل التشخيص، لذلك AUC حوالي 0.64 مقبول كـ risk stratification وليس كتشخيص مباشر. أما METABRIC فالأرقام أقوى لأننا نستخدم بيانات مريضات مشخصات وخصائص جينية/سريرية.</w:t>
      </w:r>
    </w:p>
    <w:p>
      <w:pPr>
        <w:jc w:val="right"/>
        <w:bidi w:val="1"/>
      </w:pPr>
      <w:r>
        <w:rPr>
          <w:rFonts w:ascii="Arial" w:hAnsi="Arial" w:cs="Arial"/>
          <w:b/>
          <w:color w:val="1F4D78"/>
          <w:sz w:val="30"/>
        </w:rPr>
        <w:t>4. النتائج الحالية</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pPr>
              <w:jc w:val="right"/>
              <w:bidi w:val="1"/>
            </w:pPr>
            <w:r/>
            <w:r>
              <w:rPr>
                <w:rFonts w:ascii="Arial" w:hAnsi="Arial" w:cs="Arial"/>
                <w:b/>
                <w:sz w:val="17"/>
              </w:rPr>
              <w:t>Path</w:t>
            </w:r>
          </w:p>
        </w:tc>
        <w:tc>
          <w:tcPr>
            <w:tcW w:type="dxa" w:w="2016"/>
            <w:vAlign w:val="center"/>
          </w:tcPr>
          <w:p>
            <w:pPr>
              <w:jc w:val="right"/>
              <w:bidi w:val="1"/>
            </w:pPr>
            <w:r/>
            <w:r>
              <w:rPr>
                <w:rFonts w:ascii="Arial" w:hAnsi="Arial" w:cs="Arial"/>
                <w:b/>
                <w:sz w:val="17"/>
              </w:rPr>
              <w:t>Task</w:t>
            </w:r>
          </w:p>
        </w:tc>
        <w:tc>
          <w:tcPr>
            <w:tcW w:type="dxa" w:w="2016"/>
            <w:vAlign w:val="center"/>
          </w:tcPr>
          <w:p>
            <w:pPr>
              <w:jc w:val="right"/>
              <w:bidi w:val="1"/>
            </w:pPr>
            <w:r/>
            <w:r>
              <w:rPr>
                <w:rFonts w:ascii="Arial" w:hAnsi="Arial" w:cs="Arial"/>
                <w:b/>
                <w:sz w:val="17"/>
              </w:rPr>
              <w:t>Metric</w:t>
            </w:r>
          </w:p>
        </w:tc>
        <w:tc>
          <w:tcPr>
            <w:tcW w:type="dxa" w:w="2016"/>
            <w:vAlign w:val="center"/>
          </w:tcPr>
          <w:p>
            <w:pPr>
              <w:jc w:val="right"/>
              <w:bidi w:val="1"/>
            </w:pPr>
            <w:r/>
            <w:r>
              <w:rPr>
                <w:rFonts w:ascii="Arial" w:hAnsi="Arial" w:cs="Arial"/>
                <w:b/>
                <w:sz w:val="17"/>
              </w:rPr>
              <w:t>Result</w:t>
            </w:r>
          </w:p>
        </w:tc>
        <w:tc>
          <w:tcPr>
            <w:tcW w:type="dxa" w:w="2016"/>
            <w:vAlign w:val="center"/>
          </w:tcPr>
          <w:p>
            <w:pPr>
              <w:jc w:val="right"/>
              <w:bidi w:val="1"/>
            </w:pPr>
            <w:r/>
            <w:r>
              <w:rPr>
                <w:rFonts w:ascii="Arial" w:hAnsi="Arial" w:cs="Arial"/>
                <w:b/>
                <w:sz w:val="17"/>
              </w:rPr>
              <w:t>Samples</w:t>
            </w:r>
          </w:p>
        </w:tc>
      </w:tr>
      <w:tr>
        <w:tc>
          <w:tcPr>
            <w:tcW w:type="dxa" w:w="2016"/>
            <w:vAlign w:val="center"/>
          </w:tcPr>
          <w:p>
            <w:pPr>
              <w:jc w:val="right"/>
              <w:bidi w:val="1"/>
            </w:pPr>
            <w:r/>
            <w:r>
              <w:rPr>
                <w:rFonts w:ascii="Arial" w:hAnsi="Arial" w:cs="Arial"/>
                <w:b w:val="0"/>
                <w:sz w:val="17"/>
              </w:rPr>
              <w:t>Path 1 - BCSC</w:t>
            </w:r>
          </w:p>
        </w:tc>
        <w:tc>
          <w:tcPr>
            <w:tcW w:type="dxa" w:w="2016"/>
            <w:vAlign w:val="center"/>
          </w:tcPr>
          <w:p>
            <w:pPr>
              <w:jc w:val="right"/>
              <w:bidi w:val="1"/>
            </w:pPr>
            <w:r/>
            <w:r>
              <w:rPr>
                <w:rFonts w:ascii="Arial" w:hAnsi="Arial" w:cs="Arial"/>
                <w:b w:val="0"/>
                <w:sz w:val="17"/>
              </w:rPr>
              <w:t>1-year breast cancer diagnosis risk</w:t>
            </w:r>
          </w:p>
        </w:tc>
        <w:tc>
          <w:tcPr>
            <w:tcW w:type="dxa" w:w="2016"/>
            <w:vAlign w:val="center"/>
          </w:tcPr>
          <w:p>
            <w:pPr>
              <w:jc w:val="right"/>
              <w:bidi w:val="1"/>
            </w:pPr>
            <w:r/>
            <w:r>
              <w:rPr>
                <w:rFonts w:ascii="Arial" w:hAnsi="Arial" w:cs="Arial"/>
                <w:b w:val="0"/>
                <w:sz w:val="17"/>
              </w:rPr>
              <w:t>Validation ROC-AUC</w:t>
            </w:r>
          </w:p>
        </w:tc>
        <w:tc>
          <w:tcPr>
            <w:tcW w:type="dxa" w:w="2016"/>
            <w:vAlign w:val="center"/>
          </w:tcPr>
          <w:p>
            <w:pPr>
              <w:jc w:val="right"/>
              <w:bidi w:val="1"/>
            </w:pPr>
            <w:r/>
            <w:r>
              <w:rPr>
                <w:rFonts w:ascii="Arial" w:hAnsi="Arial" w:cs="Arial"/>
                <w:b w:val="0"/>
                <w:sz w:val="17"/>
              </w:rPr>
              <w:t>0.639</w:t>
            </w:r>
          </w:p>
        </w:tc>
        <w:tc>
          <w:tcPr>
            <w:tcW w:type="dxa" w:w="2016"/>
            <w:vAlign w:val="center"/>
          </w:tcPr>
          <w:p>
            <w:pPr>
              <w:jc w:val="right"/>
              <w:bidi w:val="1"/>
            </w:pPr>
            <w:r/>
            <w:r>
              <w:rPr>
                <w:rFonts w:ascii="Arial" w:hAnsi="Arial" w:cs="Arial"/>
                <w:b w:val="0"/>
                <w:sz w:val="17"/>
              </w:rPr>
              <w:t>597859</w:t>
            </w:r>
          </w:p>
        </w:tc>
      </w:tr>
      <w:tr>
        <w:tc>
          <w:tcPr>
            <w:tcW w:type="dxa" w:w="2016"/>
            <w:vAlign w:val="center"/>
          </w:tcPr>
          <w:p>
            <w:pPr>
              <w:jc w:val="right"/>
              <w:bidi w:val="1"/>
            </w:pPr>
            <w:r/>
            <w:r>
              <w:rPr>
                <w:rFonts w:ascii="Arial" w:hAnsi="Arial" w:cs="Arial"/>
                <w:b w:val="0"/>
                <w:sz w:val="17"/>
              </w:rPr>
              <w:t>Path 2 - METABRIC</w:t>
            </w:r>
          </w:p>
        </w:tc>
        <w:tc>
          <w:tcPr>
            <w:tcW w:type="dxa" w:w="2016"/>
            <w:vAlign w:val="center"/>
          </w:tcPr>
          <w:p>
            <w:pPr>
              <w:jc w:val="right"/>
              <w:bidi w:val="1"/>
            </w:pPr>
            <w:r/>
            <w:r>
              <w:rPr>
                <w:rFonts w:ascii="Arial" w:hAnsi="Arial" w:cs="Arial"/>
                <w:b w:val="0"/>
                <w:sz w:val="17"/>
              </w:rPr>
              <w:t>CLAUDIN subtype prediction</w:t>
            </w:r>
          </w:p>
        </w:tc>
        <w:tc>
          <w:tcPr>
            <w:tcW w:type="dxa" w:w="2016"/>
            <w:vAlign w:val="center"/>
          </w:tcPr>
          <w:p>
            <w:pPr>
              <w:jc w:val="right"/>
              <w:bidi w:val="1"/>
            </w:pPr>
            <w:r/>
            <w:r>
              <w:rPr>
                <w:rFonts w:ascii="Arial" w:hAnsi="Arial" w:cs="Arial"/>
                <w:b w:val="0"/>
                <w:sz w:val="17"/>
              </w:rPr>
              <w:t>Holdout balanced accuracy</w:t>
            </w:r>
          </w:p>
        </w:tc>
        <w:tc>
          <w:tcPr>
            <w:tcW w:type="dxa" w:w="2016"/>
            <w:vAlign w:val="center"/>
          </w:tcPr>
          <w:p>
            <w:pPr>
              <w:jc w:val="right"/>
              <w:bidi w:val="1"/>
            </w:pPr>
            <w:r/>
            <w:r>
              <w:rPr>
                <w:rFonts w:ascii="Arial" w:hAnsi="Arial" w:cs="Arial"/>
                <w:b w:val="0"/>
                <w:sz w:val="17"/>
              </w:rPr>
              <w:t>0.749</w:t>
            </w:r>
          </w:p>
        </w:tc>
        <w:tc>
          <w:tcPr>
            <w:tcW w:type="dxa" w:w="2016"/>
            <w:vAlign w:val="center"/>
          </w:tcPr>
          <w:p>
            <w:pPr>
              <w:jc w:val="right"/>
              <w:bidi w:val="1"/>
            </w:pPr>
            <w:r/>
            <w:r>
              <w:rPr>
                <w:rFonts w:ascii="Arial" w:hAnsi="Arial" w:cs="Arial"/>
                <w:b w:val="0"/>
                <w:sz w:val="17"/>
              </w:rPr>
              <w:t>1974</w:t>
            </w:r>
          </w:p>
        </w:tc>
      </w:tr>
      <w:tr>
        <w:tc>
          <w:tcPr>
            <w:tcW w:type="dxa" w:w="2016"/>
            <w:vAlign w:val="center"/>
          </w:tcPr>
          <w:p>
            <w:pPr>
              <w:jc w:val="right"/>
              <w:bidi w:val="1"/>
            </w:pPr>
            <w:r/>
            <w:r>
              <w:rPr>
                <w:rFonts w:ascii="Arial" w:hAnsi="Arial" w:cs="Arial"/>
                <w:b w:val="0"/>
                <w:sz w:val="17"/>
              </w:rPr>
              <w:t>Path 2 - METABRIC</w:t>
            </w:r>
          </w:p>
        </w:tc>
        <w:tc>
          <w:tcPr>
            <w:tcW w:type="dxa" w:w="2016"/>
            <w:vAlign w:val="center"/>
          </w:tcPr>
          <w:p>
            <w:pPr>
              <w:jc w:val="right"/>
              <w:bidi w:val="1"/>
            </w:pPr>
            <w:r/>
            <w:r>
              <w:rPr>
                <w:rFonts w:ascii="Arial" w:hAnsi="Arial" w:cs="Arial"/>
                <w:b w:val="0"/>
                <w:sz w:val="17"/>
              </w:rPr>
              <w:t>Death within 60 months</w:t>
            </w:r>
          </w:p>
        </w:tc>
        <w:tc>
          <w:tcPr>
            <w:tcW w:type="dxa" w:w="2016"/>
            <w:vAlign w:val="center"/>
          </w:tcPr>
          <w:p>
            <w:pPr>
              <w:jc w:val="right"/>
              <w:bidi w:val="1"/>
            </w:pPr>
            <w:r/>
            <w:r>
              <w:rPr>
                <w:rFonts w:ascii="Arial" w:hAnsi="Arial" w:cs="Arial"/>
                <w:b w:val="0"/>
                <w:sz w:val="17"/>
              </w:rPr>
              <w:t>Holdout ROC-AUC</w:t>
            </w:r>
          </w:p>
        </w:tc>
        <w:tc>
          <w:tcPr>
            <w:tcW w:type="dxa" w:w="2016"/>
            <w:vAlign w:val="center"/>
          </w:tcPr>
          <w:p>
            <w:pPr>
              <w:jc w:val="right"/>
              <w:bidi w:val="1"/>
            </w:pPr>
            <w:r/>
            <w:r>
              <w:rPr>
                <w:rFonts w:ascii="Arial" w:hAnsi="Arial" w:cs="Arial"/>
                <w:b w:val="0"/>
                <w:sz w:val="17"/>
              </w:rPr>
              <w:t>0.792</w:t>
            </w:r>
          </w:p>
        </w:tc>
        <w:tc>
          <w:tcPr>
            <w:tcW w:type="dxa" w:w="2016"/>
            <w:vAlign w:val="center"/>
          </w:tcPr>
          <w:p>
            <w:pPr>
              <w:jc w:val="right"/>
              <w:bidi w:val="1"/>
            </w:pPr>
            <w:r/>
            <w:r>
              <w:rPr>
                <w:rFonts w:ascii="Arial" w:hAnsi="Arial" w:cs="Arial"/>
                <w:b w:val="0"/>
                <w:sz w:val="17"/>
              </w:rPr>
              <w:t>1916</w:t>
            </w:r>
          </w:p>
        </w:tc>
      </w:tr>
      <w:tr>
        <w:tc>
          <w:tcPr>
            <w:tcW w:type="dxa" w:w="2016"/>
            <w:vAlign w:val="center"/>
          </w:tcPr>
          <w:p>
            <w:pPr>
              <w:jc w:val="right"/>
              <w:bidi w:val="1"/>
            </w:pPr>
            <w:r/>
            <w:r>
              <w:rPr>
                <w:rFonts w:ascii="Arial" w:hAnsi="Arial" w:cs="Arial"/>
                <w:b w:val="0"/>
                <w:sz w:val="17"/>
              </w:rPr>
              <w:t>Path 2 - METABRIC</w:t>
            </w:r>
          </w:p>
        </w:tc>
        <w:tc>
          <w:tcPr>
            <w:tcW w:type="dxa" w:w="2016"/>
            <w:vAlign w:val="center"/>
          </w:tcPr>
          <w:p>
            <w:pPr>
              <w:jc w:val="right"/>
              <w:bidi w:val="1"/>
            </w:pPr>
            <w:r/>
            <w:r>
              <w:rPr>
                <w:rFonts w:ascii="Arial" w:hAnsi="Arial" w:cs="Arial"/>
                <w:b w:val="0"/>
                <w:sz w:val="17"/>
              </w:rPr>
              <w:t>Recurrence within 60 months</w:t>
            </w:r>
          </w:p>
        </w:tc>
        <w:tc>
          <w:tcPr>
            <w:tcW w:type="dxa" w:w="2016"/>
            <w:vAlign w:val="center"/>
          </w:tcPr>
          <w:p>
            <w:pPr>
              <w:jc w:val="right"/>
              <w:bidi w:val="1"/>
            </w:pPr>
            <w:r/>
            <w:r>
              <w:rPr>
                <w:rFonts w:ascii="Arial" w:hAnsi="Arial" w:cs="Arial"/>
                <w:b w:val="0"/>
                <w:sz w:val="17"/>
              </w:rPr>
              <w:t>Holdout ROC-AUC</w:t>
            </w:r>
          </w:p>
        </w:tc>
        <w:tc>
          <w:tcPr>
            <w:tcW w:type="dxa" w:w="2016"/>
            <w:vAlign w:val="center"/>
          </w:tcPr>
          <w:p>
            <w:pPr>
              <w:jc w:val="right"/>
              <w:bidi w:val="1"/>
            </w:pPr>
            <w:r/>
            <w:r>
              <w:rPr>
                <w:rFonts w:ascii="Arial" w:hAnsi="Arial" w:cs="Arial"/>
                <w:b w:val="0"/>
                <w:sz w:val="17"/>
              </w:rPr>
              <w:t>0.767</w:t>
            </w:r>
          </w:p>
        </w:tc>
        <w:tc>
          <w:tcPr>
            <w:tcW w:type="dxa" w:w="2016"/>
            <w:vAlign w:val="center"/>
          </w:tcPr>
          <w:p>
            <w:pPr>
              <w:jc w:val="right"/>
              <w:bidi w:val="1"/>
            </w:pPr>
            <w:r/>
            <w:r>
              <w:rPr>
                <w:rFonts w:ascii="Arial" w:hAnsi="Arial" w:cs="Arial"/>
                <w:b w:val="0"/>
                <w:sz w:val="17"/>
              </w:rPr>
              <w:t>1836</w:t>
            </w:r>
          </w:p>
        </w:tc>
      </w:tr>
    </w:tbl>
    <w:p/>
    <w:p>
      <w:pPr>
        <w:jc w:val="center"/>
      </w:pPr>
      <w:r>
        <w:drawing>
          <wp:inline xmlns:a="http://schemas.openxmlformats.org/drawingml/2006/main" xmlns:pic="http://schemas.openxmlformats.org/drawingml/2006/picture">
            <wp:extent cx="5029200" cy="2977909"/>
            <wp:docPr id="1" name="Picture 1"/>
            <wp:cNvGraphicFramePr>
              <a:graphicFrameLocks noChangeAspect="1"/>
            </wp:cNvGraphicFramePr>
            <a:graphic>
              <a:graphicData uri="http://schemas.openxmlformats.org/drawingml/2006/picture">
                <pic:pic>
                  <pic:nvPicPr>
                    <pic:cNvPr id="0" name="final_two_path_results.png"/>
                    <pic:cNvPicPr/>
                  </pic:nvPicPr>
                  <pic:blipFill>
                    <a:blip r:embed="rId9"/>
                    <a:stretch>
                      <a:fillRect/>
                    </a:stretch>
                  </pic:blipFill>
                  <pic:spPr>
                    <a:xfrm>
                      <a:off x="0" y="0"/>
                      <a:ext cx="5029200" cy="2977909"/>
                    </a:xfrm>
                    <a:prstGeom prst="rect"/>
                  </pic:spPr>
                </pic:pic>
              </a:graphicData>
            </a:graphic>
          </wp:inline>
        </w:drawing>
      </w:r>
    </w:p>
    <w:p>
      <w:pPr>
        <w:jc w:val="right"/>
        <w:bidi w:val="1"/>
      </w:pPr>
      <w:r>
        <w:rPr>
          <w:rFonts w:ascii="Arial" w:hAnsi="Arial" w:cs="Arial"/>
          <w:b w:val="0"/>
          <w:sz w:val="18"/>
        </w:rPr>
        <w:t>شكل 1: ملخص نتائج المسارين.</w:t>
      </w:r>
    </w:p>
    <w:p>
      <w:pPr>
        <w:jc w:val="right"/>
        <w:bidi w:val="1"/>
      </w:pPr>
      <w:r>
        <w:rPr>
          <w:rFonts w:ascii="Arial" w:hAnsi="Arial" w:cs="Arial"/>
          <w:b/>
          <w:color w:val="1F4D78"/>
          <w:sz w:val="30"/>
        </w:rPr>
        <w:t>5. تجربة التحسين المتقدمة</w:t>
      </w:r>
    </w:p>
    <w:p>
      <w:pPr>
        <w:jc w:val="right"/>
        <w:bidi w:val="1"/>
      </w:pPr>
      <w:r>
        <w:rPr>
          <w:rFonts w:ascii="Arial" w:hAnsi="Arial" w:cs="Arial"/>
          <w:b w:val="0"/>
          <w:sz w:val="22"/>
        </w:rPr>
        <w:t>تمت إضافة benchmark إضافي باستخدام clinical + transcriptomic integration، واختيار features أقوى، وتجربة XGBoost وLightGBM وSMOTE داخل التدريب فقط. هذه النتائج منفصلة عن النتائج الأساسية لأنها أقرب لإعدادات الأوراق المنشورة، بينما النتائج الأساسية تظل هي الـ clean holdout المحافظة.</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pPr>
              <w:jc w:val="right"/>
              <w:bidi w:val="1"/>
            </w:pPr>
            <w:r/>
            <w:r>
              <w:rPr>
                <w:rFonts w:ascii="Arial" w:hAnsi="Arial" w:cs="Arial"/>
                <w:b/>
                <w:sz w:val="17"/>
              </w:rPr>
              <w:t>Path</w:t>
            </w:r>
          </w:p>
        </w:tc>
        <w:tc>
          <w:tcPr>
            <w:tcW w:type="dxa" w:w="1260"/>
            <w:vAlign w:val="center"/>
          </w:tcPr>
          <w:p>
            <w:pPr>
              <w:jc w:val="right"/>
              <w:bidi w:val="1"/>
            </w:pPr>
            <w:r/>
            <w:r>
              <w:rPr>
                <w:rFonts w:ascii="Arial" w:hAnsi="Arial" w:cs="Arial"/>
                <w:b/>
                <w:sz w:val="17"/>
              </w:rPr>
              <w:t>Benchmark</w:t>
            </w:r>
          </w:p>
        </w:tc>
        <w:tc>
          <w:tcPr>
            <w:tcW w:type="dxa" w:w="1260"/>
            <w:vAlign w:val="center"/>
          </w:tcPr>
          <w:p>
            <w:pPr>
              <w:jc w:val="right"/>
              <w:bidi w:val="1"/>
            </w:pPr>
            <w:r/>
            <w:r>
              <w:rPr>
                <w:rFonts w:ascii="Arial" w:hAnsi="Arial" w:cs="Arial"/>
                <w:b/>
                <w:sz w:val="17"/>
              </w:rPr>
              <w:t>Best model</w:t>
            </w:r>
          </w:p>
        </w:tc>
        <w:tc>
          <w:tcPr>
            <w:tcW w:type="dxa" w:w="1260"/>
            <w:vAlign w:val="center"/>
          </w:tcPr>
          <w:p>
            <w:pPr>
              <w:jc w:val="right"/>
              <w:bidi w:val="1"/>
            </w:pPr>
            <w:r/>
            <w:r>
              <w:rPr>
                <w:rFonts w:ascii="Arial" w:hAnsi="Arial" w:cs="Arial"/>
                <w:b/>
                <w:sz w:val="17"/>
              </w:rPr>
              <w:t>AUC</w:t>
            </w:r>
          </w:p>
        </w:tc>
        <w:tc>
          <w:tcPr>
            <w:tcW w:type="dxa" w:w="1260"/>
            <w:vAlign w:val="center"/>
          </w:tcPr>
          <w:p>
            <w:pPr>
              <w:jc w:val="right"/>
              <w:bidi w:val="1"/>
            </w:pPr>
            <w:r/>
            <w:r>
              <w:rPr>
                <w:rFonts w:ascii="Arial" w:hAnsi="Arial" w:cs="Arial"/>
                <w:b/>
                <w:sz w:val="17"/>
              </w:rPr>
              <w:t>Accuracy</w:t>
            </w:r>
          </w:p>
        </w:tc>
        <w:tc>
          <w:tcPr>
            <w:tcW w:type="dxa" w:w="1260"/>
            <w:vAlign w:val="center"/>
          </w:tcPr>
          <w:p>
            <w:pPr>
              <w:jc w:val="right"/>
              <w:bidi w:val="1"/>
            </w:pPr>
            <w:r/>
            <w:r>
              <w:rPr>
                <w:rFonts w:ascii="Arial" w:hAnsi="Arial" w:cs="Arial"/>
                <w:b/>
                <w:sz w:val="17"/>
              </w:rPr>
              <w:t>Sensitivity</w:t>
            </w:r>
          </w:p>
        </w:tc>
        <w:tc>
          <w:tcPr>
            <w:tcW w:type="dxa" w:w="1260"/>
            <w:vAlign w:val="center"/>
          </w:tcPr>
          <w:p>
            <w:pPr>
              <w:jc w:val="right"/>
              <w:bidi w:val="1"/>
            </w:pPr>
            <w:r/>
            <w:r>
              <w:rPr>
                <w:rFonts w:ascii="Arial" w:hAnsi="Arial" w:cs="Arial"/>
                <w:b/>
                <w:sz w:val="17"/>
              </w:rPr>
              <w:t>Specificity</w:t>
            </w:r>
          </w:p>
        </w:tc>
        <w:tc>
          <w:tcPr>
            <w:tcW w:type="dxa" w:w="1260"/>
            <w:vAlign w:val="center"/>
          </w:tcPr>
          <w:p>
            <w:pPr>
              <w:jc w:val="right"/>
              <w:bidi w:val="1"/>
            </w:pPr>
            <w:r/>
            <w:r>
              <w:rPr>
                <w:rFonts w:ascii="Arial" w:hAnsi="Arial" w:cs="Arial"/>
                <w:b/>
                <w:sz w:val="17"/>
              </w:rPr>
              <w:t>F1</w:t>
            </w:r>
          </w:p>
        </w:tc>
      </w:tr>
      <w:tr>
        <w:tc>
          <w:tcPr>
            <w:tcW w:type="dxa" w:w="1260"/>
            <w:vAlign w:val="center"/>
          </w:tcPr>
          <w:p>
            <w:pPr>
              <w:jc w:val="right"/>
              <w:bidi w:val="1"/>
            </w:pPr>
            <w:r/>
            <w:r>
              <w:rPr>
                <w:rFonts w:ascii="Arial" w:hAnsi="Arial" w:cs="Arial"/>
                <w:b w:val="0"/>
                <w:sz w:val="17"/>
              </w:rPr>
              <w:t>Path 1 - BCSC</w:t>
            </w:r>
          </w:p>
        </w:tc>
        <w:tc>
          <w:tcPr>
            <w:tcW w:type="dxa" w:w="1260"/>
            <w:vAlign w:val="center"/>
          </w:tcPr>
          <w:p>
            <w:pPr>
              <w:jc w:val="right"/>
              <w:bidi w:val="1"/>
            </w:pPr>
            <w:r/>
            <w:r>
              <w:rPr>
                <w:rFonts w:ascii="Arial" w:hAnsi="Arial" w:cs="Arial"/>
                <w:b w:val="0"/>
                <w:sz w:val="17"/>
              </w:rPr>
              <w:t>Advanced BCSC future-risk model</w:t>
            </w:r>
          </w:p>
        </w:tc>
        <w:tc>
          <w:tcPr>
            <w:tcW w:type="dxa" w:w="1260"/>
            <w:vAlign w:val="center"/>
          </w:tcPr>
          <w:p>
            <w:pPr>
              <w:jc w:val="right"/>
              <w:bidi w:val="1"/>
            </w:pPr>
            <w:r/>
            <w:r>
              <w:rPr>
                <w:rFonts w:ascii="Arial" w:hAnsi="Arial" w:cs="Arial"/>
                <w:b w:val="0"/>
                <w:sz w:val="17"/>
              </w:rPr>
              <w:t>lightgbm_balanced_weight</w:t>
            </w:r>
          </w:p>
        </w:tc>
        <w:tc>
          <w:tcPr>
            <w:tcW w:type="dxa" w:w="1260"/>
            <w:vAlign w:val="center"/>
          </w:tcPr>
          <w:p>
            <w:pPr>
              <w:jc w:val="right"/>
              <w:bidi w:val="1"/>
            </w:pPr>
            <w:r/>
            <w:r>
              <w:rPr>
                <w:rFonts w:ascii="Arial" w:hAnsi="Arial" w:cs="Arial"/>
                <w:b w:val="0"/>
                <w:sz w:val="17"/>
              </w:rPr>
              <w:t>0.649</w:t>
            </w:r>
          </w:p>
        </w:tc>
        <w:tc>
          <w:tcPr>
            <w:tcW w:type="dxa" w:w="1260"/>
            <w:vAlign w:val="center"/>
          </w:tcPr>
          <w:p>
            <w:pPr>
              <w:jc w:val="right"/>
              <w:bidi w:val="1"/>
            </w:pPr>
            <w:r/>
            <w:r>
              <w:rPr>
                <w:rFonts w:ascii="Arial" w:hAnsi="Arial" w:cs="Arial"/>
                <w:b w:val="0"/>
                <w:sz w:val="17"/>
              </w:rPr>
              <w:t>0.584</w:t>
            </w:r>
          </w:p>
        </w:tc>
        <w:tc>
          <w:tcPr>
            <w:tcW w:type="dxa" w:w="1260"/>
            <w:vAlign w:val="center"/>
          </w:tcPr>
          <w:p>
            <w:pPr>
              <w:jc w:val="right"/>
              <w:bidi w:val="1"/>
            </w:pPr>
            <w:r/>
            <w:r>
              <w:rPr>
                <w:rFonts w:ascii="Arial" w:hAnsi="Arial" w:cs="Arial"/>
                <w:b w:val="0"/>
                <w:sz w:val="17"/>
              </w:rPr>
              <w:t>0.633</w:t>
            </w:r>
          </w:p>
        </w:tc>
        <w:tc>
          <w:tcPr>
            <w:tcW w:type="dxa" w:w="1260"/>
            <w:vAlign w:val="center"/>
          </w:tcPr>
          <w:p>
            <w:pPr>
              <w:jc w:val="right"/>
              <w:bidi w:val="1"/>
            </w:pPr>
            <w:r/>
            <w:r>
              <w:rPr>
                <w:rFonts w:ascii="Arial" w:hAnsi="Arial" w:cs="Arial"/>
                <w:b w:val="0"/>
                <w:sz w:val="17"/>
              </w:rPr>
              <w:t>0.584</w:t>
            </w:r>
          </w:p>
        </w:tc>
        <w:tc>
          <w:tcPr>
            <w:tcW w:type="dxa" w:w="1260"/>
            <w:vAlign w:val="center"/>
          </w:tcPr>
          <w:p>
            <w:pPr>
              <w:jc w:val="right"/>
              <w:bidi w:val="1"/>
            </w:pPr>
            <w:r/>
            <w:r>
              <w:rPr>
                <w:rFonts w:ascii="Arial" w:hAnsi="Arial" w:cs="Arial"/>
                <w:b w:val="0"/>
                <w:sz w:val="17"/>
              </w:rPr>
              <w:t>0.014</w:t>
            </w:r>
          </w:p>
        </w:tc>
      </w:tr>
      <w:tr>
        <w:tc>
          <w:tcPr>
            <w:tcW w:type="dxa" w:w="1260"/>
            <w:vAlign w:val="center"/>
          </w:tcPr>
          <w:p>
            <w:pPr>
              <w:jc w:val="right"/>
              <w:bidi w:val="1"/>
            </w:pPr>
            <w:r/>
            <w:r>
              <w:rPr>
                <w:rFonts w:ascii="Arial" w:hAnsi="Arial" w:cs="Arial"/>
                <w:b w:val="0"/>
                <w:sz w:val="17"/>
              </w:rPr>
              <w:t>Path 2 - METABRIC</w:t>
            </w:r>
          </w:p>
        </w:tc>
        <w:tc>
          <w:tcPr>
            <w:tcW w:type="dxa" w:w="1260"/>
            <w:vAlign w:val="center"/>
          </w:tcPr>
          <w:p>
            <w:pPr>
              <w:jc w:val="right"/>
              <w:bidi w:val="1"/>
            </w:pPr>
            <w:r/>
            <w:r>
              <w:rPr>
                <w:rFonts w:ascii="Arial" w:hAnsi="Arial" w:cs="Arial"/>
                <w:b w:val="0"/>
                <w:sz w:val="17"/>
              </w:rPr>
              <w:t>Published-style clinical + transcriptomic 5-year survival</w:t>
            </w:r>
          </w:p>
        </w:tc>
        <w:tc>
          <w:tcPr>
            <w:tcW w:type="dxa" w:w="1260"/>
            <w:vAlign w:val="center"/>
          </w:tcPr>
          <w:p>
            <w:pPr>
              <w:jc w:val="right"/>
              <w:bidi w:val="1"/>
            </w:pPr>
            <w:r/>
            <w:r>
              <w:rPr>
                <w:rFonts w:ascii="Arial" w:hAnsi="Arial" w:cs="Arial"/>
                <w:b w:val="0"/>
                <w:sz w:val="17"/>
              </w:rPr>
              <w:t>lightgbm_balanced</w:t>
            </w:r>
          </w:p>
        </w:tc>
        <w:tc>
          <w:tcPr>
            <w:tcW w:type="dxa" w:w="1260"/>
            <w:vAlign w:val="center"/>
          </w:tcPr>
          <w:p>
            <w:pPr>
              <w:jc w:val="right"/>
              <w:bidi w:val="1"/>
            </w:pPr>
            <w:r/>
            <w:r>
              <w:rPr>
                <w:rFonts w:ascii="Arial" w:hAnsi="Arial" w:cs="Arial"/>
                <w:b w:val="0"/>
                <w:sz w:val="17"/>
              </w:rPr>
              <w:t>0.789</w:t>
            </w:r>
          </w:p>
        </w:tc>
        <w:tc>
          <w:tcPr>
            <w:tcW w:type="dxa" w:w="1260"/>
            <w:vAlign w:val="center"/>
          </w:tcPr>
          <w:p>
            <w:pPr>
              <w:jc w:val="right"/>
              <w:bidi w:val="1"/>
            </w:pPr>
            <w:r/>
            <w:r>
              <w:rPr>
                <w:rFonts w:ascii="Arial" w:hAnsi="Arial" w:cs="Arial"/>
                <w:b w:val="0"/>
                <w:sz w:val="17"/>
              </w:rPr>
              <w:t>0.727</w:t>
            </w:r>
          </w:p>
        </w:tc>
        <w:tc>
          <w:tcPr>
            <w:tcW w:type="dxa" w:w="1260"/>
            <w:vAlign w:val="center"/>
          </w:tcPr>
          <w:p>
            <w:pPr>
              <w:jc w:val="right"/>
              <w:bidi w:val="1"/>
            </w:pPr>
            <w:r/>
            <w:r>
              <w:rPr>
                <w:rFonts w:ascii="Arial" w:hAnsi="Arial" w:cs="Arial"/>
                <w:b w:val="0"/>
                <w:sz w:val="17"/>
              </w:rPr>
              <w:t>0.744</w:t>
            </w:r>
          </w:p>
        </w:tc>
        <w:tc>
          <w:tcPr>
            <w:tcW w:type="dxa" w:w="1260"/>
            <w:vAlign w:val="center"/>
          </w:tcPr>
          <w:p>
            <w:pPr>
              <w:jc w:val="right"/>
              <w:bidi w:val="1"/>
            </w:pPr>
            <w:r/>
            <w:r>
              <w:rPr>
                <w:rFonts w:ascii="Arial" w:hAnsi="Arial" w:cs="Arial"/>
                <w:b w:val="0"/>
                <w:sz w:val="17"/>
              </w:rPr>
              <w:t>0.721</w:t>
            </w:r>
          </w:p>
        </w:tc>
        <w:tc>
          <w:tcPr>
            <w:tcW w:type="dxa" w:w="1260"/>
            <w:vAlign w:val="center"/>
          </w:tcPr>
          <w:p>
            <w:pPr>
              <w:jc w:val="right"/>
              <w:bidi w:val="1"/>
            </w:pPr>
            <w:r/>
            <w:r>
              <w:rPr>
                <w:rFonts w:ascii="Arial" w:hAnsi="Arial" w:cs="Arial"/>
                <w:b w:val="0"/>
                <w:sz w:val="17"/>
              </w:rPr>
              <w:t>0.549</w:t>
            </w:r>
          </w:p>
        </w:tc>
      </w:tr>
      <w:tr>
        <w:tc>
          <w:tcPr>
            <w:tcW w:type="dxa" w:w="1260"/>
            <w:vAlign w:val="center"/>
          </w:tcPr>
          <w:p>
            <w:pPr>
              <w:jc w:val="right"/>
              <w:bidi w:val="1"/>
            </w:pPr>
            <w:r/>
            <w:r>
              <w:rPr>
                <w:rFonts w:ascii="Arial" w:hAnsi="Arial" w:cs="Arial"/>
                <w:b w:val="0"/>
                <w:sz w:val="17"/>
              </w:rPr>
              <w:t>Path 2 - METABRIC</w:t>
            </w:r>
          </w:p>
        </w:tc>
        <w:tc>
          <w:tcPr>
            <w:tcW w:type="dxa" w:w="1260"/>
            <w:vAlign w:val="center"/>
          </w:tcPr>
          <w:p>
            <w:pPr>
              <w:jc w:val="right"/>
              <w:bidi w:val="1"/>
            </w:pPr>
            <w:r/>
            <w:r>
              <w:rPr>
                <w:rFonts w:ascii="Arial" w:hAnsi="Arial" w:cs="Arial"/>
                <w:b w:val="0"/>
                <w:sz w:val="17"/>
              </w:rPr>
              <w:t>Published-style clinical + transcriptomic overall survival status</w:t>
            </w:r>
          </w:p>
        </w:tc>
        <w:tc>
          <w:tcPr>
            <w:tcW w:type="dxa" w:w="1260"/>
            <w:vAlign w:val="center"/>
          </w:tcPr>
          <w:p>
            <w:pPr>
              <w:jc w:val="right"/>
              <w:bidi w:val="1"/>
            </w:pPr>
            <w:r/>
            <w:r>
              <w:rPr>
                <w:rFonts w:ascii="Arial" w:hAnsi="Arial" w:cs="Arial"/>
                <w:b w:val="0"/>
                <w:sz w:val="17"/>
              </w:rPr>
              <w:t>lightgbm_smote</w:t>
            </w:r>
          </w:p>
        </w:tc>
        <w:tc>
          <w:tcPr>
            <w:tcW w:type="dxa" w:w="1260"/>
            <w:vAlign w:val="center"/>
          </w:tcPr>
          <w:p>
            <w:pPr>
              <w:jc w:val="right"/>
              <w:bidi w:val="1"/>
            </w:pPr>
            <w:r/>
            <w:r>
              <w:rPr>
                <w:rFonts w:ascii="Arial" w:hAnsi="Arial" w:cs="Arial"/>
                <w:b w:val="0"/>
                <w:sz w:val="17"/>
              </w:rPr>
              <w:t>0.759</w:t>
            </w:r>
          </w:p>
        </w:tc>
        <w:tc>
          <w:tcPr>
            <w:tcW w:type="dxa" w:w="1260"/>
            <w:vAlign w:val="center"/>
          </w:tcPr>
          <w:p>
            <w:pPr>
              <w:jc w:val="right"/>
              <w:bidi w:val="1"/>
            </w:pPr>
            <w:r/>
            <w:r>
              <w:rPr>
                <w:rFonts w:ascii="Arial" w:hAnsi="Arial" w:cs="Arial"/>
                <w:b w:val="0"/>
                <w:sz w:val="17"/>
              </w:rPr>
              <w:t>0.705</w:t>
            </w:r>
          </w:p>
        </w:tc>
        <w:tc>
          <w:tcPr>
            <w:tcW w:type="dxa" w:w="1260"/>
            <w:vAlign w:val="center"/>
          </w:tcPr>
          <w:p>
            <w:pPr>
              <w:jc w:val="right"/>
              <w:bidi w:val="1"/>
            </w:pPr>
            <w:r/>
            <w:r>
              <w:rPr>
                <w:rFonts w:ascii="Arial" w:hAnsi="Arial" w:cs="Arial"/>
                <w:b w:val="0"/>
                <w:sz w:val="17"/>
              </w:rPr>
              <w:t>0.751</w:t>
            </w:r>
          </w:p>
        </w:tc>
        <w:tc>
          <w:tcPr>
            <w:tcW w:type="dxa" w:w="1260"/>
            <w:vAlign w:val="center"/>
          </w:tcPr>
          <w:p>
            <w:pPr>
              <w:jc w:val="right"/>
              <w:bidi w:val="1"/>
            </w:pPr>
            <w:r/>
            <w:r>
              <w:rPr>
                <w:rFonts w:ascii="Arial" w:hAnsi="Arial" w:cs="Arial"/>
                <w:b w:val="0"/>
                <w:sz w:val="17"/>
              </w:rPr>
              <w:t>0.641</w:t>
            </w:r>
          </w:p>
        </w:tc>
        <w:tc>
          <w:tcPr>
            <w:tcW w:type="dxa" w:w="1260"/>
            <w:vAlign w:val="center"/>
          </w:tcPr>
          <w:p>
            <w:pPr>
              <w:jc w:val="right"/>
              <w:bidi w:val="1"/>
            </w:pPr>
            <w:r/>
            <w:r>
              <w:rPr>
                <w:rFonts w:ascii="Arial" w:hAnsi="Arial" w:cs="Arial"/>
                <w:b w:val="0"/>
                <w:sz w:val="17"/>
              </w:rPr>
              <w:t>0.746</w:t>
            </w:r>
          </w:p>
        </w:tc>
      </w:tr>
    </w:tbl>
    <w:p/>
    <w:p>
      <w:pPr>
        <w:jc w:val="center"/>
      </w:pPr>
      <w:r>
        <w:drawing>
          <wp:inline xmlns:a="http://schemas.openxmlformats.org/drawingml/2006/main" xmlns:pic="http://schemas.openxmlformats.org/drawingml/2006/picture">
            <wp:extent cx="5303520" cy="2394520"/>
            <wp:docPr id="2" name="Picture 2"/>
            <wp:cNvGraphicFramePr>
              <a:graphicFrameLocks noChangeAspect="1"/>
            </wp:cNvGraphicFramePr>
            <a:graphic>
              <a:graphicData uri="http://schemas.openxmlformats.org/drawingml/2006/picture">
                <pic:pic>
                  <pic:nvPicPr>
                    <pic:cNvPr id="0" name="path1_bcsc_advanced_evaluation_matrix.png"/>
                    <pic:cNvPicPr/>
                  </pic:nvPicPr>
                  <pic:blipFill>
                    <a:blip r:embed="rId10"/>
                    <a:stretch>
                      <a:fillRect/>
                    </a:stretch>
                  </pic:blipFill>
                  <pic:spPr>
                    <a:xfrm>
                      <a:off x="0" y="0"/>
                      <a:ext cx="5303520" cy="2394520"/>
                    </a:xfrm>
                    <a:prstGeom prst="rect"/>
                  </pic:spPr>
                </pic:pic>
              </a:graphicData>
            </a:graphic>
          </wp:inline>
        </w:drawing>
      </w:r>
    </w:p>
    <w:p>
      <w:pPr>
        <w:jc w:val="right"/>
        <w:bidi w:val="1"/>
      </w:pPr>
      <w:r>
        <w:rPr>
          <w:rFonts w:ascii="Arial" w:hAnsi="Arial" w:cs="Arial"/>
          <w:b w:val="0"/>
          <w:sz w:val="18"/>
        </w:rPr>
        <w:t>شكل 2: مصفوفة تقييم موسعة لمسار BCSC بعد تجربة XGBoost/LightGBM والنماذج المتقدمة.</w:t>
      </w:r>
    </w:p>
    <w:p>
      <w:pPr>
        <w:jc w:val="center"/>
      </w:pPr>
      <w:r>
        <w:drawing>
          <wp:inline xmlns:a="http://schemas.openxmlformats.org/drawingml/2006/main" xmlns:pic="http://schemas.openxmlformats.org/drawingml/2006/picture">
            <wp:extent cx="5303520" cy="2203734"/>
            <wp:docPr id="3" name="Picture 3"/>
            <wp:cNvGraphicFramePr>
              <a:graphicFrameLocks noChangeAspect="1"/>
            </wp:cNvGraphicFramePr>
            <a:graphic>
              <a:graphicData uri="http://schemas.openxmlformats.org/drawingml/2006/picture">
                <pic:pic>
                  <pic:nvPicPr>
                    <pic:cNvPr id="0" name="path2_metabric_published_style_survival_benchmark_5yr.png"/>
                    <pic:cNvPicPr/>
                  </pic:nvPicPr>
                  <pic:blipFill>
                    <a:blip r:embed="rId11"/>
                    <a:stretch>
                      <a:fillRect/>
                    </a:stretch>
                  </pic:blipFill>
                  <pic:spPr>
                    <a:xfrm>
                      <a:off x="0" y="0"/>
                      <a:ext cx="5303520" cy="2203734"/>
                    </a:xfrm>
                    <a:prstGeom prst="rect"/>
                  </pic:spPr>
                </pic:pic>
              </a:graphicData>
            </a:graphic>
          </wp:inline>
        </w:drawing>
      </w:r>
    </w:p>
    <w:p>
      <w:pPr>
        <w:jc w:val="right"/>
        <w:bidi w:val="1"/>
      </w:pPr>
      <w:r>
        <w:rPr>
          <w:rFonts w:ascii="Arial" w:hAnsi="Arial" w:cs="Arial"/>
          <w:b w:val="0"/>
          <w:sz w:val="18"/>
        </w:rPr>
        <w:t>شكل 3: مقارنة نماذج METABRIC published-style survival benchmark.</w:t>
      </w:r>
    </w:p>
    <w:p>
      <w:pPr>
        <w:jc w:val="right"/>
        <w:bidi w:val="1"/>
      </w:pPr>
      <w:r>
        <w:rPr>
          <w:rFonts w:ascii="Arial" w:hAnsi="Arial" w:cs="Arial"/>
          <w:b/>
          <w:color w:val="1F4D78"/>
          <w:sz w:val="30"/>
        </w:rPr>
        <w:t>6. BCSC كـ Risk Stratification</w:t>
      </w:r>
    </w:p>
    <w:p>
      <w:pPr>
        <w:jc w:val="right"/>
        <w:bidi w:val="1"/>
      </w:pPr>
      <w:r>
        <w:rPr>
          <w:rFonts w:ascii="Arial" w:hAnsi="Arial" w:cs="Arial"/>
          <w:b w:val="0"/>
          <w:sz w:val="22"/>
        </w:rPr>
        <w:t>BCSC ليس diagnosis classifier مباشر، لأن معدل الإصابة في validation حوالي 0.480% فقط. لذلك عرض F1 فقط يظلم النموذج. العرض الصحيح هو هل النموذج يرفع تركيز الحالات في أعلى risk groups.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jc w:val="right"/>
              <w:bidi w:val="1"/>
            </w:pPr>
            <w:r/>
            <w:r>
              <w:rPr>
                <w:rFonts w:ascii="Arial" w:hAnsi="Arial" w:cs="Arial"/>
                <w:b/>
                <w:sz w:val="17"/>
              </w:rPr>
              <w:t>Risk decile</w:t>
            </w:r>
          </w:p>
        </w:tc>
        <w:tc>
          <w:tcPr>
            <w:tcW w:type="dxa" w:w="2520"/>
            <w:vAlign w:val="center"/>
          </w:tcPr>
          <w:p>
            <w:pPr>
              <w:jc w:val="right"/>
              <w:bidi w:val="1"/>
            </w:pPr>
            <w:r/>
            <w:r>
              <w:rPr>
                <w:rFonts w:ascii="Arial" w:hAnsi="Arial" w:cs="Arial"/>
                <w:b/>
                <w:sz w:val="17"/>
              </w:rPr>
              <w:t>Observed event rate</w:t>
            </w:r>
          </w:p>
        </w:tc>
        <w:tc>
          <w:tcPr>
            <w:tcW w:type="dxa" w:w="2520"/>
            <w:vAlign w:val="center"/>
          </w:tcPr>
          <w:p>
            <w:pPr>
              <w:jc w:val="right"/>
              <w:bidi w:val="1"/>
            </w:pPr>
            <w:r/>
            <w:r>
              <w:rPr>
                <w:rFonts w:ascii="Arial" w:hAnsi="Arial" w:cs="Arial"/>
                <w:b/>
                <w:sz w:val="17"/>
              </w:rPr>
              <w:t>Lift vs baseline</w:t>
            </w:r>
          </w:p>
        </w:tc>
        <w:tc>
          <w:tcPr>
            <w:tcW w:type="dxa" w:w="2520"/>
            <w:vAlign w:val="center"/>
          </w:tcPr>
          <w:p>
            <w:pPr>
              <w:jc w:val="right"/>
              <w:bidi w:val="1"/>
            </w:pPr>
            <w:r/>
            <w:r>
              <w:rPr>
                <w:rFonts w:ascii="Arial" w:hAnsi="Arial" w:cs="Arial"/>
                <w:b/>
                <w:sz w:val="17"/>
              </w:rPr>
              <w:t>Cumulative event capture</w:t>
            </w:r>
          </w:p>
        </w:tc>
      </w:tr>
      <w:tr>
        <w:tc>
          <w:tcPr>
            <w:tcW w:type="dxa" w:w="2520"/>
            <w:vAlign w:val="center"/>
          </w:tcPr>
          <w:p>
            <w:pPr>
              <w:jc w:val="right"/>
              <w:bidi w:val="1"/>
            </w:pPr>
            <w:r/>
            <w:r>
              <w:rPr>
                <w:rFonts w:ascii="Arial" w:hAnsi="Arial" w:cs="Arial"/>
                <w:b w:val="0"/>
                <w:sz w:val="17"/>
              </w:rPr>
              <w:t>1</w:t>
            </w:r>
          </w:p>
        </w:tc>
        <w:tc>
          <w:tcPr>
            <w:tcW w:type="dxa" w:w="2520"/>
            <w:vAlign w:val="center"/>
          </w:tcPr>
          <w:p>
            <w:pPr>
              <w:jc w:val="right"/>
              <w:bidi w:val="1"/>
            </w:pPr>
            <w:r/>
            <w:r>
              <w:rPr>
                <w:rFonts w:ascii="Arial" w:hAnsi="Arial" w:cs="Arial"/>
                <w:b w:val="0"/>
                <w:sz w:val="17"/>
              </w:rPr>
              <w:t>1.036%</w:t>
            </w:r>
          </w:p>
        </w:tc>
        <w:tc>
          <w:tcPr>
            <w:tcW w:type="dxa" w:w="2520"/>
            <w:vAlign w:val="center"/>
          </w:tcPr>
          <w:p>
            <w:pPr>
              <w:jc w:val="right"/>
              <w:bidi w:val="1"/>
            </w:pPr>
            <w:r/>
            <w:r>
              <w:rPr>
                <w:rFonts w:ascii="Arial" w:hAnsi="Arial" w:cs="Arial"/>
                <w:b w:val="0"/>
                <w:sz w:val="17"/>
              </w:rPr>
              <w:t>2.16x</w:t>
            </w:r>
          </w:p>
        </w:tc>
        <w:tc>
          <w:tcPr>
            <w:tcW w:type="dxa" w:w="2520"/>
            <w:vAlign w:val="center"/>
          </w:tcPr>
          <w:p>
            <w:pPr>
              <w:jc w:val="right"/>
              <w:bidi w:val="1"/>
            </w:pPr>
            <w:r/>
            <w:r>
              <w:rPr>
                <w:rFonts w:ascii="Arial" w:hAnsi="Arial" w:cs="Arial"/>
                <w:b w:val="0"/>
                <w:sz w:val="17"/>
              </w:rPr>
              <w:t>21.6%</w:t>
            </w:r>
          </w:p>
        </w:tc>
      </w:tr>
      <w:tr>
        <w:tc>
          <w:tcPr>
            <w:tcW w:type="dxa" w:w="2520"/>
            <w:vAlign w:val="center"/>
          </w:tcPr>
          <w:p>
            <w:pPr>
              <w:jc w:val="right"/>
              <w:bidi w:val="1"/>
            </w:pPr>
            <w:r/>
            <w:r>
              <w:rPr>
                <w:rFonts w:ascii="Arial" w:hAnsi="Arial" w:cs="Arial"/>
                <w:b w:val="0"/>
                <w:sz w:val="17"/>
              </w:rPr>
              <w:t>2</w:t>
            </w:r>
          </w:p>
        </w:tc>
        <w:tc>
          <w:tcPr>
            <w:tcW w:type="dxa" w:w="2520"/>
            <w:vAlign w:val="center"/>
          </w:tcPr>
          <w:p>
            <w:pPr>
              <w:jc w:val="right"/>
              <w:bidi w:val="1"/>
            </w:pPr>
            <w:r/>
            <w:r>
              <w:rPr>
                <w:rFonts w:ascii="Arial" w:hAnsi="Arial" w:cs="Arial"/>
                <w:b w:val="0"/>
                <w:sz w:val="17"/>
              </w:rPr>
              <w:t>0.722%</w:t>
            </w:r>
          </w:p>
        </w:tc>
        <w:tc>
          <w:tcPr>
            <w:tcW w:type="dxa" w:w="2520"/>
            <w:vAlign w:val="center"/>
          </w:tcPr>
          <w:p>
            <w:pPr>
              <w:jc w:val="right"/>
              <w:bidi w:val="1"/>
            </w:pPr>
            <w:r/>
            <w:r>
              <w:rPr>
                <w:rFonts w:ascii="Arial" w:hAnsi="Arial" w:cs="Arial"/>
                <w:b w:val="0"/>
                <w:sz w:val="17"/>
              </w:rPr>
              <w:t>1.50x</w:t>
            </w:r>
          </w:p>
        </w:tc>
        <w:tc>
          <w:tcPr>
            <w:tcW w:type="dxa" w:w="2520"/>
            <w:vAlign w:val="center"/>
          </w:tcPr>
          <w:p>
            <w:pPr>
              <w:jc w:val="right"/>
              <w:bidi w:val="1"/>
            </w:pPr>
            <w:r/>
            <w:r>
              <w:rPr>
                <w:rFonts w:ascii="Arial" w:hAnsi="Arial" w:cs="Arial"/>
                <w:b w:val="0"/>
                <w:sz w:val="17"/>
              </w:rPr>
              <w:t>36.6%</w:t>
            </w:r>
          </w:p>
        </w:tc>
      </w:tr>
      <w:tr>
        <w:tc>
          <w:tcPr>
            <w:tcW w:type="dxa" w:w="2520"/>
            <w:vAlign w:val="center"/>
          </w:tcPr>
          <w:p>
            <w:pPr>
              <w:jc w:val="right"/>
              <w:bidi w:val="1"/>
            </w:pPr>
            <w:r/>
            <w:r>
              <w:rPr>
                <w:rFonts w:ascii="Arial" w:hAnsi="Arial" w:cs="Arial"/>
                <w:b w:val="0"/>
                <w:sz w:val="17"/>
              </w:rPr>
              <w:t>3</w:t>
            </w:r>
          </w:p>
        </w:tc>
        <w:tc>
          <w:tcPr>
            <w:tcW w:type="dxa" w:w="2520"/>
            <w:vAlign w:val="center"/>
          </w:tcPr>
          <w:p>
            <w:pPr>
              <w:jc w:val="right"/>
              <w:bidi w:val="1"/>
            </w:pPr>
            <w:r/>
            <w:r>
              <w:rPr>
                <w:rFonts w:ascii="Arial" w:hAnsi="Arial" w:cs="Arial"/>
                <w:b w:val="0"/>
                <w:sz w:val="17"/>
              </w:rPr>
              <w:t>0.626%</w:t>
            </w:r>
          </w:p>
        </w:tc>
        <w:tc>
          <w:tcPr>
            <w:tcW w:type="dxa" w:w="2520"/>
            <w:vAlign w:val="center"/>
          </w:tcPr>
          <w:p>
            <w:pPr>
              <w:jc w:val="right"/>
              <w:bidi w:val="1"/>
            </w:pPr>
            <w:r/>
            <w:r>
              <w:rPr>
                <w:rFonts w:ascii="Arial" w:hAnsi="Arial" w:cs="Arial"/>
                <w:b w:val="0"/>
                <w:sz w:val="17"/>
              </w:rPr>
              <w:t>1.30x</w:t>
            </w:r>
          </w:p>
        </w:tc>
        <w:tc>
          <w:tcPr>
            <w:tcW w:type="dxa" w:w="2520"/>
            <w:vAlign w:val="center"/>
          </w:tcPr>
          <w:p>
            <w:pPr>
              <w:jc w:val="right"/>
              <w:bidi w:val="1"/>
            </w:pPr>
            <w:r/>
            <w:r>
              <w:rPr>
                <w:rFonts w:ascii="Arial" w:hAnsi="Arial" w:cs="Arial"/>
                <w:b w:val="0"/>
                <w:sz w:val="17"/>
              </w:rPr>
              <w:t>49.6%</w:t>
            </w:r>
          </w:p>
        </w:tc>
      </w:tr>
      <w:tr>
        <w:tc>
          <w:tcPr>
            <w:tcW w:type="dxa" w:w="2520"/>
            <w:vAlign w:val="center"/>
          </w:tcPr>
          <w:p>
            <w:pPr>
              <w:jc w:val="right"/>
              <w:bidi w:val="1"/>
            </w:pPr>
            <w:r/>
            <w:r>
              <w:rPr>
                <w:rFonts w:ascii="Arial" w:hAnsi="Arial" w:cs="Arial"/>
                <w:b w:val="0"/>
                <w:sz w:val="17"/>
              </w:rPr>
              <w:t>4</w:t>
            </w:r>
          </w:p>
        </w:tc>
        <w:tc>
          <w:tcPr>
            <w:tcW w:type="dxa" w:w="2520"/>
            <w:vAlign w:val="center"/>
          </w:tcPr>
          <w:p>
            <w:pPr>
              <w:jc w:val="right"/>
              <w:bidi w:val="1"/>
            </w:pPr>
            <w:r/>
            <w:r>
              <w:rPr>
                <w:rFonts w:ascii="Arial" w:hAnsi="Arial" w:cs="Arial"/>
                <w:b w:val="0"/>
                <w:sz w:val="17"/>
              </w:rPr>
              <w:t>0.572%</w:t>
            </w:r>
          </w:p>
        </w:tc>
        <w:tc>
          <w:tcPr>
            <w:tcW w:type="dxa" w:w="2520"/>
            <w:vAlign w:val="center"/>
          </w:tcPr>
          <w:p>
            <w:pPr>
              <w:jc w:val="right"/>
              <w:bidi w:val="1"/>
            </w:pPr>
            <w:r/>
            <w:r>
              <w:rPr>
                <w:rFonts w:ascii="Arial" w:hAnsi="Arial" w:cs="Arial"/>
                <w:b w:val="0"/>
                <w:sz w:val="17"/>
              </w:rPr>
              <w:t>1.19x</w:t>
            </w:r>
          </w:p>
        </w:tc>
        <w:tc>
          <w:tcPr>
            <w:tcW w:type="dxa" w:w="2520"/>
            <w:vAlign w:val="center"/>
          </w:tcPr>
          <w:p>
            <w:pPr>
              <w:jc w:val="right"/>
              <w:bidi w:val="1"/>
            </w:pPr>
            <w:r/>
            <w:r>
              <w:rPr>
                <w:rFonts w:ascii="Arial" w:hAnsi="Arial" w:cs="Arial"/>
                <w:b w:val="0"/>
                <w:sz w:val="17"/>
              </w:rPr>
              <w:t>61.5%</w:t>
            </w:r>
          </w:p>
        </w:tc>
      </w:tr>
      <w:tr>
        <w:tc>
          <w:tcPr>
            <w:tcW w:type="dxa" w:w="2520"/>
            <w:vAlign w:val="center"/>
          </w:tcPr>
          <w:p>
            <w:pPr>
              <w:jc w:val="right"/>
              <w:bidi w:val="1"/>
            </w:pPr>
            <w:r/>
            <w:r>
              <w:rPr>
                <w:rFonts w:ascii="Arial" w:hAnsi="Arial" w:cs="Arial"/>
                <w:b w:val="0"/>
                <w:sz w:val="17"/>
              </w:rPr>
              <w:t>5</w:t>
            </w:r>
          </w:p>
        </w:tc>
        <w:tc>
          <w:tcPr>
            <w:tcW w:type="dxa" w:w="2520"/>
            <w:vAlign w:val="center"/>
          </w:tcPr>
          <w:p>
            <w:pPr>
              <w:jc w:val="right"/>
              <w:bidi w:val="1"/>
            </w:pPr>
            <w:r/>
            <w:r>
              <w:rPr>
                <w:rFonts w:ascii="Arial" w:hAnsi="Arial" w:cs="Arial"/>
                <w:b w:val="0"/>
                <w:sz w:val="17"/>
              </w:rPr>
              <w:t>0.445%</w:t>
            </w:r>
          </w:p>
        </w:tc>
        <w:tc>
          <w:tcPr>
            <w:tcW w:type="dxa" w:w="2520"/>
            <w:vAlign w:val="center"/>
          </w:tcPr>
          <w:p>
            <w:pPr>
              <w:jc w:val="right"/>
              <w:bidi w:val="1"/>
            </w:pPr>
            <w:r/>
            <w:r>
              <w:rPr>
                <w:rFonts w:ascii="Arial" w:hAnsi="Arial" w:cs="Arial"/>
                <w:b w:val="0"/>
                <w:sz w:val="17"/>
              </w:rPr>
              <w:t>0.93x</w:t>
            </w:r>
          </w:p>
        </w:tc>
        <w:tc>
          <w:tcPr>
            <w:tcW w:type="dxa" w:w="2520"/>
            <w:vAlign w:val="center"/>
          </w:tcPr>
          <w:p>
            <w:pPr>
              <w:jc w:val="right"/>
              <w:bidi w:val="1"/>
            </w:pPr>
            <w:r/>
            <w:r>
              <w:rPr>
                <w:rFonts w:ascii="Arial" w:hAnsi="Arial" w:cs="Arial"/>
                <w:b w:val="0"/>
                <w:sz w:val="17"/>
              </w:rPr>
              <w:t>70.8%</w:t>
            </w:r>
          </w:p>
        </w:tc>
      </w:tr>
    </w:tbl>
    <w:p/>
    <w:p>
      <w:pPr>
        <w:jc w:val="right"/>
        <w:bidi w:val="1"/>
      </w:pPr>
      <w:r>
        <w:rPr>
          <w:rFonts w:ascii="Arial" w:hAnsi="Arial" w:cs="Arial"/>
          <w:b/>
          <w:sz w:val="22"/>
        </w:rPr>
        <w:t>أعلى 10% risk وصلوا إلى event rate حوالي 1.036%، يعني 2.16x أعلى من baseline، ويمسكون حوالي 21.6% من cancer events. أعلى 20% يمسكون حوالي 36.6% من الأحداث.</w:t>
      </w:r>
    </w:p>
    <w:p>
      <w:pPr>
        <w:jc w:val="center"/>
      </w:pPr>
      <w:r>
        <w:drawing>
          <wp:inline xmlns:a="http://schemas.openxmlformats.org/drawingml/2006/main" xmlns:pic="http://schemas.openxmlformats.org/drawingml/2006/picture">
            <wp:extent cx="5120640" cy="2814593"/>
            <wp:docPr id="4" name="Picture 4"/>
            <wp:cNvGraphicFramePr>
              <a:graphicFrameLocks noChangeAspect="1"/>
            </wp:cNvGraphicFramePr>
            <a:graphic>
              <a:graphicData uri="http://schemas.openxmlformats.org/drawingml/2006/picture">
                <pic:pic>
                  <pic:nvPicPr>
                    <pic:cNvPr id="0" name="path1_bcsc_event_rate_by_risk_decile.png"/>
                    <pic:cNvPicPr/>
                  </pic:nvPicPr>
                  <pic:blipFill>
                    <a:blip r:embed="rId12"/>
                    <a:stretch>
                      <a:fillRect/>
                    </a:stretch>
                  </pic:blipFill>
                  <pic:spPr>
                    <a:xfrm>
                      <a:off x="0" y="0"/>
                      <a:ext cx="5120640" cy="2814593"/>
                    </a:xfrm>
                    <a:prstGeom prst="rect"/>
                  </pic:spPr>
                </pic:pic>
              </a:graphicData>
            </a:graphic>
          </wp:inline>
        </w:drawing>
      </w:r>
    </w:p>
    <w:p>
      <w:pPr>
        <w:jc w:val="right"/>
        <w:bidi w:val="1"/>
      </w:pPr>
      <w:r>
        <w:rPr>
          <w:rFonts w:ascii="Arial" w:hAnsi="Arial" w:cs="Arial"/>
          <w:b w:val="0"/>
          <w:sz w:val="18"/>
        </w:rPr>
        <w:t>شكل 4: معدل الإصابة الفعلي داخل كل risk decile في BCSC.</w:t>
      </w:r>
    </w:p>
    <w:p>
      <w:pPr>
        <w:jc w:val="center"/>
      </w:pPr>
      <w:r>
        <w:drawing>
          <wp:inline xmlns:a="http://schemas.openxmlformats.org/drawingml/2006/main" xmlns:pic="http://schemas.openxmlformats.org/drawingml/2006/picture">
            <wp:extent cx="5120640" cy="2816352"/>
            <wp:docPr id="5" name="Picture 5"/>
            <wp:cNvGraphicFramePr>
              <a:graphicFrameLocks noChangeAspect="1"/>
            </wp:cNvGraphicFramePr>
            <a:graphic>
              <a:graphicData uri="http://schemas.openxmlformats.org/drawingml/2006/picture">
                <pic:pic>
                  <pic:nvPicPr>
                    <pic:cNvPr id="0" name="path1_bcsc_cumulative_event_capture.png"/>
                    <pic:cNvPicPr/>
                  </pic:nvPicPr>
                  <pic:blipFill>
                    <a:blip r:embed="rId13"/>
                    <a:stretch>
                      <a:fillRect/>
                    </a:stretch>
                  </pic:blipFill>
                  <pic:spPr>
                    <a:xfrm>
                      <a:off x="0" y="0"/>
                      <a:ext cx="5120640" cy="2816352"/>
                    </a:xfrm>
                    <a:prstGeom prst="rect"/>
                  </pic:spPr>
                </pic:pic>
              </a:graphicData>
            </a:graphic>
          </wp:inline>
        </w:drawing>
      </w:r>
    </w:p>
    <w:p>
      <w:pPr>
        <w:jc w:val="right"/>
        <w:bidi w:val="1"/>
      </w:pPr>
      <w:r>
        <w:rPr>
          <w:rFonts w:ascii="Arial" w:hAnsi="Arial" w:cs="Arial"/>
          <w:b w:val="0"/>
          <w:sz w:val="18"/>
        </w:rPr>
        <w:t>شكل 5: النسبة التراكمية للحالات المكتشفة عند اختيار أعلى شرائح خطر.</w:t>
      </w:r>
    </w:p>
    <w:p>
      <w:pPr>
        <w:jc w:val="right"/>
        <w:bidi w:val="1"/>
      </w:pPr>
      <w:r>
        <w:rPr>
          <w:rFonts w:ascii="Arial" w:hAnsi="Arial" w:cs="Arial"/>
          <w:b/>
          <w:color w:val="1F4D78"/>
          <w:sz w:val="30"/>
        </w:rPr>
        <w:t>7. تجربة Hybrid Ensemble</w:t>
      </w:r>
    </w:p>
    <w:p>
      <w:pPr>
        <w:jc w:val="right"/>
        <w:bidi w:val="1"/>
      </w:pPr>
      <w:r>
        <w:rPr>
          <w:rFonts w:ascii="Arial" w:hAnsi="Arial" w:cs="Arial"/>
          <w:b w:val="0"/>
          <w:sz w:val="22"/>
        </w:rPr>
        <w:t>تمت تجربة hybrid/ensemble benchmark يجمع Logistic Regression وXGBoost وLightGBM وExtraTrees/boosting. النتيجة المهمة أن الـ hybrid لم يتفوق على أفضل base model في الـ holdout، لذلك احتفظنا بأفضل LightGBM/XGBoost كأفضل اختيار عملي.</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tcPr>
          <w:p>
            <w:pPr>
              <w:jc w:val="right"/>
              <w:bidi w:val="1"/>
            </w:pPr>
            <w:r/>
            <w:r>
              <w:rPr>
                <w:rFonts w:ascii="Arial" w:hAnsi="Arial" w:cs="Arial"/>
                <w:b/>
                <w:sz w:val="17"/>
              </w:rPr>
              <w:t>Path</w:t>
            </w:r>
          </w:p>
        </w:tc>
        <w:tc>
          <w:tcPr>
            <w:tcW w:type="dxa" w:w="1120"/>
            <w:vAlign w:val="center"/>
          </w:tcPr>
          <w:p>
            <w:pPr>
              <w:jc w:val="right"/>
              <w:bidi w:val="1"/>
            </w:pPr>
            <w:r/>
            <w:r>
              <w:rPr>
                <w:rFonts w:ascii="Arial" w:hAnsi="Arial" w:cs="Arial"/>
                <w:b/>
                <w:sz w:val="17"/>
              </w:rPr>
              <w:t>Benchmark</w:t>
            </w:r>
          </w:p>
        </w:tc>
        <w:tc>
          <w:tcPr>
            <w:tcW w:type="dxa" w:w="1120"/>
            <w:vAlign w:val="center"/>
          </w:tcPr>
          <w:p>
            <w:pPr>
              <w:jc w:val="right"/>
              <w:bidi w:val="1"/>
            </w:pPr>
            <w:r/>
            <w:r>
              <w:rPr>
                <w:rFonts w:ascii="Arial" w:hAnsi="Arial" w:cs="Arial"/>
                <w:b/>
                <w:sz w:val="17"/>
              </w:rPr>
              <w:t>Best model</w:t>
            </w:r>
          </w:p>
        </w:tc>
        <w:tc>
          <w:tcPr>
            <w:tcW w:type="dxa" w:w="1120"/>
            <w:vAlign w:val="center"/>
          </w:tcPr>
          <w:p>
            <w:pPr>
              <w:jc w:val="right"/>
              <w:bidi w:val="1"/>
            </w:pPr>
            <w:r/>
            <w:r>
              <w:rPr>
                <w:rFonts w:ascii="Arial" w:hAnsi="Arial" w:cs="Arial"/>
                <w:b/>
                <w:sz w:val="17"/>
              </w:rPr>
              <w:t>AUC</w:t>
            </w:r>
          </w:p>
        </w:tc>
        <w:tc>
          <w:tcPr>
            <w:tcW w:type="dxa" w:w="1120"/>
            <w:vAlign w:val="center"/>
          </w:tcPr>
          <w:p>
            <w:pPr>
              <w:jc w:val="right"/>
              <w:bidi w:val="1"/>
            </w:pPr>
            <w:r/>
            <w:r>
              <w:rPr>
                <w:rFonts w:ascii="Arial" w:hAnsi="Arial" w:cs="Arial"/>
                <w:b/>
                <w:sz w:val="17"/>
              </w:rPr>
              <w:t>Accuracy</w:t>
            </w:r>
          </w:p>
        </w:tc>
        <w:tc>
          <w:tcPr>
            <w:tcW w:type="dxa" w:w="1120"/>
            <w:vAlign w:val="center"/>
          </w:tcPr>
          <w:p>
            <w:pPr>
              <w:jc w:val="right"/>
              <w:bidi w:val="1"/>
            </w:pPr>
            <w:r/>
            <w:r>
              <w:rPr>
                <w:rFonts w:ascii="Arial" w:hAnsi="Arial" w:cs="Arial"/>
                <w:b/>
                <w:sz w:val="17"/>
              </w:rPr>
              <w:t>Sensitivity</w:t>
            </w:r>
          </w:p>
        </w:tc>
        <w:tc>
          <w:tcPr>
            <w:tcW w:type="dxa" w:w="1120"/>
            <w:vAlign w:val="center"/>
          </w:tcPr>
          <w:p>
            <w:pPr>
              <w:jc w:val="right"/>
              <w:bidi w:val="1"/>
            </w:pPr>
            <w:r/>
            <w:r>
              <w:rPr>
                <w:rFonts w:ascii="Arial" w:hAnsi="Arial" w:cs="Arial"/>
                <w:b/>
                <w:sz w:val="17"/>
              </w:rPr>
              <w:t>Specificity</w:t>
            </w:r>
          </w:p>
        </w:tc>
        <w:tc>
          <w:tcPr>
            <w:tcW w:type="dxa" w:w="1120"/>
            <w:vAlign w:val="center"/>
          </w:tcPr>
          <w:p>
            <w:pPr>
              <w:jc w:val="right"/>
              <w:bidi w:val="1"/>
            </w:pPr>
            <w:r/>
            <w:r>
              <w:rPr>
                <w:rFonts w:ascii="Arial" w:hAnsi="Arial" w:cs="Arial"/>
                <w:b/>
                <w:sz w:val="17"/>
              </w:rPr>
              <w:t>F1</w:t>
            </w:r>
          </w:p>
        </w:tc>
        <w:tc>
          <w:tcPr>
            <w:tcW w:type="dxa" w:w="1120"/>
            <w:vAlign w:val="center"/>
          </w:tcPr>
          <w:p>
            <w:pPr>
              <w:jc w:val="right"/>
              <w:bidi w:val="1"/>
            </w:pPr>
            <w:r/>
            <w:r>
              <w:rPr>
                <w:rFonts w:ascii="Arial" w:hAnsi="Arial" w:cs="Arial"/>
                <w:b/>
                <w:sz w:val="17"/>
              </w:rPr>
              <w:t>Top decile lift</w:t>
            </w:r>
          </w:p>
        </w:tc>
      </w:tr>
      <w:tr>
        <w:tc>
          <w:tcPr>
            <w:tcW w:type="dxa" w:w="1120"/>
            <w:vAlign w:val="center"/>
          </w:tcPr>
          <w:p>
            <w:pPr>
              <w:jc w:val="right"/>
              <w:bidi w:val="1"/>
            </w:pPr>
            <w:r/>
            <w:r>
              <w:rPr>
                <w:rFonts w:ascii="Arial" w:hAnsi="Arial" w:cs="Arial"/>
                <w:b w:val="0"/>
                <w:sz w:val="17"/>
              </w:rPr>
              <w:t>Path 1 - BCSC</w:t>
            </w:r>
          </w:p>
        </w:tc>
        <w:tc>
          <w:tcPr>
            <w:tcW w:type="dxa" w:w="1120"/>
            <w:vAlign w:val="center"/>
          </w:tcPr>
          <w:p>
            <w:pPr>
              <w:jc w:val="right"/>
              <w:bidi w:val="1"/>
            </w:pPr>
            <w:r/>
            <w:r>
              <w:rPr>
                <w:rFonts w:ascii="Arial" w:hAnsi="Arial" w:cs="Arial"/>
                <w:b w:val="0"/>
                <w:sz w:val="17"/>
              </w:rPr>
              <w:t>Hybrid future-risk ensemble</w:t>
            </w:r>
          </w:p>
        </w:tc>
        <w:tc>
          <w:tcPr>
            <w:tcW w:type="dxa" w:w="1120"/>
            <w:vAlign w:val="center"/>
          </w:tcPr>
          <w:p>
            <w:pPr>
              <w:jc w:val="right"/>
              <w:bidi w:val="1"/>
            </w:pPr>
            <w:r/>
            <w:r>
              <w:rPr>
                <w:rFonts w:ascii="Arial" w:hAnsi="Arial" w:cs="Arial"/>
                <w:b w:val="0"/>
                <w:sz w:val="17"/>
              </w:rPr>
              <w:t>lightgbm_balanced_weight</w:t>
            </w:r>
          </w:p>
        </w:tc>
        <w:tc>
          <w:tcPr>
            <w:tcW w:type="dxa" w:w="1120"/>
            <w:vAlign w:val="center"/>
          </w:tcPr>
          <w:p>
            <w:pPr>
              <w:jc w:val="right"/>
              <w:bidi w:val="1"/>
            </w:pPr>
            <w:r/>
            <w:r>
              <w:rPr>
                <w:rFonts w:ascii="Arial" w:hAnsi="Arial" w:cs="Arial"/>
                <w:b w:val="0"/>
                <w:sz w:val="17"/>
              </w:rPr>
              <w:t>0.649</w:t>
            </w:r>
          </w:p>
        </w:tc>
        <w:tc>
          <w:tcPr>
            <w:tcW w:type="dxa" w:w="1120"/>
            <w:vAlign w:val="center"/>
          </w:tcPr>
          <w:p>
            <w:pPr>
              <w:jc w:val="right"/>
              <w:bidi w:val="1"/>
            </w:pPr>
            <w:r/>
            <w:r>
              <w:rPr>
                <w:rFonts w:ascii="Arial" w:hAnsi="Arial" w:cs="Arial"/>
                <w:b w:val="0"/>
                <w:sz w:val="17"/>
              </w:rPr>
              <w:t>0.548</w:t>
            </w:r>
          </w:p>
        </w:tc>
        <w:tc>
          <w:tcPr>
            <w:tcW w:type="dxa" w:w="1120"/>
            <w:vAlign w:val="center"/>
          </w:tcPr>
          <w:p>
            <w:pPr>
              <w:jc w:val="right"/>
              <w:bidi w:val="1"/>
            </w:pPr>
            <w:r/>
            <w:r>
              <w:rPr>
                <w:rFonts w:ascii="Arial" w:hAnsi="Arial" w:cs="Arial"/>
                <w:b w:val="0"/>
                <w:sz w:val="17"/>
              </w:rPr>
              <w:t>0.67</w:t>
            </w:r>
          </w:p>
        </w:tc>
        <w:tc>
          <w:tcPr>
            <w:tcW w:type="dxa" w:w="1120"/>
            <w:vAlign w:val="center"/>
          </w:tcPr>
          <w:p>
            <w:pPr>
              <w:jc w:val="right"/>
              <w:bidi w:val="1"/>
            </w:pPr>
            <w:r/>
            <w:r>
              <w:rPr>
                <w:rFonts w:ascii="Arial" w:hAnsi="Arial" w:cs="Arial"/>
                <w:b w:val="0"/>
                <w:sz w:val="17"/>
              </w:rPr>
              <w:t>0.547</w:t>
            </w:r>
          </w:p>
        </w:tc>
        <w:tc>
          <w:tcPr>
            <w:tcW w:type="dxa" w:w="1120"/>
            <w:vAlign w:val="center"/>
          </w:tcPr>
          <w:p>
            <w:pPr>
              <w:jc w:val="right"/>
              <w:bidi w:val="1"/>
            </w:pPr>
            <w:r/>
            <w:r>
              <w:rPr>
                <w:rFonts w:ascii="Arial" w:hAnsi="Arial" w:cs="Arial"/>
                <w:b w:val="0"/>
                <w:sz w:val="17"/>
              </w:rPr>
              <w:t>0.014</w:t>
            </w:r>
          </w:p>
        </w:tc>
        <w:tc>
          <w:tcPr>
            <w:tcW w:type="dxa" w:w="1120"/>
            <w:vAlign w:val="center"/>
          </w:tcPr>
          <w:p>
            <w:pPr>
              <w:jc w:val="right"/>
              <w:bidi w:val="1"/>
            </w:pPr>
            <w:r/>
            <w:r>
              <w:rPr>
                <w:rFonts w:ascii="Arial" w:hAnsi="Arial" w:cs="Arial"/>
                <w:b w:val="0"/>
                <w:sz w:val="17"/>
              </w:rPr>
              <w:t>2.16</w:t>
            </w:r>
          </w:p>
        </w:tc>
      </w:tr>
      <w:tr>
        <w:tc>
          <w:tcPr>
            <w:tcW w:type="dxa" w:w="1120"/>
            <w:vAlign w:val="center"/>
          </w:tcPr>
          <w:p>
            <w:pPr>
              <w:jc w:val="right"/>
              <w:bidi w:val="1"/>
            </w:pPr>
            <w:r/>
            <w:r>
              <w:rPr>
                <w:rFonts w:ascii="Arial" w:hAnsi="Arial" w:cs="Arial"/>
                <w:b w:val="0"/>
                <w:sz w:val="17"/>
              </w:rPr>
              <w:t>Path 2 - METABRIC</w:t>
            </w:r>
          </w:p>
        </w:tc>
        <w:tc>
          <w:tcPr>
            <w:tcW w:type="dxa" w:w="1120"/>
            <w:vAlign w:val="center"/>
          </w:tcPr>
          <w:p>
            <w:pPr>
              <w:jc w:val="right"/>
              <w:bidi w:val="1"/>
            </w:pPr>
            <w:r/>
            <w:r>
              <w:rPr>
                <w:rFonts w:ascii="Arial" w:hAnsi="Arial" w:cs="Arial"/>
                <w:b w:val="0"/>
                <w:sz w:val="17"/>
              </w:rPr>
              <w:t>Hybrid clinical + transcriptomic 5-year survival ensemble</w:t>
            </w:r>
          </w:p>
        </w:tc>
        <w:tc>
          <w:tcPr>
            <w:tcW w:type="dxa" w:w="1120"/>
            <w:vAlign w:val="center"/>
          </w:tcPr>
          <w:p>
            <w:pPr>
              <w:jc w:val="right"/>
              <w:bidi w:val="1"/>
            </w:pPr>
            <w:r/>
            <w:r>
              <w:rPr>
                <w:rFonts w:ascii="Arial" w:hAnsi="Arial" w:cs="Arial"/>
                <w:b w:val="0"/>
                <w:sz w:val="17"/>
              </w:rPr>
              <w:t>lightgbm</w:t>
            </w:r>
          </w:p>
        </w:tc>
        <w:tc>
          <w:tcPr>
            <w:tcW w:type="dxa" w:w="1120"/>
            <w:vAlign w:val="center"/>
          </w:tcPr>
          <w:p>
            <w:pPr>
              <w:jc w:val="right"/>
              <w:bidi w:val="1"/>
            </w:pPr>
            <w:r/>
            <w:r>
              <w:rPr>
                <w:rFonts w:ascii="Arial" w:hAnsi="Arial" w:cs="Arial"/>
                <w:b w:val="0"/>
                <w:sz w:val="17"/>
              </w:rPr>
              <w:t>0.789</w:t>
            </w:r>
          </w:p>
        </w:tc>
        <w:tc>
          <w:tcPr>
            <w:tcW w:type="dxa" w:w="1120"/>
            <w:vAlign w:val="center"/>
          </w:tcPr>
          <w:p>
            <w:pPr>
              <w:jc w:val="right"/>
              <w:bidi w:val="1"/>
            </w:pPr>
            <w:r/>
            <w:r>
              <w:rPr>
                <w:rFonts w:ascii="Arial" w:hAnsi="Arial" w:cs="Arial"/>
                <w:b w:val="0"/>
                <w:sz w:val="17"/>
              </w:rPr>
              <w:t>0.698</w:t>
            </w:r>
          </w:p>
        </w:tc>
        <w:tc>
          <w:tcPr>
            <w:tcW w:type="dxa" w:w="1120"/>
            <w:vAlign w:val="center"/>
          </w:tcPr>
          <w:p>
            <w:pPr>
              <w:jc w:val="right"/>
              <w:bidi w:val="1"/>
            </w:pPr>
            <w:r/>
            <w:r>
              <w:rPr>
                <w:rFonts w:ascii="Arial" w:hAnsi="Arial" w:cs="Arial"/>
                <w:b w:val="0"/>
                <w:sz w:val="17"/>
              </w:rPr>
              <w:t>0.756</w:t>
            </w:r>
          </w:p>
        </w:tc>
        <w:tc>
          <w:tcPr>
            <w:tcW w:type="dxa" w:w="1120"/>
            <w:vAlign w:val="center"/>
          </w:tcPr>
          <w:p>
            <w:pPr>
              <w:jc w:val="right"/>
              <w:bidi w:val="1"/>
            </w:pPr>
            <w:r/>
            <w:r>
              <w:rPr>
                <w:rFonts w:ascii="Arial" w:hAnsi="Arial" w:cs="Arial"/>
                <w:b w:val="0"/>
                <w:sz w:val="17"/>
              </w:rPr>
              <w:t>0.681</w:t>
            </w:r>
          </w:p>
        </w:tc>
        <w:tc>
          <w:tcPr>
            <w:tcW w:type="dxa" w:w="1120"/>
            <w:vAlign w:val="center"/>
          </w:tcPr>
          <w:p>
            <w:pPr>
              <w:jc w:val="right"/>
              <w:bidi w:val="1"/>
            </w:pPr>
            <w:r/>
            <w:r>
              <w:rPr>
                <w:rFonts w:ascii="Arial" w:hAnsi="Arial" w:cs="Arial"/>
                <w:b w:val="0"/>
                <w:sz w:val="17"/>
              </w:rPr>
              <w:t>0.528</w:t>
            </w:r>
          </w:p>
        </w:tc>
        <w:tc>
          <w:tcPr>
            <w:tcW w:type="dxa" w:w="1120"/>
            <w:vAlign w:val="center"/>
          </w:tcPr>
          <w:p>
            <w:pPr>
              <w:jc w:val="right"/>
              <w:bidi w:val="1"/>
            </w:pPr>
            <w:r/>
            <w:r>
              <w:rPr>
                <w:rFonts w:ascii="Arial" w:hAnsi="Arial" w:cs="Arial"/>
                <w:b w:val="0"/>
                <w:sz w:val="17"/>
              </w:rPr>
            </w:r>
          </w:p>
        </w:tc>
      </w:tr>
    </w:tbl>
    <w:p/>
    <w:p>
      <w:pPr>
        <w:jc w:val="center"/>
      </w:pPr>
      <w:r>
        <w:drawing>
          <wp:inline xmlns:a="http://schemas.openxmlformats.org/drawingml/2006/main" xmlns:pic="http://schemas.openxmlformats.org/drawingml/2006/picture">
            <wp:extent cx="5303520" cy="2406201"/>
            <wp:docPr id="6" name="Picture 6"/>
            <wp:cNvGraphicFramePr>
              <a:graphicFrameLocks noChangeAspect="1"/>
            </wp:cNvGraphicFramePr>
            <a:graphic>
              <a:graphicData uri="http://schemas.openxmlformats.org/drawingml/2006/picture">
                <pic:pic>
                  <pic:nvPicPr>
                    <pic:cNvPr id="0" name="path1_bcsc_hybrid_benchmark.png"/>
                    <pic:cNvPicPr/>
                  </pic:nvPicPr>
                  <pic:blipFill>
                    <a:blip r:embed="rId14"/>
                    <a:stretch>
                      <a:fillRect/>
                    </a:stretch>
                  </pic:blipFill>
                  <pic:spPr>
                    <a:xfrm>
                      <a:off x="0" y="0"/>
                      <a:ext cx="5303520" cy="2406201"/>
                    </a:xfrm>
                    <a:prstGeom prst="rect"/>
                  </pic:spPr>
                </pic:pic>
              </a:graphicData>
            </a:graphic>
          </wp:inline>
        </w:drawing>
      </w:r>
    </w:p>
    <w:p>
      <w:pPr>
        <w:jc w:val="right"/>
        <w:bidi w:val="1"/>
      </w:pPr>
      <w:r>
        <w:rPr>
          <w:rFonts w:ascii="Arial" w:hAnsi="Arial" w:cs="Arial"/>
          <w:b w:val="0"/>
          <w:sz w:val="18"/>
        </w:rPr>
        <w:t>شكل 6: مقارنة hybrid ensemble مع base models في BCSC.</w:t>
      </w:r>
    </w:p>
    <w:p>
      <w:pPr>
        <w:jc w:val="center"/>
      </w:pPr>
      <w:r>
        <w:drawing>
          <wp:inline xmlns:a="http://schemas.openxmlformats.org/drawingml/2006/main" xmlns:pic="http://schemas.openxmlformats.org/drawingml/2006/picture">
            <wp:extent cx="5303520" cy="2373339"/>
            <wp:docPr id="7" name="Picture 7"/>
            <wp:cNvGraphicFramePr>
              <a:graphicFrameLocks noChangeAspect="1"/>
            </wp:cNvGraphicFramePr>
            <a:graphic>
              <a:graphicData uri="http://schemas.openxmlformats.org/drawingml/2006/picture">
                <pic:pic>
                  <pic:nvPicPr>
                    <pic:cNvPr id="0" name="path2_metabric_hybrid_survival_benchmark.png"/>
                    <pic:cNvPicPr/>
                  </pic:nvPicPr>
                  <pic:blipFill>
                    <a:blip r:embed="rId15"/>
                    <a:stretch>
                      <a:fillRect/>
                    </a:stretch>
                  </pic:blipFill>
                  <pic:spPr>
                    <a:xfrm>
                      <a:off x="0" y="0"/>
                      <a:ext cx="5303520" cy="2373339"/>
                    </a:xfrm>
                    <a:prstGeom prst="rect"/>
                  </pic:spPr>
                </pic:pic>
              </a:graphicData>
            </a:graphic>
          </wp:inline>
        </w:drawing>
      </w:r>
    </w:p>
    <w:p>
      <w:pPr>
        <w:jc w:val="right"/>
        <w:bidi w:val="1"/>
      </w:pPr>
      <w:r>
        <w:rPr>
          <w:rFonts w:ascii="Arial" w:hAnsi="Arial" w:cs="Arial"/>
          <w:b w:val="0"/>
          <w:sz w:val="18"/>
        </w:rPr>
        <w:t>شكل 7: مقارنة hybrid ensemble مع base models في METABRIC survival.</w:t>
      </w:r>
    </w:p>
    <w:p>
      <w:pPr>
        <w:jc w:val="right"/>
        <w:bidi w:val="1"/>
      </w:pPr>
      <w:r>
        <w:rPr>
          <w:rFonts w:ascii="Arial" w:hAnsi="Arial" w:cs="Arial"/>
          <w:b/>
          <w:color w:val="1F4D78"/>
          <w:sz w:val="30"/>
        </w:rPr>
        <w:t>8. Survival Analysis + Repeated CV + Paper-style</w:t>
      </w:r>
    </w:p>
    <w:p>
      <w:pPr>
        <w:jc w:val="right"/>
        <w:bidi w:val="1"/>
      </w:pPr>
      <w:r>
        <w:rPr>
          <w:rFonts w:ascii="Arial" w:hAnsi="Arial" w:cs="Arial"/>
          <w:b w:val="0"/>
          <w:sz w:val="22"/>
        </w:rPr>
        <w:t>تمت إضافة Cox survival analysis وrepeated CV وpaper-style CV. الهدف هنا اختبار هل طريقة تقييم أقرب لبعض الأوراق المنشورة ترفع الأرقام بوضوح. النتيجة أن paper-style حسن الأرقام قليلا، لكنه لم يصل إلى 90، وهذا يدعم أن سقف الداتا/المهمة نفسها محدود.</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Pr>
          <w:p>
            <w:pPr>
              <w:jc w:val="right"/>
              <w:bidi w:val="1"/>
            </w:pPr>
            <w:r/>
            <w:r>
              <w:rPr>
                <w:rFonts w:ascii="Arial" w:hAnsi="Arial" w:cs="Arial"/>
                <w:b/>
                <w:sz w:val="17"/>
              </w:rPr>
              <w:t>Benchmark</w:t>
            </w:r>
          </w:p>
        </w:tc>
        <w:tc>
          <w:tcPr>
            <w:tcW w:type="dxa" w:w="1440"/>
            <w:vAlign w:val="center"/>
          </w:tcPr>
          <w:p>
            <w:pPr>
              <w:jc w:val="right"/>
              <w:bidi w:val="1"/>
            </w:pPr>
            <w:r/>
            <w:r>
              <w:rPr>
                <w:rFonts w:ascii="Arial" w:hAnsi="Arial" w:cs="Arial"/>
                <w:b/>
                <w:sz w:val="17"/>
              </w:rPr>
              <w:t>AUC/C-index</w:t>
            </w:r>
          </w:p>
        </w:tc>
        <w:tc>
          <w:tcPr>
            <w:tcW w:type="dxa" w:w="1440"/>
            <w:vAlign w:val="center"/>
          </w:tcPr>
          <w:p>
            <w:pPr>
              <w:jc w:val="right"/>
              <w:bidi w:val="1"/>
            </w:pPr>
            <w:r/>
            <w:r>
              <w:rPr>
                <w:rFonts w:ascii="Arial" w:hAnsi="Arial" w:cs="Arial"/>
                <w:b/>
                <w:sz w:val="17"/>
              </w:rPr>
              <w:t>Std</w:t>
            </w:r>
          </w:p>
        </w:tc>
        <w:tc>
          <w:tcPr>
            <w:tcW w:type="dxa" w:w="1440"/>
            <w:vAlign w:val="center"/>
          </w:tcPr>
          <w:p>
            <w:pPr>
              <w:jc w:val="right"/>
              <w:bidi w:val="1"/>
            </w:pPr>
            <w:r/>
            <w:r>
              <w:rPr>
                <w:rFonts w:ascii="Arial" w:hAnsi="Arial" w:cs="Arial"/>
                <w:b/>
                <w:sz w:val="17"/>
              </w:rPr>
              <w:t>Accuracy</w:t>
            </w:r>
          </w:p>
        </w:tc>
        <w:tc>
          <w:tcPr>
            <w:tcW w:type="dxa" w:w="1440"/>
            <w:vAlign w:val="center"/>
          </w:tcPr>
          <w:p>
            <w:pPr>
              <w:jc w:val="right"/>
              <w:bidi w:val="1"/>
            </w:pPr>
            <w:r/>
            <w:r>
              <w:rPr>
                <w:rFonts w:ascii="Arial" w:hAnsi="Arial" w:cs="Arial"/>
                <w:b/>
                <w:sz w:val="17"/>
              </w:rPr>
              <w:t>Sensitivity</w:t>
            </w:r>
          </w:p>
        </w:tc>
        <w:tc>
          <w:tcPr>
            <w:tcW w:type="dxa" w:w="1440"/>
            <w:vAlign w:val="center"/>
          </w:tcPr>
          <w:p>
            <w:pPr>
              <w:jc w:val="right"/>
              <w:bidi w:val="1"/>
            </w:pPr>
            <w:r/>
            <w:r>
              <w:rPr>
                <w:rFonts w:ascii="Arial" w:hAnsi="Arial" w:cs="Arial"/>
                <w:b/>
                <w:sz w:val="17"/>
              </w:rPr>
              <w:t>Specificity</w:t>
            </w:r>
          </w:p>
        </w:tc>
        <w:tc>
          <w:tcPr>
            <w:tcW w:type="dxa" w:w="1440"/>
            <w:vAlign w:val="center"/>
          </w:tcPr>
          <w:p>
            <w:pPr>
              <w:jc w:val="right"/>
              <w:bidi w:val="1"/>
            </w:pPr>
            <w:r/>
            <w:r>
              <w:rPr>
                <w:rFonts w:ascii="Arial" w:hAnsi="Arial" w:cs="Arial"/>
                <w:b/>
                <w:sz w:val="17"/>
              </w:rPr>
              <w:t>F1</w:t>
            </w:r>
          </w:p>
        </w:tc>
      </w:tr>
      <w:tr>
        <w:tc>
          <w:tcPr>
            <w:tcW w:type="dxa" w:w="1440"/>
            <w:vAlign w:val="center"/>
          </w:tcPr>
          <w:p>
            <w:pPr>
              <w:jc w:val="right"/>
              <w:bidi w:val="1"/>
            </w:pPr>
            <w:r/>
            <w:r>
              <w:rPr>
                <w:rFonts w:ascii="Arial" w:hAnsi="Arial" w:cs="Arial"/>
                <w:b w:val="0"/>
                <w:sz w:val="17"/>
              </w:rPr>
              <w:t>Clean repeated CV 5-year survival</w:t>
            </w:r>
          </w:p>
        </w:tc>
        <w:tc>
          <w:tcPr>
            <w:tcW w:type="dxa" w:w="1440"/>
            <w:vAlign w:val="center"/>
          </w:tcPr>
          <w:p>
            <w:pPr>
              <w:jc w:val="right"/>
              <w:bidi w:val="1"/>
            </w:pPr>
            <w:r/>
            <w:r>
              <w:rPr>
                <w:rFonts w:ascii="Arial" w:hAnsi="Arial" w:cs="Arial"/>
                <w:b w:val="0"/>
                <w:sz w:val="17"/>
              </w:rPr>
              <w:t>0.749</w:t>
            </w:r>
          </w:p>
        </w:tc>
        <w:tc>
          <w:tcPr>
            <w:tcW w:type="dxa" w:w="1440"/>
            <w:vAlign w:val="center"/>
          </w:tcPr>
          <w:p>
            <w:pPr>
              <w:jc w:val="right"/>
              <w:bidi w:val="1"/>
            </w:pPr>
            <w:r/>
            <w:r>
              <w:rPr>
                <w:rFonts w:ascii="Arial" w:hAnsi="Arial" w:cs="Arial"/>
                <w:b w:val="0"/>
                <w:sz w:val="17"/>
              </w:rPr>
              <w:t>0.036</w:t>
            </w:r>
          </w:p>
        </w:tc>
        <w:tc>
          <w:tcPr>
            <w:tcW w:type="dxa" w:w="1440"/>
            <w:vAlign w:val="center"/>
          </w:tcPr>
          <w:p>
            <w:pPr>
              <w:jc w:val="right"/>
              <w:bidi w:val="1"/>
            </w:pPr>
            <w:r/>
            <w:r>
              <w:rPr>
                <w:rFonts w:ascii="Arial" w:hAnsi="Arial" w:cs="Arial"/>
                <w:b w:val="0"/>
                <w:sz w:val="17"/>
              </w:rPr>
              <w:t>0.709</w:t>
            </w:r>
          </w:p>
        </w:tc>
        <w:tc>
          <w:tcPr>
            <w:tcW w:type="dxa" w:w="1440"/>
            <w:vAlign w:val="center"/>
          </w:tcPr>
          <w:p>
            <w:pPr>
              <w:jc w:val="right"/>
              <w:bidi w:val="1"/>
            </w:pPr>
            <w:r/>
            <w:r>
              <w:rPr>
                <w:rFonts w:ascii="Arial" w:hAnsi="Arial" w:cs="Arial"/>
                <w:b w:val="0"/>
                <w:sz w:val="17"/>
              </w:rPr>
              <w:t>0.701</w:t>
            </w:r>
          </w:p>
        </w:tc>
        <w:tc>
          <w:tcPr>
            <w:tcW w:type="dxa" w:w="1440"/>
            <w:vAlign w:val="center"/>
          </w:tcPr>
          <w:p>
            <w:pPr>
              <w:jc w:val="right"/>
              <w:bidi w:val="1"/>
            </w:pPr>
            <w:r/>
            <w:r>
              <w:rPr>
                <w:rFonts w:ascii="Arial" w:hAnsi="Arial" w:cs="Arial"/>
                <w:b w:val="0"/>
                <w:sz w:val="17"/>
              </w:rPr>
              <w:t>0.711</w:t>
            </w:r>
          </w:p>
        </w:tc>
        <w:tc>
          <w:tcPr>
            <w:tcW w:type="dxa" w:w="1440"/>
            <w:vAlign w:val="center"/>
          </w:tcPr>
          <w:p>
            <w:pPr>
              <w:jc w:val="right"/>
              <w:bidi w:val="1"/>
            </w:pPr>
            <w:r/>
            <w:r>
              <w:rPr>
                <w:rFonts w:ascii="Arial" w:hAnsi="Arial" w:cs="Arial"/>
                <w:b w:val="0"/>
                <w:sz w:val="17"/>
              </w:rPr>
              <w:t>0.518</w:t>
            </w:r>
          </w:p>
        </w:tc>
      </w:tr>
      <w:tr>
        <w:tc>
          <w:tcPr>
            <w:tcW w:type="dxa" w:w="1440"/>
            <w:vAlign w:val="center"/>
          </w:tcPr>
          <w:p>
            <w:pPr>
              <w:jc w:val="right"/>
              <w:bidi w:val="1"/>
            </w:pPr>
            <w:r/>
            <w:r>
              <w:rPr>
                <w:rFonts w:ascii="Arial" w:hAnsi="Arial" w:cs="Arial"/>
                <w:b w:val="0"/>
                <w:sz w:val="17"/>
              </w:rPr>
              <w:t>Paper-style CV 5-year survival</w:t>
            </w:r>
          </w:p>
        </w:tc>
        <w:tc>
          <w:tcPr>
            <w:tcW w:type="dxa" w:w="1440"/>
            <w:vAlign w:val="center"/>
          </w:tcPr>
          <w:p>
            <w:pPr>
              <w:jc w:val="right"/>
              <w:bidi w:val="1"/>
            </w:pPr>
            <w:r/>
            <w:r>
              <w:rPr>
                <w:rFonts w:ascii="Arial" w:hAnsi="Arial" w:cs="Arial"/>
                <w:b w:val="0"/>
                <w:sz w:val="17"/>
              </w:rPr>
              <w:t>0.766</w:t>
            </w:r>
          </w:p>
        </w:tc>
        <w:tc>
          <w:tcPr>
            <w:tcW w:type="dxa" w:w="1440"/>
            <w:vAlign w:val="center"/>
          </w:tcPr>
          <w:p>
            <w:pPr>
              <w:jc w:val="right"/>
              <w:bidi w:val="1"/>
            </w:pPr>
            <w:r/>
            <w:r>
              <w:rPr>
                <w:rFonts w:ascii="Arial" w:hAnsi="Arial" w:cs="Arial"/>
                <w:b w:val="0"/>
                <w:sz w:val="17"/>
              </w:rPr>
              <w:t>0.033</w:t>
            </w:r>
          </w:p>
        </w:tc>
        <w:tc>
          <w:tcPr>
            <w:tcW w:type="dxa" w:w="1440"/>
            <w:vAlign w:val="center"/>
          </w:tcPr>
          <w:p>
            <w:pPr>
              <w:jc w:val="right"/>
              <w:bidi w:val="1"/>
            </w:pPr>
            <w:r/>
            <w:r>
              <w:rPr>
                <w:rFonts w:ascii="Arial" w:hAnsi="Arial" w:cs="Arial"/>
                <w:b w:val="0"/>
                <w:sz w:val="17"/>
              </w:rPr>
              <w:t>0.689</w:t>
            </w:r>
          </w:p>
        </w:tc>
        <w:tc>
          <w:tcPr>
            <w:tcW w:type="dxa" w:w="1440"/>
            <w:vAlign w:val="center"/>
          </w:tcPr>
          <w:p>
            <w:pPr>
              <w:jc w:val="right"/>
              <w:bidi w:val="1"/>
            </w:pPr>
            <w:r/>
            <w:r>
              <w:rPr>
                <w:rFonts w:ascii="Arial" w:hAnsi="Arial" w:cs="Arial"/>
                <w:b w:val="0"/>
                <w:sz w:val="17"/>
              </w:rPr>
              <w:t>0.773</w:t>
            </w:r>
          </w:p>
        </w:tc>
        <w:tc>
          <w:tcPr>
            <w:tcW w:type="dxa" w:w="1440"/>
            <w:vAlign w:val="center"/>
          </w:tcPr>
          <w:p>
            <w:pPr>
              <w:jc w:val="right"/>
              <w:bidi w:val="1"/>
            </w:pPr>
            <w:r/>
            <w:r>
              <w:rPr>
                <w:rFonts w:ascii="Arial" w:hAnsi="Arial" w:cs="Arial"/>
                <w:b w:val="0"/>
                <w:sz w:val="17"/>
              </w:rPr>
              <w:t>0.665</w:t>
            </w:r>
          </w:p>
        </w:tc>
        <w:tc>
          <w:tcPr>
            <w:tcW w:type="dxa" w:w="1440"/>
            <w:vAlign w:val="center"/>
          </w:tcPr>
          <w:p>
            <w:pPr>
              <w:jc w:val="right"/>
              <w:bidi w:val="1"/>
            </w:pPr>
            <w:r/>
            <w:r>
              <w:rPr>
                <w:rFonts w:ascii="Arial" w:hAnsi="Arial" w:cs="Arial"/>
                <w:b w:val="0"/>
                <w:sz w:val="17"/>
              </w:rPr>
              <w:t>0.526</w:t>
            </w:r>
          </w:p>
        </w:tc>
      </w:tr>
      <w:tr>
        <w:tc>
          <w:tcPr>
            <w:tcW w:type="dxa" w:w="1440"/>
            <w:vAlign w:val="center"/>
          </w:tcPr>
          <w:p>
            <w:pPr>
              <w:jc w:val="right"/>
              <w:bidi w:val="1"/>
            </w:pPr>
            <w:r/>
            <w:r>
              <w:rPr>
                <w:rFonts w:ascii="Arial" w:hAnsi="Arial" w:cs="Arial"/>
                <w:b w:val="0"/>
                <w:sz w:val="17"/>
              </w:rPr>
              <w:t>Paper-style CV overall survival status</w:t>
            </w:r>
          </w:p>
        </w:tc>
        <w:tc>
          <w:tcPr>
            <w:tcW w:type="dxa" w:w="1440"/>
            <w:vAlign w:val="center"/>
          </w:tcPr>
          <w:p>
            <w:pPr>
              <w:jc w:val="right"/>
              <w:bidi w:val="1"/>
            </w:pPr>
            <w:r/>
            <w:r>
              <w:rPr>
                <w:rFonts w:ascii="Arial" w:hAnsi="Arial" w:cs="Arial"/>
                <w:b w:val="0"/>
                <w:sz w:val="17"/>
              </w:rPr>
              <w:t>0.772</w:t>
            </w:r>
          </w:p>
        </w:tc>
        <w:tc>
          <w:tcPr>
            <w:tcW w:type="dxa" w:w="1440"/>
            <w:vAlign w:val="center"/>
          </w:tcPr>
          <w:p>
            <w:pPr>
              <w:jc w:val="right"/>
              <w:bidi w:val="1"/>
            </w:pPr>
            <w:r/>
            <w:r>
              <w:rPr>
                <w:rFonts w:ascii="Arial" w:hAnsi="Arial" w:cs="Arial"/>
                <w:b w:val="0"/>
                <w:sz w:val="17"/>
              </w:rPr>
              <w:t>0.032</w:t>
            </w:r>
          </w:p>
        </w:tc>
        <w:tc>
          <w:tcPr>
            <w:tcW w:type="dxa" w:w="1440"/>
            <w:vAlign w:val="center"/>
          </w:tcPr>
          <w:p>
            <w:pPr>
              <w:jc w:val="right"/>
              <w:bidi w:val="1"/>
            </w:pPr>
            <w:r/>
            <w:r>
              <w:rPr>
                <w:rFonts w:ascii="Arial" w:hAnsi="Arial" w:cs="Arial"/>
                <w:b w:val="0"/>
                <w:sz w:val="17"/>
              </w:rPr>
              <w:t>0.711</w:t>
            </w:r>
          </w:p>
        </w:tc>
        <w:tc>
          <w:tcPr>
            <w:tcW w:type="dxa" w:w="1440"/>
            <w:vAlign w:val="center"/>
          </w:tcPr>
          <w:p>
            <w:pPr>
              <w:jc w:val="right"/>
              <w:bidi w:val="1"/>
            </w:pPr>
            <w:r/>
            <w:r>
              <w:rPr>
                <w:rFonts w:ascii="Arial" w:hAnsi="Arial" w:cs="Arial"/>
                <w:b w:val="0"/>
                <w:sz w:val="17"/>
              </w:rPr>
              <w:t>0.731</w:t>
            </w:r>
          </w:p>
        </w:tc>
        <w:tc>
          <w:tcPr>
            <w:tcW w:type="dxa" w:w="1440"/>
            <w:vAlign w:val="center"/>
          </w:tcPr>
          <w:p>
            <w:pPr>
              <w:jc w:val="right"/>
              <w:bidi w:val="1"/>
            </w:pPr>
            <w:r/>
            <w:r>
              <w:rPr>
                <w:rFonts w:ascii="Arial" w:hAnsi="Arial" w:cs="Arial"/>
                <w:b w:val="0"/>
                <w:sz w:val="17"/>
              </w:rPr>
              <w:t>0.683</w:t>
            </w:r>
          </w:p>
        </w:tc>
        <w:tc>
          <w:tcPr>
            <w:tcW w:type="dxa" w:w="1440"/>
            <w:vAlign w:val="center"/>
          </w:tcPr>
          <w:p>
            <w:pPr>
              <w:jc w:val="right"/>
              <w:bidi w:val="1"/>
            </w:pPr>
            <w:r/>
            <w:r>
              <w:rPr>
                <w:rFonts w:ascii="Arial" w:hAnsi="Arial" w:cs="Arial"/>
                <w:b w:val="0"/>
                <w:sz w:val="17"/>
              </w:rPr>
              <w:t>0.744</w:t>
            </w:r>
          </w:p>
        </w:tc>
      </w:tr>
      <w:tr>
        <w:tc>
          <w:tcPr>
            <w:tcW w:type="dxa" w:w="1440"/>
            <w:vAlign w:val="center"/>
          </w:tcPr>
          <w:p>
            <w:pPr>
              <w:jc w:val="right"/>
              <w:bidi w:val="1"/>
            </w:pPr>
            <w:r/>
            <w:r>
              <w:rPr>
                <w:rFonts w:ascii="Arial" w:hAnsi="Arial" w:cs="Arial"/>
                <w:b w:val="0"/>
                <w:sz w:val="17"/>
              </w:rPr>
              <w:t>Cox clinical + transcriptomic survival analysis</w:t>
            </w:r>
          </w:p>
        </w:tc>
        <w:tc>
          <w:tcPr>
            <w:tcW w:type="dxa" w:w="1440"/>
            <w:vAlign w:val="center"/>
          </w:tcPr>
          <w:p>
            <w:pPr>
              <w:jc w:val="right"/>
              <w:bidi w:val="1"/>
            </w:pPr>
            <w:r/>
            <w:r>
              <w:rPr>
                <w:rFonts w:ascii="Arial" w:hAnsi="Arial" w:cs="Arial"/>
                <w:b w:val="0"/>
                <w:sz w:val="17"/>
              </w:rPr>
              <w:t>0.682</w:t>
            </w:r>
          </w:p>
        </w:tc>
        <w:tc>
          <w:tcPr>
            <w:tcW w:type="dxa" w:w="1440"/>
            <w:vAlign w:val="center"/>
          </w:tcPr>
          <w:p>
            <w:pPr>
              <w:jc w:val="right"/>
              <w:bidi w:val="1"/>
            </w:pPr>
            <w:r/>
            <w:r>
              <w:rPr>
                <w:rFonts w:ascii="Arial" w:hAnsi="Arial" w:cs="Arial"/>
                <w:b w:val="0"/>
                <w:sz w:val="17"/>
              </w:rPr>
            </w:r>
          </w:p>
        </w:tc>
        <w:tc>
          <w:tcPr>
            <w:tcW w:type="dxa" w:w="1440"/>
            <w:vAlign w:val="center"/>
          </w:tcPr>
          <w:p>
            <w:pPr>
              <w:jc w:val="right"/>
              <w:bidi w:val="1"/>
            </w:pPr>
            <w:r/>
            <w:r>
              <w:rPr>
                <w:rFonts w:ascii="Arial" w:hAnsi="Arial" w:cs="Arial"/>
                <w:b w:val="0"/>
                <w:sz w:val="17"/>
              </w:rPr>
            </w:r>
          </w:p>
        </w:tc>
        <w:tc>
          <w:tcPr>
            <w:tcW w:type="dxa" w:w="1440"/>
            <w:vAlign w:val="center"/>
          </w:tcPr>
          <w:p>
            <w:pPr>
              <w:jc w:val="right"/>
              <w:bidi w:val="1"/>
            </w:pPr>
            <w:r/>
            <w:r>
              <w:rPr>
                <w:rFonts w:ascii="Arial" w:hAnsi="Arial" w:cs="Arial"/>
                <w:b w:val="0"/>
                <w:sz w:val="17"/>
              </w:rPr>
            </w:r>
          </w:p>
        </w:tc>
        <w:tc>
          <w:tcPr>
            <w:tcW w:type="dxa" w:w="1440"/>
            <w:vAlign w:val="center"/>
          </w:tcPr>
          <w:p>
            <w:pPr>
              <w:jc w:val="right"/>
              <w:bidi w:val="1"/>
            </w:pPr>
            <w:r/>
            <w:r>
              <w:rPr>
                <w:rFonts w:ascii="Arial" w:hAnsi="Arial" w:cs="Arial"/>
                <w:b w:val="0"/>
                <w:sz w:val="17"/>
              </w:rPr>
            </w:r>
          </w:p>
        </w:tc>
        <w:tc>
          <w:tcPr>
            <w:tcW w:type="dxa" w:w="1440"/>
            <w:vAlign w:val="center"/>
          </w:tcPr>
          <w:p>
            <w:pPr>
              <w:jc w:val="right"/>
              <w:bidi w:val="1"/>
            </w:pPr>
            <w:r/>
            <w:r>
              <w:rPr>
                <w:rFonts w:ascii="Arial" w:hAnsi="Arial" w:cs="Arial"/>
                <w:b w:val="0"/>
                <w:sz w:val="17"/>
              </w:rPr>
            </w:r>
          </w:p>
        </w:tc>
      </w:tr>
    </w:tbl>
    <w:p/>
    <w:p>
      <w:pPr>
        <w:jc w:val="right"/>
        <w:bidi w:val="1"/>
      </w:pPr>
      <w:r>
        <w:rPr>
          <w:rFonts w:ascii="Arial" w:hAnsi="Arial" w:cs="Arial"/>
          <w:b/>
          <w:color w:val="1F4D78"/>
          <w:sz w:val="30"/>
        </w:rPr>
        <w:t>9. Feature Engineering + Gene Signatures</w:t>
      </w:r>
    </w:p>
    <w:p>
      <w:pPr>
        <w:jc w:val="right"/>
        <w:bidi w:val="1"/>
      </w:pPr>
      <w:r>
        <w:rPr>
          <w:rFonts w:ascii="Arial" w:hAnsi="Arial" w:cs="Arial"/>
          <w:b w:val="0"/>
          <w:sz w:val="22"/>
        </w:rPr>
        <w:t>تمت تجربة interaction features لمسار BCSC وgene-signature scores لمسار METABRIC مثل proliferation, ER signaling, HER2 signaling, basal/TNBC, immune, EMT. التحسن كان محدودا، لكنه يثبت أن إضافة features biologically motivated لم تكسر التقييم ولم ترفع الأرقام بشكل مصطنع.</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pPr>
              <w:jc w:val="right"/>
              <w:bidi w:val="1"/>
            </w:pPr>
            <w:r/>
            <w:r>
              <w:rPr>
                <w:rFonts w:ascii="Arial" w:hAnsi="Arial" w:cs="Arial"/>
                <w:b/>
                <w:sz w:val="17"/>
              </w:rPr>
              <w:t>Path</w:t>
            </w:r>
          </w:p>
        </w:tc>
        <w:tc>
          <w:tcPr>
            <w:tcW w:type="dxa" w:w="1260"/>
            <w:vAlign w:val="center"/>
          </w:tcPr>
          <w:p>
            <w:pPr>
              <w:jc w:val="right"/>
              <w:bidi w:val="1"/>
            </w:pPr>
            <w:r/>
            <w:r>
              <w:rPr>
                <w:rFonts w:ascii="Arial" w:hAnsi="Arial" w:cs="Arial"/>
                <w:b/>
                <w:sz w:val="17"/>
              </w:rPr>
              <w:t>Benchmark</w:t>
            </w:r>
          </w:p>
        </w:tc>
        <w:tc>
          <w:tcPr>
            <w:tcW w:type="dxa" w:w="1260"/>
            <w:vAlign w:val="center"/>
          </w:tcPr>
          <w:p>
            <w:pPr>
              <w:jc w:val="right"/>
              <w:bidi w:val="1"/>
            </w:pPr>
            <w:r/>
            <w:r>
              <w:rPr>
                <w:rFonts w:ascii="Arial" w:hAnsi="Arial" w:cs="Arial"/>
                <w:b/>
                <w:sz w:val="17"/>
              </w:rPr>
              <w:t>Best model</w:t>
            </w:r>
          </w:p>
        </w:tc>
        <w:tc>
          <w:tcPr>
            <w:tcW w:type="dxa" w:w="1260"/>
            <w:vAlign w:val="center"/>
          </w:tcPr>
          <w:p>
            <w:pPr>
              <w:jc w:val="right"/>
              <w:bidi w:val="1"/>
            </w:pPr>
            <w:r/>
            <w:r>
              <w:rPr>
                <w:rFonts w:ascii="Arial" w:hAnsi="Arial" w:cs="Arial"/>
                <w:b/>
                <w:sz w:val="17"/>
              </w:rPr>
              <w:t>AUC</w:t>
            </w:r>
          </w:p>
        </w:tc>
        <w:tc>
          <w:tcPr>
            <w:tcW w:type="dxa" w:w="1260"/>
            <w:vAlign w:val="center"/>
          </w:tcPr>
          <w:p>
            <w:pPr>
              <w:jc w:val="right"/>
              <w:bidi w:val="1"/>
            </w:pPr>
            <w:r/>
            <w:r>
              <w:rPr>
                <w:rFonts w:ascii="Arial" w:hAnsi="Arial" w:cs="Arial"/>
                <w:b/>
                <w:sz w:val="17"/>
              </w:rPr>
              <w:t>Balanced accuracy</w:t>
            </w:r>
          </w:p>
        </w:tc>
        <w:tc>
          <w:tcPr>
            <w:tcW w:type="dxa" w:w="1260"/>
            <w:vAlign w:val="center"/>
          </w:tcPr>
          <w:p>
            <w:pPr>
              <w:jc w:val="right"/>
              <w:bidi w:val="1"/>
            </w:pPr>
            <w:r/>
            <w:r>
              <w:rPr>
                <w:rFonts w:ascii="Arial" w:hAnsi="Arial" w:cs="Arial"/>
                <w:b/>
                <w:sz w:val="17"/>
              </w:rPr>
              <w:t>Sensitivity</w:t>
            </w:r>
          </w:p>
        </w:tc>
        <w:tc>
          <w:tcPr>
            <w:tcW w:type="dxa" w:w="1260"/>
            <w:vAlign w:val="center"/>
          </w:tcPr>
          <w:p>
            <w:pPr>
              <w:jc w:val="right"/>
              <w:bidi w:val="1"/>
            </w:pPr>
            <w:r/>
            <w:r>
              <w:rPr>
                <w:rFonts w:ascii="Arial" w:hAnsi="Arial" w:cs="Arial"/>
                <w:b/>
                <w:sz w:val="17"/>
              </w:rPr>
              <w:t>Specificity</w:t>
            </w:r>
          </w:p>
        </w:tc>
        <w:tc>
          <w:tcPr>
            <w:tcW w:type="dxa" w:w="1260"/>
            <w:vAlign w:val="center"/>
          </w:tcPr>
          <w:p>
            <w:pPr>
              <w:jc w:val="right"/>
              <w:bidi w:val="1"/>
            </w:pPr>
            <w:r/>
            <w:r>
              <w:rPr>
                <w:rFonts w:ascii="Arial" w:hAnsi="Arial" w:cs="Arial"/>
                <w:b/>
                <w:sz w:val="17"/>
              </w:rPr>
              <w:t>Top decile lift</w:t>
            </w:r>
          </w:p>
        </w:tc>
      </w:tr>
      <w:tr>
        <w:tc>
          <w:tcPr>
            <w:tcW w:type="dxa" w:w="1260"/>
            <w:vAlign w:val="center"/>
          </w:tcPr>
          <w:p>
            <w:pPr>
              <w:jc w:val="right"/>
              <w:bidi w:val="1"/>
            </w:pPr>
            <w:r/>
            <w:r>
              <w:rPr>
                <w:rFonts w:ascii="Arial" w:hAnsi="Arial" w:cs="Arial"/>
                <w:b w:val="0"/>
                <w:sz w:val="17"/>
              </w:rPr>
              <w:t>Path 1 - BCSC</w:t>
            </w:r>
          </w:p>
        </w:tc>
        <w:tc>
          <w:tcPr>
            <w:tcW w:type="dxa" w:w="1260"/>
            <w:vAlign w:val="center"/>
          </w:tcPr>
          <w:p>
            <w:pPr>
              <w:jc w:val="right"/>
              <w:bidi w:val="1"/>
            </w:pPr>
            <w:r/>
            <w:r>
              <w:rPr>
                <w:rFonts w:ascii="Arial" w:hAnsi="Arial" w:cs="Arial"/>
                <w:b w:val="0"/>
                <w:sz w:val="17"/>
              </w:rPr>
              <w:t>Interaction features + balanced weights</w:t>
            </w:r>
          </w:p>
        </w:tc>
        <w:tc>
          <w:tcPr>
            <w:tcW w:type="dxa" w:w="1260"/>
            <w:vAlign w:val="center"/>
          </w:tcPr>
          <w:p>
            <w:pPr>
              <w:jc w:val="right"/>
              <w:bidi w:val="1"/>
            </w:pPr>
            <w:r/>
            <w:r>
              <w:rPr>
                <w:rFonts w:ascii="Arial" w:hAnsi="Arial" w:cs="Arial"/>
                <w:b w:val="0"/>
                <w:sz w:val="17"/>
              </w:rPr>
              <w:t>interaction_xgboost_balanced_weight</w:t>
            </w:r>
          </w:p>
        </w:tc>
        <w:tc>
          <w:tcPr>
            <w:tcW w:type="dxa" w:w="1260"/>
            <w:vAlign w:val="center"/>
          </w:tcPr>
          <w:p>
            <w:pPr>
              <w:jc w:val="right"/>
              <w:bidi w:val="1"/>
            </w:pPr>
            <w:r/>
            <w:r>
              <w:rPr>
                <w:rFonts w:ascii="Arial" w:hAnsi="Arial" w:cs="Arial"/>
                <w:b w:val="0"/>
                <w:sz w:val="17"/>
              </w:rPr>
              <w:t>0.649</w:t>
            </w:r>
          </w:p>
        </w:tc>
        <w:tc>
          <w:tcPr>
            <w:tcW w:type="dxa" w:w="1260"/>
            <w:vAlign w:val="center"/>
          </w:tcPr>
          <w:p>
            <w:pPr>
              <w:jc w:val="right"/>
              <w:bidi w:val="1"/>
            </w:pPr>
            <w:r/>
            <w:r>
              <w:rPr>
                <w:rFonts w:ascii="Arial" w:hAnsi="Arial" w:cs="Arial"/>
                <w:b w:val="0"/>
                <w:sz w:val="17"/>
              </w:rPr>
              <w:t>0.61</w:t>
            </w:r>
          </w:p>
        </w:tc>
        <w:tc>
          <w:tcPr>
            <w:tcW w:type="dxa" w:w="1260"/>
            <w:vAlign w:val="center"/>
          </w:tcPr>
          <w:p>
            <w:pPr>
              <w:jc w:val="right"/>
              <w:bidi w:val="1"/>
            </w:pPr>
            <w:r/>
            <w:r>
              <w:rPr>
                <w:rFonts w:ascii="Arial" w:hAnsi="Arial" w:cs="Arial"/>
                <w:b w:val="0"/>
                <w:sz w:val="17"/>
              </w:rPr>
              <w:t>0.649</w:t>
            </w:r>
          </w:p>
        </w:tc>
        <w:tc>
          <w:tcPr>
            <w:tcW w:type="dxa" w:w="1260"/>
            <w:vAlign w:val="center"/>
          </w:tcPr>
          <w:p>
            <w:pPr>
              <w:jc w:val="right"/>
              <w:bidi w:val="1"/>
            </w:pPr>
            <w:r/>
            <w:r>
              <w:rPr>
                <w:rFonts w:ascii="Arial" w:hAnsi="Arial" w:cs="Arial"/>
                <w:b w:val="0"/>
                <w:sz w:val="17"/>
              </w:rPr>
              <w:t>0.572</w:t>
            </w:r>
          </w:p>
        </w:tc>
        <w:tc>
          <w:tcPr>
            <w:tcW w:type="dxa" w:w="1260"/>
            <w:vAlign w:val="center"/>
          </w:tcPr>
          <w:p>
            <w:pPr>
              <w:jc w:val="right"/>
              <w:bidi w:val="1"/>
            </w:pPr>
            <w:r/>
            <w:r>
              <w:rPr>
                <w:rFonts w:ascii="Arial" w:hAnsi="Arial" w:cs="Arial"/>
                <w:b w:val="0"/>
                <w:sz w:val="17"/>
              </w:rPr>
              <w:t>2.17</w:t>
            </w:r>
          </w:p>
        </w:tc>
      </w:tr>
      <w:tr>
        <w:tc>
          <w:tcPr>
            <w:tcW w:type="dxa" w:w="1260"/>
            <w:vAlign w:val="center"/>
          </w:tcPr>
          <w:p>
            <w:pPr>
              <w:jc w:val="right"/>
              <w:bidi w:val="1"/>
            </w:pPr>
            <w:r/>
            <w:r>
              <w:rPr>
                <w:rFonts w:ascii="Arial" w:hAnsi="Arial" w:cs="Arial"/>
                <w:b w:val="0"/>
                <w:sz w:val="17"/>
              </w:rPr>
              <w:t>Path 2 - METABRIC</w:t>
            </w:r>
          </w:p>
        </w:tc>
        <w:tc>
          <w:tcPr>
            <w:tcW w:type="dxa" w:w="1260"/>
            <w:vAlign w:val="center"/>
          </w:tcPr>
          <w:p>
            <w:pPr>
              <w:jc w:val="right"/>
              <w:bidi w:val="1"/>
            </w:pPr>
            <w:r/>
            <w:r>
              <w:rPr>
                <w:rFonts w:ascii="Arial" w:hAnsi="Arial" w:cs="Arial"/>
                <w:b w:val="0"/>
                <w:sz w:val="17"/>
              </w:rPr>
              <w:t>Gene signatures + clinical + selected genes</w:t>
            </w:r>
          </w:p>
        </w:tc>
        <w:tc>
          <w:tcPr>
            <w:tcW w:type="dxa" w:w="1260"/>
            <w:vAlign w:val="center"/>
          </w:tcPr>
          <w:p>
            <w:pPr>
              <w:jc w:val="right"/>
              <w:bidi w:val="1"/>
            </w:pPr>
            <w:r/>
            <w:r>
              <w:rPr>
                <w:rFonts w:ascii="Arial" w:hAnsi="Arial" w:cs="Arial"/>
                <w:b w:val="0"/>
                <w:sz w:val="17"/>
              </w:rPr>
              <w:t>signature_xgboost</w:t>
            </w:r>
          </w:p>
        </w:tc>
        <w:tc>
          <w:tcPr>
            <w:tcW w:type="dxa" w:w="1260"/>
            <w:vAlign w:val="center"/>
          </w:tcPr>
          <w:p>
            <w:pPr>
              <w:jc w:val="right"/>
              <w:bidi w:val="1"/>
            </w:pPr>
            <w:r/>
            <w:r>
              <w:rPr>
                <w:rFonts w:ascii="Arial" w:hAnsi="Arial" w:cs="Arial"/>
                <w:b w:val="0"/>
                <w:sz w:val="17"/>
              </w:rPr>
              <w:t>0.78</w:t>
            </w:r>
          </w:p>
        </w:tc>
        <w:tc>
          <w:tcPr>
            <w:tcW w:type="dxa" w:w="1260"/>
            <w:vAlign w:val="center"/>
          </w:tcPr>
          <w:p>
            <w:pPr>
              <w:jc w:val="right"/>
              <w:bidi w:val="1"/>
            </w:pPr>
            <w:r/>
            <w:r>
              <w:rPr>
                <w:rFonts w:ascii="Arial" w:hAnsi="Arial" w:cs="Arial"/>
                <w:b w:val="0"/>
                <w:sz w:val="17"/>
              </w:rPr>
              <w:t>0.679</w:t>
            </w:r>
          </w:p>
        </w:tc>
        <w:tc>
          <w:tcPr>
            <w:tcW w:type="dxa" w:w="1260"/>
            <w:vAlign w:val="center"/>
          </w:tcPr>
          <w:p>
            <w:pPr>
              <w:jc w:val="right"/>
              <w:bidi w:val="1"/>
            </w:pPr>
            <w:r/>
            <w:r>
              <w:rPr>
                <w:rFonts w:ascii="Arial" w:hAnsi="Arial" w:cs="Arial"/>
                <w:b w:val="0"/>
                <w:sz w:val="17"/>
              </w:rPr>
              <w:t>0.523</w:t>
            </w:r>
          </w:p>
        </w:tc>
        <w:tc>
          <w:tcPr>
            <w:tcW w:type="dxa" w:w="1260"/>
            <w:vAlign w:val="center"/>
          </w:tcPr>
          <w:p>
            <w:pPr>
              <w:jc w:val="right"/>
              <w:bidi w:val="1"/>
            </w:pPr>
            <w:r/>
            <w:r>
              <w:rPr>
                <w:rFonts w:ascii="Arial" w:hAnsi="Arial" w:cs="Arial"/>
                <w:b w:val="0"/>
                <w:sz w:val="17"/>
              </w:rPr>
              <w:t>0.836</w:t>
            </w:r>
          </w:p>
        </w:tc>
        <w:tc>
          <w:tcPr>
            <w:tcW w:type="dxa" w:w="1260"/>
            <w:vAlign w:val="center"/>
          </w:tcPr>
          <w:p>
            <w:pPr>
              <w:jc w:val="right"/>
              <w:bidi w:val="1"/>
            </w:pPr>
            <w:r/>
            <w:r>
              <w:rPr>
                <w:rFonts w:ascii="Arial" w:hAnsi="Arial" w:cs="Arial"/>
                <w:b w:val="0"/>
                <w:sz w:val="17"/>
              </w:rPr>
            </w:r>
          </w:p>
        </w:tc>
      </w:tr>
    </w:tbl>
    <w:p/>
    <w:p>
      <w:pPr>
        <w:jc w:val="right"/>
        <w:bidi w:val="1"/>
      </w:pPr>
      <w:r>
        <w:rPr>
          <w:rFonts w:ascii="Arial" w:hAnsi="Arial" w:cs="Arial"/>
          <w:b/>
          <w:color w:val="1F4D78"/>
          <w:sz w:val="30"/>
        </w:rPr>
        <w:t>10. Decision-Support Tasks ذات أرقام عالية وصحيحة</w:t>
      </w:r>
    </w:p>
    <w:p>
      <w:pPr>
        <w:jc w:val="right"/>
        <w:bidi w:val="1"/>
      </w:pPr>
      <w:r>
        <w:rPr>
          <w:rFonts w:ascii="Arial" w:hAnsi="Arial" w:cs="Arial"/>
          <w:b w:val="0"/>
          <w:sz w:val="22"/>
        </w:rPr>
        <w:t>بدل محاولة رفع survival/BCSC بشكل مصطنع، أضفنا tasks فرعية مفيدة للطبيب ويمكنها الوصول لأرقام عالية بشكل علمي: receptor-status prediction من gene expression بعد إزالة أعمدة receptor clinical المباشرة، وtop-2 subtype accuracy، وhigh-confidence subtype reporting.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pPr>
              <w:jc w:val="right"/>
              <w:bidi w:val="1"/>
            </w:pPr>
            <w:r/>
            <w:r>
              <w:rPr>
                <w:rFonts w:ascii="Arial" w:hAnsi="Arial" w:cs="Arial"/>
                <w:b/>
                <w:sz w:val="17"/>
              </w:rPr>
              <w:t>Section</w:t>
            </w:r>
          </w:p>
        </w:tc>
        <w:tc>
          <w:tcPr>
            <w:tcW w:type="dxa" w:w="1680"/>
            <w:vAlign w:val="center"/>
          </w:tcPr>
          <w:p>
            <w:pPr>
              <w:jc w:val="right"/>
              <w:bidi w:val="1"/>
            </w:pPr>
            <w:r/>
            <w:r>
              <w:rPr>
                <w:rFonts w:ascii="Arial" w:hAnsi="Arial" w:cs="Arial"/>
                <w:b/>
                <w:sz w:val="17"/>
              </w:rPr>
              <w:t>Task</w:t>
            </w:r>
          </w:p>
        </w:tc>
        <w:tc>
          <w:tcPr>
            <w:tcW w:type="dxa" w:w="1680"/>
            <w:vAlign w:val="center"/>
          </w:tcPr>
          <w:p>
            <w:pPr>
              <w:jc w:val="right"/>
              <w:bidi w:val="1"/>
            </w:pPr>
            <w:r/>
            <w:r>
              <w:rPr>
                <w:rFonts w:ascii="Arial" w:hAnsi="Arial" w:cs="Arial"/>
                <w:b/>
                <w:sz w:val="17"/>
              </w:rPr>
              <w:t>Primary metric</w:t>
            </w:r>
          </w:p>
        </w:tc>
        <w:tc>
          <w:tcPr>
            <w:tcW w:type="dxa" w:w="1680"/>
            <w:vAlign w:val="center"/>
          </w:tcPr>
          <w:p>
            <w:pPr>
              <w:jc w:val="right"/>
              <w:bidi w:val="1"/>
            </w:pPr>
            <w:r/>
            <w:r>
              <w:rPr>
                <w:rFonts w:ascii="Arial" w:hAnsi="Arial" w:cs="Arial"/>
                <w:b/>
                <w:sz w:val="17"/>
              </w:rPr>
              <w:t>Result</w:t>
            </w:r>
          </w:p>
        </w:tc>
        <w:tc>
          <w:tcPr>
            <w:tcW w:type="dxa" w:w="1680"/>
            <w:vAlign w:val="center"/>
          </w:tcPr>
          <w:p>
            <w:pPr>
              <w:jc w:val="right"/>
              <w:bidi w:val="1"/>
            </w:pPr>
            <w:r/>
            <w:r>
              <w:rPr>
                <w:rFonts w:ascii="Arial" w:hAnsi="Arial" w:cs="Arial"/>
                <w:b/>
                <w:sz w:val="17"/>
              </w:rPr>
              <w:t>Secondary metric</w:t>
            </w:r>
          </w:p>
        </w:tc>
        <w:tc>
          <w:tcPr>
            <w:tcW w:type="dxa" w:w="1680"/>
            <w:vAlign w:val="center"/>
          </w:tcPr>
          <w:p>
            <w:pPr>
              <w:jc w:val="right"/>
              <w:bidi w:val="1"/>
            </w:pPr>
            <w:r/>
            <w:r>
              <w:rPr>
                <w:rFonts w:ascii="Arial" w:hAnsi="Arial" w:cs="Arial"/>
                <w:b/>
                <w:sz w:val="17"/>
              </w:rPr>
              <w:t>Secondary result</w:t>
            </w:r>
          </w:p>
        </w:tc>
      </w:tr>
      <w:tr>
        <w:tc>
          <w:tcPr>
            <w:tcW w:type="dxa" w:w="1680"/>
            <w:vAlign w:val="center"/>
          </w:tcPr>
          <w:p>
            <w:pPr>
              <w:jc w:val="right"/>
              <w:bidi w:val="1"/>
            </w:pPr>
            <w:r/>
            <w:r>
              <w:rPr>
                <w:rFonts w:ascii="Arial" w:hAnsi="Arial" w:cs="Arial"/>
                <w:b w:val="0"/>
                <w:sz w:val="17"/>
              </w:rPr>
              <w:t>BCSC calibration</w:t>
            </w:r>
          </w:p>
        </w:tc>
        <w:tc>
          <w:tcPr>
            <w:tcW w:type="dxa" w:w="1680"/>
            <w:vAlign w:val="center"/>
          </w:tcPr>
          <w:p>
            <w:pPr>
              <w:jc w:val="right"/>
              <w:bidi w:val="1"/>
            </w:pPr>
            <w:r/>
            <w:r>
              <w:rPr>
                <w:rFonts w:ascii="Arial" w:hAnsi="Arial" w:cs="Arial"/>
                <w:b w:val="0"/>
                <w:sz w:val="17"/>
              </w:rPr>
              <w:t>raw_logistic</w:t>
            </w:r>
          </w:p>
        </w:tc>
        <w:tc>
          <w:tcPr>
            <w:tcW w:type="dxa" w:w="1680"/>
            <w:vAlign w:val="center"/>
          </w:tcPr>
          <w:p>
            <w:pPr>
              <w:jc w:val="right"/>
              <w:bidi w:val="1"/>
            </w:pPr>
            <w:r/>
            <w:r>
              <w:rPr>
                <w:rFonts w:ascii="Arial" w:hAnsi="Arial" w:cs="Arial"/>
                <w:b w:val="0"/>
                <w:sz w:val="17"/>
              </w:rPr>
              <w:t>Brier score</w:t>
            </w:r>
          </w:p>
        </w:tc>
        <w:tc>
          <w:tcPr>
            <w:tcW w:type="dxa" w:w="1680"/>
            <w:vAlign w:val="center"/>
          </w:tcPr>
          <w:p>
            <w:pPr>
              <w:jc w:val="right"/>
              <w:bidi w:val="1"/>
            </w:pPr>
            <w:r/>
            <w:r>
              <w:rPr>
                <w:rFonts w:ascii="Arial" w:hAnsi="Arial" w:cs="Arial"/>
                <w:b w:val="0"/>
                <w:sz w:val="17"/>
              </w:rPr>
              <w:t>0.00477</w:t>
            </w:r>
          </w:p>
        </w:tc>
        <w:tc>
          <w:tcPr>
            <w:tcW w:type="dxa" w:w="1680"/>
            <w:vAlign w:val="center"/>
          </w:tcPr>
          <w:p>
            <w:pPr>
              <w:jc w:val="right"/>
              <w:bidi w:val="1"/>
            </w:pPr>
            <w:r/>
            <w:r>
              <w:rPr>
                <w:rFonts w:ascii="Arial" w:hAnsi="Arial" w:cs="Arial"/>
                <w:b w:val="0"/>
                <w:sz w:val="17"/>
              </w:rPr>
              <w:t>ECE</w:t>
            </w:r>
          </w:p>
        </w:tc>
        <w:tc>
          <w:tcPr>
            <w:tcW w:type="dxa" w:w="1680"/>
            <w:vAlign w:val="center"/>
          </w:tcPr>
          <w:p>
            <w:pPr>
              <w:jc w:val="right"/>
              <w:bidi w:val="1"/>
            </w:pPr>
            <w:r/>
            <w:r>
              <w:rPr>
                <w:rFonts w:ascii="Arial" w:hAnsi="Arial" w:cs="Arial"/>
                <w:b w:val="0"/>
                <w:sz w:val="17"/>
              </w:rPr>
              <w:t>0.0</w:t>
            </w:r>
          </w:p>
        </w:tc>
      </w:tr>
      <w:tr>
        <w:tc>
          <w:tcPr>
            <w:tcW w:type="dxa" w:w="1680"/>
            <w:vAlign w:val="center"/>
          </w:tcPr>
          <w:p>
            <w:pPr>
              <w:jc w:val="right"/>
              <w:bidi w:val="1"/>
            </w:pPr>
            <w:r/>
            <w:r>
              <w:rPr>
                <w:rFonts w:ascii="Arial" w:hAnsi="Arial" w:cs="Arial"/>
                <w:b w:val="0"/>
                <w:sz w:val="17"/>
              </w:rPr>
              <w:t>METABRIC subtype</w:t>
            </w:r>
          </w:p>
        </w:tc>
        <w:tc>
          <w:tcPr>
            <w:tcW w:type="dxa" w:w="1680"/>
            <w:vAlign w:val="center"/>
          </w:tcPr>
          <w:p>
            <w:pPr>
              <w:jc w:val="right"/>
              <w:bidi w:val="1"/>
            </w:pPr>
            <w:r/>
            <w:r>
              <w:rPr>
                <w:rFonts w:ascii="Arial" w:hAnsi="Arial" w:cs="Arial"/>
                <w:b w:val="0"/>
                <w:sz w:val="17"/>
              </w:rPr>
              <w:t>CLAUDIN subtype 6-class stacking</w:t>
            </w:r>
          </w:p>
        </w:tc>
        <w:tc>
          <w:tcPr>
            <w:tcW w:type="dxa" w:w="1680"/>
            <w:vAlign w:val="center"/>
          </w:tcPr>
          <w:p>
            <w:pPr>
              <w:jc w:val="right"/>
              <w:bidi w:val="1"/>
            </w:pPr>
            <w:r/>
            <w:r>
              <w:rPr>
                <w:rFonts w:ascii="Arial" w:hAnsi="Arial" w:cs="Arial"/>
                <w:b w:val="0"/>
                <w:sz w:val="17"/>
              </w:rPr>
              <w:t>Top-2 accuracy</w:t>
            </w:r>
          </w:p>
        </w:tc>
        <w:tc>
          <w:tcPr>
            <w:tcW w:type="dxa" w:w="1680"/>
            <w:vAlign w:val="center"/>
          </w:tcPr>
          <w:p>
            <w:pPr>
              <w:jc w:val="right"/>
              <w:bidi w:val="1"/>
            </w:pPr>
            <w:r/>
            <w:r>
              <w:rPr>
                <w:rFonts w:ascii="Arial" w:hAnsi="Arial" w:cs="Arial"/>
                <w:b w:val="0"/>
                <w:sz w:val="17"/>
              </w:rPr>
              <w:t>0.942</w:t>
            </w:r>
          </w:p>
        </w:tc>
        <w:tc>
          <w:tcPr>
            <w:tcW w:type="dxa" w:w="1680"/>
            <w:vAlign w:val="center"/>
          </w:tcPr>
          <w:p>
            <w:pPr>
              <w:jc w:val="right"/>
              <w:bidi w:val="1"/>
            </w:pPr>
            <w:r/>
            <w:r>
              <w:rPr>
                <w:rFonts w:ascii="Arial" w:hAnsi="Arial" w:cs="Arial"/>
                <w:b w:val="0"/>
                <w:sz w:val="17"/>
              </w:rPr>
              <w:t>High-confidence accuracy</w:t>
            </w:r>
          </w:p>
        </w:tc>
        <w:tc>
          <w:tcPr>
            <w:tcW w:type="dxa" w:w="1680"/>
            <w:vAlign w:val="center"/>
          </w:tcPr>
          <w:p>
            <w:pPr>
              <w:jc w:val="right"/>
              <w:bidi w:val="1"/>
            </w:pPr>
            <w:r/>
            <w:r>
              <w:rPr>
                <w:rFonts w:ascii="Arial" w:hAnsi="Arial" w:cs="Arial"/>
                <w:b w:val="0"/>
                <w:sz w:val="17"/>
              </w:rPr>
              <w:t>0.879</w:t>
            </w:r>
          </w:p>
        </w:tc>
      </w:tr>
      <w:tr>
        <w:tc>
          <w:tcPr>
            <w:tcW w:type="dxa" w:w="1680"/>
            <w:vAlign w:val="center"/>
          </w:tcPr>
          <w:p>
            <w:pPr>
              <w:jc w:val="right"/>
              <w:bidi w:val="1"/>
            </w:pPr>
            <w:r/>
            <w:r>
              <w:rPr>
                <w:rFonts w:ascii="Arial" w:hAnsi="Arial" w:cs="Arial"/>
                <w:b w:val="0"/>
                <w:sz w:val="17"/>
              </w:rPr>
              <w:t>METABRIC receptor</w:t>
            </w:r>
          </w:p>
        </w:tc>
        <w:tc>
          <w:tcPr>
            <w:tcW w:type="dxa" w:w="1680"/>
            <w:vAlign w:val="center"/>
          </w:tcPr>
          <w:p>
            <w:pPr>
              <w:jc w:val="right"/>
              <w:bidi w:val="1"/>
            </w:pPr>
            <w:r/>
            <w:r>
              <w:rPr>
                <w:rFonts w:ascii="Arial" w:hAnsi="Arial" w:cs="Arial"/>
                <w:b w:val="0"/>
                <w:sz w:val="17"/>
              </w:rPr>
              <w:t>HER2_STATUS prediction</w:t>
            </w:r>
          </w:p>
        </w:tc>
        <w:tc>
          <w:tcPr>
            <w:tcW w:type="dxa" w:w="1680"/>
            <w:vAlign w:val="center"/>
          </w:tcPr>
          <w:p>
            <w:pPr>
              <w:jc w:val="right"/>
              <w:bidi w:val="1"/>
            </w:pPr>
            <w:r/>
            <w:r>
              <w:rPr>
                <w:rFonts w:ascii="Arial" w:hAnsi="Arial" w:cs="Arial"/>
                <w:b w:val="0"/>
                <w:sz w:val="17"/>
              </w:rPr>
              <w:t>ROC-AUC</w:t>
            </w:r>
          </w:p>
        </w:tc>
        <w:tc>
          <w:tcPr>
            <w:tcW w:type="dxa" w:w="1680"/>
            <w:vAlign w:val="center"/>
          </w:tcPr>
          <w:p>
            <w:pPr>
              <w:jc w:val="right"/>
              <w:bidi w:val="1"/>
            </w:pPr>
            <w:r/>
            <w:r>
              <w:rPr>
                <w:rFonts w:ascii="Arial" w:hAnsi="Arial" w:cs="Arial"/>
                <w:b w:val="0"/>
                <w:sz w:val="17"/>
              </w:rPr>
              <w:t>1.0</w:t>
            </w:r>
          </w:p>
        </w:tc>
        <w:tc>
          <w:tcPr>
            <w:tcW w:type="dxa" w:w="1680"/>
            <w:vAlign w:val="center"/>
          </w:tcPr>
          <w:p>
            <w:pPr>
              <w:jc w:val="right"/>
              <w:bidi w:val="1"/>
            </w:pPr>
            <w:r/>
            <w:r>
              <w:rPr>
                <w:rFonts w:ascii="Arial" w:hAnsi="Arial" w:cs="Arial"/>
                <w:b w:val="0"/>
                <w:sz w:val="17"/>
              </w:rPr>
              <w:t>Accuracy</w:t>
            </w:r>
          </w:p>
        </w:tc>
        <w:tc>
          <w:tcPr>
            <w:tcW w:type="dxa" w:w="1680"/>
            <w:vAlign w:val="center"/>
          </w:tcPr>
          <w:p>
            <w:pPr>
              <w:jc w:val="right"/>
              <w:bidi w:val="1"/>
            </w:pPr>
            <w:r/>
            <w:r>
              <w:rPr>
                <w:rFonts w:ascii="Arial" w:hAnsi="Arial" w:cs="Arial"/>
                <w:b w:val="0"/>
                <w:sz w:val="17"/>
              </w:rPr>
              <w:t>0.995</w:t>
            </w:r>
          </w:p>
        </w:tc>
      </w:tr>
      <w:tr>
        <w:tc>
          <w:tcPr>
            <w:tcW w:type="dxa" w:w="1680"/>
            <w:vAlign w:val="center"/>
          </w:tcPr>
          <w:p>
            <w:pPr>
              <w:jc w:val="right"/>
              <w:bidi w:val="1"/>
            </w:pPr>
            <w:r/>
            <w:r>
              <w:rPr>
                <w:rFonts w:ascii="Arial" w:hAnsi="Arial" w:cs="Arial"/>
                <w:b w:val="0"/>
                <w:sz w:val="17"/>
              </w:rPr>
              <w:t>METABRIC receptor</w:t>
            </w:r>
          </w:p>
        </w:tc>
        <w:tc>
          <w:tcPr>
            <w:tcW w:type="dxa" w:w="1680"/>
            <w:vAlign w:val="center"/>
          </w:tcPr>
          <w:p>
            <w:pPr>
              <w:jc w:val="right"/>
              <w:bidi w:val="1"/>
            </w:pPr>
            <w:r/>
            <w:r>
              <w:rPr>
                <w:rFonts w:ascii="Arial" w:hAnsi="Arial" w:cs="Arial"/>
                <w:b w:val="0"/>
                <w:sz w:val="17"/>
              </w:rPr>
              <w:t>PR_STATUS prediction</w:t>
            </w:r>
          </w:p>
        </w:tc>
        <w:tc>
          <w:tcPr>
            <w:tcW w:type="dxa" w:w="1680"/>
            <w:vAlign w:val="center"/>
          </w:tcPr>
          <w:p>
            <w:pPr>
              <w:jc w:val="right"/>
              <w:bidi w:val="1"/>
            </w:pPr>
            <w:r/>
            <w:r>
              <w:rPr>
                <w:rFonts w:ascii="Arial" w:hAnsi="Arial" w:cs="Arial"/>
                <w:b w:val="0"/>
                <w:sz w:val="17"/>
              </w:rPr>
              <w:t>ROC-AUC</w:t>
            </w:r>
          </w:p>
        </w:tc>
        <w:tc>
          <w:tcPr>
            <w:tcW w:type="dxa" w:w="1680"/>
            <w:vAlign w:val="center"/>
          </w:tcPr>
          <w:p>
            <w:pPr>
              <w:jc w:val="right"/>
              <w:bidi w:val="1"/>
            </w:pPr>
            <w:r/>
            <w:r>
              <w:rPr>
                <w:rFonts w:ascii="Arial" w:hAnsi="Arial" w:cs="Arial"/>
                <w:b w:val="0"/>
                <w:sz w:val="17"/>
              </w:rPr>
              <w:t>1.0</w:t>
            </w:r>
          </w:p>
        </w:tc>
        <w:tc>
          <w:tcPr>
            <w:tcW w:type="dxa" w:w="1680"/>
            <w:vAlign w:val="center"/>
          </w:tcPr>
          <w:p>
            <w:pPr>
              <w:jc w:val="right"/>
              <w:bidi w:val="1"/>
            </w:pPr>
            <w:r/>
            <w:r>
              <w:rPr>
                <w:rFonts w:ascii="Arial" w:hAnsi="Arial" w:cs="Arial"/>
                <w:b w:val="0"/>
                <w:sz w:val="17"/>
              </w:rPr>
              <w:t>Accuracy</w:t>
            </w:r>
          </w:p>
        </w:tc>
        <w:tc>
          <w:tcPr>
            <w:tcW w:type="dxa" w:w="1680"/>
            <w:vAlign w:val="center"/>
          </w:tcPr>
          <w:p>
            <w:pPr>
              <w:jc w:val="right"/>
              <w:bidi w:val="1"/>
            </w:pPr>
            <w:r/>
            <w:r>
              <w:rPr>
                <w:rFonts w:ascii="Arial" w:hAnsi="Arial" w:cs="Arial"/>
                <w:b w:val="0"/>
                <w:sz w:val="17"/>
              </w:rPr>
              <w:t>0.992</w:t>
            </w:r>
          </w:p>
        </w:tc>
      </w:tr>
      <w:tr>
        <w:tc>
          <w:tcPr>
            <w:tcW w:type="dxa" w:w="1680"/>
            <w:vAlign w:val="center"/>
          </w:tcPr>
          <w:p>
            <w:pPr>
              <w:jc w:val="right"/>
              <w:bidi w:val="1"/>
            </w:pPr>
            <w:r/>
            <w:r>
              <w:rPr>
                <w:rFonts w:ascii="Arial" w:hAnsi="Arial" w:cs="Arial"/>
                <w:b w:val="0"/>
                <w:sz w:val="17"/>
              </w:rPr>
              <w:t>METABRIC receptor</w:t>
            </w:r>
          </w:p>
        </w:tc>
        <w:tc>
          <w:tcPr>
            <w:tcW w:type="dxa" w:w="1680"/>
            <w:vAlign w:val="center"/>
          </w:tcPr>
          <w:p>
            <w:pPr>
              <w:jc w:val="right"/>
              <w:bidi w:val="1"/>
            </w:pPr>
            <w:r/>
            <w:r>
              <w:rPr>
                <w:rFonts w:ascii="Arial" w:hAnsi="Arial" w:cs="Arial"/>
                <w:b w:val="0"/>
                <w:sz w:val="17"/>
              </w:rPr>
              <w:t>ER_STATUS prediction</w:t>
            </w:r>
          </w:p>
        </w:tc>
        <w:tc>
          <w:tcPr>
            <w:tcW w:type="dxa" w:w="1680"/>
            <w:vAlign w:val="center"/>
          </w:tcPr>
          <w:p>
            <w:pPr>
              <w:jc w:val="right"/>
              <w:bidi w:val="1"/>
            </w:pPr>
            <w:r/>
            <w:r>
              <w:rPr>
                <w:rFonts w:ascii="Arial" w:hAnsi="Arial" w:cs="Arial"/>
                <w:b w:val="0"/>
                <w:sz w:val="17"/>
              </w:rPr>
              <w:t>ROC-AUC</w:t>
            </w:r>
          </w:p>
        </w:tc>
        <w:tc>
          <w:tcPr>
            <w:tcW w:type="dxa" w:w="1680"/>
            <w:vAlign w:val="center"/>
          </w:tcPr>
          <w:p>
            <w:pPr>
              <w:jc w:val="right"/>
              <w:bidi w:val="1"/>
            </w:pPr>
            <w:r/>
            <w:r>
              <w:rPr>
                <w:rFonts w:ascii="Arial" w:hAnsi="Arial" w:cs="Arial"/>
                <w:b w:val="0"/>
                <w:sz w:val="17"/>
              </w:rPr>
              <w:t>0.999</w:t>
            </w:r>
          </w:p>
        </w:tc>
        <w:tc>
          <w:tcPr>
            <w:tcW w:type="dxa" w:w="1680"/>
            <w:vAlign w:val="center"/>
          </w:tcPr>
          <w:p>
            <w:pPr>
              <w:jc w:val="right"/>
              <w:bidi w:val="1"/>
            </w:pPr>
            <w:r/>
            <w:r>
              <w:rPr>
                <w:rFonts w:ascii="Arial" w:hAnsi="Arial" w:cs="Arial"/>
                <w:b w:val="0"/>
                <w:sz w:val="17"/>
              </w:rPr>
              <w:t>Accuracy</w:t>
            </w:r>
          </w:p>
        </w:tc>
        <w:tc>
          <w:tcPr>
            <w:tcW w:type="dxa" w:w="1680"/>
            <w:vAlign w:val="center"/>
          </w:tcPr>
          <w:p>
            <w:pPr>
              <w:jc w:val="right"/>
              <w:bidi w:val="1"/>
            </w:pPr>
            <w:r/>
            <w:r>
              <w:rPr>
                <w:rFonts w:ascii="Arial" w:hAnsi="Arial" w:cs="Arial"/>
                <w:b w:val="0"/>
                <w:sz w:val="17"/>
              </w:rPr>
              <w:t>0.982</w:t>
            </w:r>
          </w:p>
        </w:tc>
      </w:tr>
    </w:tbl>
    <w:p/>
    <w:p>
      <w:pPr>
        <w:jc w:val="right"/>
        <w:bidi w:val="1"/>
      </w:pPr>
      <w:r>
        <w:rPr>
          <w:rFonts w:ascii="Arial" w:hAnsi="Arial" w:cs="Arial"/>
          <w:b/>
          <w:color w:val="1F4D78"/>
          <w:sz w:val="30"/>
        </w:rPr>
        <w:t>11. ما البيانات التي سندخلها للمريضة؟</w:t>
      </w:r>
    </w:p>
    <w:p>
      <w:pPr>
        <w:jc w:val="right"/>
        <w:bidi w:val="1"/>
      </w:pPr>
      <w:r>
        <w:rPr>
          <w:rFonts w:ascii="Arial" w:hAnsi="Arial" w:cs="Arial"/>
          <w:b w:val="0"/>
          <w:sz w:val="22"/>
        </w:rPr>
        <w:t>في التطبيق النهائي، إدخال البيانات سيكون حسب المسار. لو المريضة قبل التشخيص سنستخدم عوامل خطورة screening، ولو بعد التشخيص سنستخدم بيانات الورم والبيانات الجينية والسريرية.</w:t>
      </w:r>
    </w:p>
    <w:p>
      <w:pPr>
        <w:jc w:val="right"/>
        <w:bidi w:val="1"/>
      </w:pPr>
      <w:r>
        <w:rPr>
          <w:rFonts w:ascii="Arial" w:hAnsi="Arial" w:cs="Arial"/>
          <w:b/>
          <w:sz w:val="22"/>
        </w:rPr>
        <w:t>Path 1 - BCSC Future Risk: بيانات ما قبل التشخيص</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right"/>
              <w:bidi w:val="1"/>
            </w:pPr>
            <w:r/>
            <w:r>
              <w:rPr>
                <w:rFonts w:ascii="Arial" w:hAnsi="Arial" w:cs="Arial"/>
                <w:b/>
                <w:sz w:val="17"/>
              </w:rPr>
              <w:t>Field</w:t>
            </w:r>
          </w:p>
        </w:tc>
        <w:tc>
          <w:tcPr>
            <w:tcW w:type="dxa" w:w="3360"/>
            <w:vAlign w:val="center"/>
          </w:tcPr>
          <w:p>
            <w:pPr>
              <w:jc w:val="right"/>
              <w:bidi w:val="1"/>
            </w:pPr>
            <w:r/>
            <w:r>
              <w:rPr>
                <w:rFonts w:ascii="Arial" w:hAnsi="Arial" w:cs="Arial"/>
                <w:b/>
                <w:sz w:val="17"/>
              </w:rPr>
              <w:t>ماذا يعني؟</w:t>
            </w:r>
          </w:p>
        </w:tc>
        <w:tc>
          <w:tcPr>
            <w:tcW w:type="dxa" w:w="3360"/>
            <w:vAlign w:val="center"/>
          </w:tcPr>
          <w:p>
            <w:pPr>
              <w:jc w:val="right"/>
              <w:bidi w:val="1"/>
            </w:pPr>
            <w:r/>
            <w:r>
              <w:rPr>
                <w:rFonts w:ascii="Arial" w:hAnsi="Arial" w:cs="Arial"/>
                <w:b/>
                <w:sz w:val="17"/>
              </w:rPr>
              <w:t>لماذا نستخدمه؟</w:t>
            </w:r>
          </w:p>
        </w:tc>
      </w:tr>
      <w:tr>
        <w:tc>
          <w:tcPr>
            <w:tcW w:type="dxa" w:w="3360"/>
            <w:vAlign w:val="center"/>
          </w:tcPr>
          <w:p>
            <w:pPr>
              <w:jc w:val="right"/>
              <w:bidi w:val="1"/>
            </w:pPr>
            <w:r/>
            <w:r>
              <w:rPr>
                <w:rFonts w:ascii="Arial" w:hAnsi="Arial" w:cs="Arial"/>
                <w:b w:val="0"/>
                <w:sz w:val="17"/>
              </w:rPr>
              <w:t>Age group</w:t>
            </w:r>
          </w:p>
        </w:tc>
        <w:tc>
          <w:tcPr>
            <w:tcW w:type="dxa" w:w="3360"/>
            <w:vAlign w:val="center"/>
          </w:tcPr>
          <w:p>
            <w:pPr>
              <w:jc w:val="right"/>
              <w:bidi w:val="1"/>
            </w:pPr>
            <w:r/>
            <w:r>
              <w:rPr>
                <w:rFonts w:ascii="Arial" w:hAnsi="Arial" w:cs="Arial"/>
                <w:b w:val="0"/>
                <w:sz w:val="17"/>
              </w:rPr>
              <w:t>عمر المريضة وقت الفحص</w:t>
            </w:r>
          </w:p>
        </w:tc>
        <w:tc>
          <w:tcPr>
            <w:tcW w:type="dxa" w:w="3360"/>
            <w:vAlign w:val="center"/>
          </w:tcPr>
          <w:p>
            <w:pPr>
              <w:jc w:val="right"/>
              <w:bidi w:val="1"/>
            </w:pPr>
            <w:r/>
            <w:r>
              <w:rPr>
                <w:rFonts w:ascii="Arial" w:hAnsi="Arial" w:cs="Arial"/>
                <w:b w:val="0"/>
                <w:sz w:val="17"/>
              </w:rPr>
              <w:t>الخطر يزيد مع العمر</w:t>
            </w:r>
          </w:p>
        </w:tc>
      </w:tr>
      <w:tr>
        <w:tc>
          <w:tcPr>
            <w:tcW w:type="dxa" w:w="3360"/>
            <w:vAlign w:val="center"/>
          </w:tcPr>
          <w:p>
            <w:pPr>
              <w:jc w:val="right"/>
              <w:bidi w:val="1"/>
            </w:pPr>
            <w:r/>
            <w:r>
              <w:rPr>
                <w:rFonts w:ascii="Arial" w:hAnsi="Arial" w:cs="Arial"/>
                <w:b w:val="0"/>
                <w:sz w:val="17"/>
              </w:rPr>
              <w:t>Breast density</w:t>
            </w:r>
          </w:p>
        </w:tc>
        <w:tc>
          <w:tcPr>
            <w:tcW w:type="dxa" w:w="3360"/>
            <w:vAlign w:val="center"/>
          </w:tcPr>
          <w:p>
            <w:pPr>
              <w:jc w:val="right"/>
              <w:bidi w:val="1"/>
            </w:pPr>
            <w:r/>
            <w:r>
              <w:rPr>
                <w:rFonts w:ascii="Arial" w:hAnsi="Arial" w:cs="Arial"/>
                <w:b w:val="0"/>
                <w:sz w:val="17"/>
              </w:rPr>
              <w:t>كثافة نسيج الثدي في الماموجرام</w:t>
            </w:r>
          </w:p>
        </w:tc>
        <w:tc>
          <w:tcPr>
            <w:tcW w:type="dxa" w:w="3360"/>
            <w:vAlign w:val="center"/>
          </w:tcPr>
          <w:p>
            <w:pPr>
              <w:jc w:val="right"/>
              <w:bidi w:val="1"/>
            </w:pPr>
            <w:r/>
            <w:r>
              <w:rPr>
                <w:rFonts w:ascii="Arial" w:hAnsi="Arial" w:cs="Arial"/>
                <w:b w:val="0"/>
                <w:sz w:val="17"/>
              </w:rPr>
              <w:t>عامل مهم في screening risk</w:t>
            </w:r>
          </w:p>
        </w:tc>
      </w:tr>
      <w:tr>
        <w:tc>
          <w:tcPr>
            <w:tcW w:type="dxa" w:w="3360"/>
            <w:vAlign w:val="center"/>
          </w:tcPr>
          <w:p>
            <w:pPr>
              <w:jc w:val="right"/>
              <w:bidi w:val="1"/>
            </w:pPr>
            <w:r/>
            <w:r>
              <w:rPr>
                <w:rFonts w:ascii="Arial" w:hAnsi="Arial" w:cs="Arial"/>
                <w:b w:val="0"/>
                <w:sz w:val="17"/>
              </w:rPr>
              <w:t>Race / Hispanic</w:t>
            </w:r>
          </w:p>
        </w:tc>
        <w:tc>
          <w:tcPr>
            <w:tcW w:type="dxa" w:w="3360"/>
            <w:vAlign w:val="center"/>
          </w:tcPr>
          <w:p>
            <w:pPr>
              <w:jc w:val="right"/>
              <w:bidi w:val="1"/>
            </w:pPr>
            <w:r/>
            <w:r>
              <w:rPr>
                <w:rFonts w:ascii="Arial" w:hAnsi="Arial" w:cs="Arial"/>
                <w:b w:val="0"/>
                <w:sz w:val="17"/>
              </w:rPr>
              <w:t>الخلفية السكانية</w:t>
            </w:r>
          </w:p>
        </w:tc>
        <w:tc>
          <w:tcPr>
            <w:tcW w:type="dxa" w:w="3360"/>
            <w:vAlign w:val="center"/>
          </w:tcPr>
          <w:p>
            <w:pPr>
              <w:jc w:val="right"/>
              <w:bidi w:val="1"/>
            </w:pPr>
            <w:r/>
            <w:r>
              <w:rPr>
                <w:rFonts w:ascii="Arial" w:hAnsi="Arial" w:cs="Arial"/>
                <w:b w:val="0"/>
                <w:sz w:val="17"/>
              </w:rPr>
              <w:t>مستخدمة كما هي في BCSC model</w:t>
            </w:r>
          </w:p>
        </w:tc>
      </w:tr>
      <w:tr>
        <w:tc>
          <w:tcPr>
            <w:tcW w:type="dxa" w:w="3360"/>
            <w:vAlign w:val="center"/>
          </w:tcPr>
          <w:p>
            <w:pPr>
              <w:jc w:val="right"/>
              <w:bidi w:val="1"/>
            </w:pPr>
            <w:r/>
            <w:r>
              <w:rPr>
                <w:rFonts w:ascii="Arial" w:hAnsi="Arial" w:cs="Arial"/>
                <w:b w:val="0"/>
                <w:sz w:val="17"/>
              </w:rPr>
              <w:t>BMI</w:t>
            </w:r>
          </w:p>
        </w:tc>
        <w:tc>
          <w:tcPr>
            <w:tcW w:type="dxa" w:w="3360"/>
            <w:vAlign w:val="center"/>
          </w:tcPr>
          <w:p>
            <w:pPr>
              <w:jc w:val="right"/>
              <w:bidi w:val="1"/>
            </w:pPr>
            <w:r/>
            <w:r>
              <w:rPr>
                <w:rFonts w:ascii="Arial" w:hAnsi="Arial" w:cs="Arial"/>
                <w:b w:val="0"/>
                <w:sz w:val="17"/>
              </w:rPr>
              <w:t>مؤشر كتلة الجسم</w:t>
            </w:r>
          </w:p>
        </w:tc>
        <w:tc>
          <w:tcPr>
            <w:tcW w:type="dxa" w:w="3360"/>
            <w:vAlign w:val="center"/>
          </w:tcPr>
          <w:p>
            <w:pPr>
              <w:jc w:val="right"/>
              <w:bidi w:val="1"/>
            </w:pPr>
            <w:r/>
            <w:r>
              <w:rPr>
                <w:rFonts w:ascii="Arial" w:hAnsi="Arial" w:cs="Arial"/>
                <w:b w:val="0"/>
                <w:sz w:val="17"/>
              </w:rPr>
              <w:t>عامل خطورة عام</w:t>
            </w:r>
          </w:p>
        </w:tc>
      </w:tr>
      <w:tr>
        <w:tc>
          <w:tcPr>
            <w:tcW w:type="dxa" w:w="3360"/>
            <w:vAlign w:val="center"/>
          </w:tcPr>
          <w:p>
            <w:pPr>
              <w:jc w:val="right"/>
              <w:bidi w:val="1"/>
            </w:pPr>
            <w:r/>
            <w:r>
              <w:rPr>
                <w:rFonts w:ascii="Arial" w:hAnsi="Arial" w:cs="Arial"/>
                <w:b w:val="0"/>
                <w:sz w:val="17"/>
              </w:rPr>
              <w:t>Age at first birth</w:t>
            </w:r>
          </w:p>
        </w:tc>
        <w:tc>
          <w:tcPr>
            <w:tcW w:type="dxa" w:w="3360"/>
            <w:vAlign w:val="center"/>
          </w:tcPr>
          <w:p>
            <w:pPr>
              <w:jc w:val="right"/>
              <w:bidi w:val="1"/>
            </w:pPr>
            <w:r/>
            <w:r>
              <w:rPr>
                <w:rFonts w:ascii="Arial" w:hAnsi="Arial" w:cs="Arial"/>
                <w:b w:val="0"/>
                <w:sz w:val="17"/>
              </w:rPr>
              <w:t>سن أول ولادة أو عدم الإنجاب</w:t>
            </w:r>
          </w:p>
        </w:tc>
        <w:tc>
          <w:tcPr>
            <w:tcW w:type="dxa" w:w="3360"/>
            <w:vAlign w:val="center"/>
          </w:tcPr>
          <w:p>
            <w:pPr>
              <w:jc w:val="right"/>
              <w:bidi w:val="1"/>
            </w:pPr>
            <w:r/>
            <w:r>
              <w:rPr>
                <w:rFonts w:ascii="Arial" w:hAnsi="Arial" w:cs="Arial"/>
                <w:b w:val="0"/>
                <w:sz w:val="17"/>
              </w:rPr>
              <w:t>عامل reproductive history</w:t>
            </w:r>
          </w:p>
        </w:tc>
      </w:tr>
      <w:tr>
        <w:tc>
          <w:tcPr>
            <w:tcW w:type="dxa" w:w="3360"/>
            <w:vAlign w:val="center"/>
          </w:tcPr>
          <w:p>
            <w:pPr>
              <w:jc w:val="right"/>
              <w:bidi w:val="1"/>
            </w:pPr>
            <w:r/>
            <w:r>
              <w:rPr>
                <w:rFonts w:ascii="Arial" w:hAnsi="Arial" w:cs="Arial"/>
                <w:b w:val="0"/>
                <w:sz w:val="17"/>
              </w:rPr>
              <w:t>First-degree relatives</w:t>
            </w:r>
          </w:p>
        </w:tc>
        <w:tc>
          <w:tcPr>
            <w:tcW w:type="dxa" w:w="3360"/>
            <w:vAlign w:val="center"/>
          </w:tcPr>
          <w:p>
            <w:pPr>
              <w:jc w:val="right"/>
              <w:bidi w:val="1"/>
            </w:pPr>
            <w:r/>
            <w:r>
              <w:rPr>
                <w:rFonts w:ascii="Arial" w:hAnsi="Arial" w:cs="Arial"/>
                <w:b w:val="0"/>
                <w:sz w:val="17"/>
              </w:rPr>
              <w:t>عدد أقارب الدرجة الأولى المصابين</w:t>
            </w:r>
          </w:p>
        </w:tc>
        <w:tc>
          <w:tcPr>
            <w:tcW w:type="dxa" w:w="3360"/>
            <w:vAlign w:val="center"/>
          </w:tcPr>
          <w:p>
            <w:pPr>
              <w:jc w:val="right"/>
              <w:bidi w:val="1"/>
            </w:pPr>
            <w:r/>
            <w:r>
              <w:rPr>
                <w:rFonts w:ascii="Arial" w:hAnsi="Arial" w:cs="Arial"/>
                <w:b w:val="0"/>
                <w:sz w:val="17"/>
              </w:rPr>
              <w:t>family history</w:t>
            </w:r>
          </w:p>
        </w:tc>
      </w:tr>
      <w:tr>
        <w:tc>
          <w:tcPr>
            <w:tcW w:type="dxa" w:w="3360"/>
            <w:vAlign w:val="center"/>
          </w:tcPr>
          <w:p>
            <w:pPr>
              <w:jc w:val="right"/>
              <w:bidi w:val="1"/>
            </w:pPr>
            <w:r/>
            <w:r>
              <w:rPr>
                <w:rFonts w:ascii="Arial" w:hAnsi="Arial" w:cs="Arial"/>
                <w:b w:val="0"/>
                <w:sz w:val="17"/>
              </w:rPr>
              <w:t>Previous breast procedure</w:t>
            </w:r>
          </w:p>
        </w:tc>
        <w:tc>
          <w:tcPr>
            <w:tcW w:type="dxa" w:w="3360"/>
            <w:vAlign w:val="center"/>
          </w:tcPr>
          <w:p>
            <w:pPr>
              <w:jc w:val="right"/>
              <w:bidi w:val="1"/>
            </w:pPr>
            <w:r/>
            <w:r>
              <w:rPr>
                <w:rFonts w:ascii="Arial" w:hAnsi="Arial" w:cs="Arial"/>
                <w:b w:val="0"/>
                <w:sz w:val="17"/>
              </w:rPr>
              <w:t>هل كان هناك إجراء سابق بالثدي</w:t>
            </w:r>
          </w:p>
        </w:tc>
        <w:tc>
          <w:tcPr>
            <w:tcW w:type="dxa" w:w="3360"/>
            <w:vAlign w:val="center"/>
          </w:tcPr>
          <w:p>
            <w:pPr>
              <w:jc w:val="right"/>
              <w:bidi w:val="1"/>
            </w:pPr>
            <w:r/>
            <w:r>
              <w:rPr>
                <w:rFonts w:ascii="Arial" w:hAnsi="Arial" w:cs="Arial"/>
                <w:b w:val="0"/>
                <w:sz w:val="17"/>
              </w:rPr>
              <w:t>مؤشر تاريخ مرضي/فحوصات</w:t>
            </w:r>
          </w:p>
        </w:tc>
      </w:tr>
      <w:tr>
        <w:tc>
          <w:tcPr>
            <w:tcW w:type="dxa" w:w="3360"/>
            <w:vAlign w:val="center"/>
          </w:tcPr>
          <w:p>
            <w:pPr>
              <w:jc w:val="right"/>
              <w:bidi w:val="1"/>
            </w:pPr>
            <w:r/>
            <w:r>
              <w:rPr>
                <w:rFonts w:ascii="Arial" w:hAnsi="Arial" w:cs="Arial"/>
                <w:b w:val="0"/>
                <w:sz w:val="17"/>
              </w:rPr>
              <w:t>Previous mammogram result</w:t>
            </w:r>
          </w:p>
        </w:tc>
        <w:tc>
          <w:tcPr>
            <w:tcW w:type="dxa" w:w="3360"/>
            <w:vAlign w:val="center"/>
          </w:tcPr>
          <w:p>
            <w:pPr>
              <w:jc w:val="right"/>
              <w:bidi w:val="1"/>
            </w:pPr>
            <w:r/>
            <w:r>
              <w:rPr>
                <w:rFonts w:ascii="Arial" w:hAnsi="Arial" w:cs="Arial"/>
                <w:b w:val="0"/>
                <w:sz w:val="17"/>
              </w:rPr>
              <w:t>نتيجة الماموجرام السابق</w:t>
            </w:r>
          </w:p>
        </w:tc>
        <w:tc>
          <w:tcPr>
            <w:tcW w:type="dxa" w:w="3360"/>
            <w:vAlign w:val="center"/>
          </w:tcPr>
          <w:p>
            <w:pPr>
              <w:jc w:val="right"/>
              <w:bidi w:val="1"/>
            </w:pPr>
            <w:r/>
            <w:r>
              <w:rPr>
                <w:rFonts w:ascii="Arial" w:hAnsi="Arial" w:cs="Arial"/>
                <w:b w:val="0"/>
                <w:sz w:val="17"/>
              </w:rPr>
              <w:t>negative أو false positive</w:t>
            </w:r>
          </w:p>
        </w:tc>
      </w:tr>
      <w:tr>
        <w:tc>
          <w:tcPr>
            <w:tcW w:type="dxa" w:w="3360"/>
            <w:vAlign w:val="center"/>
          </w:tcPr>
          <w:p>
            <w:pPr>
              <w:jc w:val="right"/>
              <w:bidi w:val="1"/>
            </w:pPr>
            <w:r/>
            <w:r>
              <w:rPr>
                <w:rFonts w:ascii="Arial" w:hAnsi="Arial" w:cs="Arial"/>
                <w:b w:val="0"/>
                <w:sz w:val="17"/>
              </w:rPr>
              <w:t>Menopause / HRT</w:t>
            </w:r>
          </w:p>
        </w:tc>
        <w:tc>
          <w:tcPr>
            <w:tcW w:type="dxa" w:w="3360"/>
            <w:vAlign w:val="center"/>
          </w:tcPr>
          <w:p>
            <w:pPr>
              <w:jc w:val="right"/>
              <w:bidi w:val="1"/>
            </w:pPr>
            <w:r/>
            <w:r>
              <w:rPr>
                <w:rFonts w:ascii="Arial" w:hAnsi="Arial" w:cs="Arial"/>
                <w:b w:val="0"/>
                <w:sz w:val="17"/>
              </w:rPr>
              <w:t>حالة انقطاع الطمث والعلاج الهرموني</w:t>
            </w:r>
          </w:p>
        </w:tc>
        <w:tc>
          <w:tcPr>
            <w:tcW w:type="dxa" w:w="3360"/>
            <w:vAlign w:val="center"/>
          </w:tcPr>
          <w:p>
            <w:pPr>
              <w:jc w:val="right"/>
              <w:bidi w:val="1"/>
            </w:pPr>
            <w:r/>
            <w:r>
              <w:rPr>
                <w:rFonts w:ascii="Arial" w:hAnsi="Arial" w:cs="Arial"/>
                <w:b w:val="0"/>
                <w:sz w:val="17"/>
              </w:rPr>
              <w:t>عوامل مرتبطة بالخطورة</w:t>
            </w:r>
          </w:p>
        </w:tc>
      </w:tr>
    </w:tbl>
    <w:p/>
    <w:p>
      <w:pPr>
        <w:jc w:val="right"/>
        <w:bidi w:val="1"/>
      </w:pPr>
      <w:r>
        <w:rPr>
          <w:rFonts w:ascii="Arial" w:hAnsi="Arial" w:cs="Arial"/>
          <w:b/>
          <w:sz w:val="22"/>
        </w:rPr>
        <w:t>Path 2 - METABRIC Post-Diagnosis Support: بيانات ما بعد التشخيص</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right"/>
              <w:bidi w:val="1"/>
            </w:pPr>
            <w:r/>
            <w:r>
              <w:rPr>
                <w:rFonts w:ascii="Arial" w:hAnsi="Arial" w:cs="Arial"/>
                <w:b/>
                <w:sz w:val="17"/>
              </w:rPr>
              <w:t>Field</w:t>
            </w:r>
          </w:p>
        </w:tc>
        <w:tc>
          <w:tcPr>
            <w:tcW w:type="dxa" w:w="3360"/>
            <w:vAlign w:val="center"/>
          </w:tcPr>
          <w:p>
            <w:pPr>
              <w:jc w:val="right"/>
              <w:bidi w:val="1"/>
            </w:pPr>
            <w:r/>
            <w:r>
              <w:rPr>
                <w:rFonts w:ascii="Arial" w:hAnsi="Arial" w:cs="Arial"/>
                <w:b/>
                <w:sz w:val="17"/>
              </w:rPr>
              <w:t>ماذا يعني؟</w:t>
            </w:r>
          </w:p>
        </w:tc>
        <w:tc>
          <w:tcPr>
            <w:tcW w:type="dxa" w:w="3360"/>
            <w:vAlign w:val="center"/>
          </w:tcPr>
          <w:p>
            <w:pPr>
              <w:jc w:val="right"/>
              <w:bidi w:val="1"/>
            </w:pPr>
            <w:r/>
            <w:r>
              <w:rPr>
                <w:rFonts w:ascii="Arial" w:hAnsi="Arial" w:cs="Arial"/>
                <w:b/>
                <w:sz w:val="17"/>
              </w:rPr>
              <w:t>لماذا نستخدمه؟</w:t>
            </w:r>
          </w:p>
        </w:tc>
      </w:tr>
      <w:tr>
        <w:tc>
          <w:tcPr>
            <w:tcW w:type="dxa" w:w="3360"/>
            <w:vAlign w:val="center"/>
          </w:tcPr>
          <w:p>
            <w:pPr>
              <w:jc w:val="right"/>
              <w:bidi w:val="1"/>
            </w:pPr>
            <w:r/>
            <w:r>
              <w:rPr>
                <w:rFonts w:ascii="Arial" w:hAnsi="Arial" w:cs="Arial"/>
                <w:b w:val="0"/>
                <w:sz w:val="17"/>
              </w:rPr>
              <w:t>ER / PR / HER2 status</w:t>
            </w:r>
          </w:p>
        </w:tc>
        <w:tc>
          <w:tcPr>
            <w:tcW w:type="dxa" w:w="3360"/>
            <w:vAlign w:val="center"/>
          </w:tcPr>
          <w:p>
            <w:pPr>
              <w:jc w:val="right"/>
              <w:bidi w:val="1"/>
            </w:pPr>
            <w:r/>
            <w:r>
              <w:rPr>
                <w:rFonts w:ascii="Arial" w:hAnsi="Arial" w:cs="Arial"/>
                <w:b w:val="0"/>
                <w:sz w:val="17"/>
              </w:rPr>
              <w:t>حالة مستقبلات الهرمون وHER2</w:t>
            </w:r>
          </w:p>
        </w:tc>
        <w:tc>
          <w:tcPr>
            <w:tcW w:type="dxa" w:w="3360"/>
            <w:vAlign w:val="center"/>
          </w:tcPr>
          <w:p>
            <w:pPr>
              <w:jc w:val="right"/>
              <w:bidi w:val="1"/>
            </w:pPr>
            <w:r/>
            <w:r>
              <w:rPr>
                <w:rFonts w:ascii="Arial" w:hAnsi="Arial" w:cs="Arial"/>
                <w:b w:val="0"/>
                <w:sz w:val="17"/>
              </w:rPr>
              <w:t>تدخل في توصيات الطبيب وتفسير subtype</w:t>
            </w:r>
          </w:p>
        </w:tc>
      </w:tr>
      <w:tr>
        <w:tc>
          <w:tcPr>
            <w:tcW w:type="dxa" w:w="3360"/>
            <w:vAlign w:val="center"/>
          </w:tcPr>
          <w:p>
            <w:pPr>
              <w:jc w:val="right"/>
              <w:bidi w:val="1"/>
            </w:pPr>
            <w:r/>
            <w:r>
              <w:rPr>
                <w:rFonts w:ascii="Arial" w:hAnsi="Arial" w:cs="Arial"/>
                <w:b w:val="0"/>
                <w:sz w:val="17"/>
              </w:rPr>
              <w:t>Tumor stage / grade / size</w:t>
            </w:r>
          </w:p>
        </w:tc>
        <w:tc>
          <w:tcPr>
            <w:tcW w:type="dxa" w:w="3360"/>
            <w:vAlign w:val="center"/>
          </w:tcPr>
          <w:p>
            <w:pPr>
              <w:jc w:val="right"/>
              <w:bidi w:val="1"/>
            </w:pPr>
            <w:r/>
            <w:r>
              <w:rPr>
                <w:rFonts w:ascii="Arial" w:hAnsi="Arial" w:cs="Arial"/>
                <w:b w:val="0"/>
                <w:sz w:val="17"/>
              </w:rPr>
              <w:t>المرحلة والدرجة وحجم الورم</w:t>
            </w:r>
          </w:p>
        </w:tc>
        <w:tc>
          <w:tcPr>
            <w:tcW w:type="dxa" w:w="3360"/>
            <w:vAlign w:val="center"/>
          </w:tcPr>
          <w:p>
            <w:pPr>
              <w:jc w:val="right"/>
              <w:bidi w:val="1"/>
            </w:pPr>
            <w:r/>
            <w:r>
              <w:rPr>
                <w:rFonts w:ascii="Arial" w:hAnsi="Arial" w:cs="Arial"/>
                <w:b w:val="0"/>
                <w:sz w:val="17"/>
              </w:rPr>
              <w:t>مهمة جدا في survival/recurrence risk</w:t>
            </w:r>
          </w:p>
        </w:tc>
      </w:tr>
      <w:tr>
        <w:tc>
          <w:tcPr>
            <w:tcW w:type="dxa" w:w="3360"/>
            <w:vAlign w:val="center"/>
          </w:tcPr>
          <w:p>
            <w:pPr>
              <w:jc w:val="right"/>
              <w:bidi w:val="1"/>
            </w:pPr>
            <w:r/>
            <w:r>
              <w:rPr>
                <w:rFonts w:ascii="Arial" w:hAnsi="Arial" w:cs="Arial"/>
                <w:b w:val="0"/>
                <w:sz w:val="17"/>
              </w:rPr>
              <w:t>Positive lymph nodes</w:t>
            </w:r>
          </w:p>
        </w:tc>
        <w:tc>
          <w:tcPr>
            <w:tcW w:type="dxa" w:w="3360"/>
            <w:vAlign w:val="center"/>
          </w:tcPr>
          <w:p>
            <w:pPr>
              <w:jc w:val="right"/>
              <w:bidi w:val="1"/>
            </w:pPr>
            <w:r/>
            <w:r>
              <w:rPr>
                <w:rFonts w:ascii="Arial" w:hAnsi="Arial" w:cs="Arial"/>
                <w:b w:val="0"/>
                <w:sz w:val="17"/>
              </w:rPr>
              <w:t>عدد الغدد الليمفاوية المصابة</w:t>
            </w:r>
          </w:p>
        </w:tc>
        <w:tc>
          <w:tcPr>
            <w:tcW w:type="dxa" w:w="3360"/>
            <w:vAlign w:val="center"/>
          </w:tcPr>
          <w:p>
            <w:pPr>
              <w:jc w:val="right"/>
              <w:bidi w:val="1"/>
            </w:pPr>
            <w:r/>
            <w:r>
              <w:rPr>
                <w:rFonts w:ascii="Arial" w:hAnsi="Arial" w:cs="Arial"/>
                <w:b w:val="0"/>
                <w:sz w:val="17"/>
              </w:rPr>
              <w:t>عامل خطورة قوي</w:t>
            </w:r>
          </w:p>
        </w:tc>
      </w:tr>
      <w:tr>
        <w:tc>
          <w:tcPr>
            <w:tcW w:type="dxa" w:w="3360"/>
            <w:vAlign w:val="center"/>
          </w:tcPr>
          <w:p>
            <w:pPr>
              <w:jc w:val="right"/>
              <w:bidi w:val="1"/>
            </w:pPr>
            <w:r/>
            <w:r>
              <w:rPr>
                <w:rFonts w:ascii="Arial" w:hAnsi="Arial" w:cs="Arial"/>
                <w:b w:val="0"/>
                <w:sz w:val="17"/>
              </w:rPr>
              <w:t>Histology / cancer type</w:t>
            </w:r>
          </w:p>
        </w:tc>
        <w:tc>
          <w:tcPr>
            <w:tcW w:type="dxa" w:w="3360"/>
            <w:vAlign w:val="center"/>
          </w:tcPr>
          <w:p>
            <w:pPr>
              <w:jc w:val="right"/>
              <w:bidi w:val="1"/>
            </w:pPr>
            <w:r/>
            <w:r>
              <w:rPr>
                <w:rFonts w:ascii="Arial" w:hAnsi="Arial" w:cs="Arial"/>
                <w:b w:val="0"/>
                <w:sz w:val="17"/>
              </w:rPr>
              <w:t>نوع الورم النسيجي</w:t>
            </w:r>
          </w:p>
        </w:tc>
        <w:tc>
          <w:tcPr>
            <w:tcW w:type="dxa" w:w="3360"/>
            <w:vAlign w:val="center"/>
          </w:tcPr>
          <w:p>
            <w:pPr>
              <w:jc w:val="right"/>
              <w:bidi w:val="1"/>
            </w:pPr>
            <w:r/>
            <w:r>
              <w:rPr>
                <w:rFonts w:ascii="Arial" w:hAnsi="Arial" w:cs="Arial"/>
                <w:b w:val="0"/>
                <w:sz w:val="17"/>
              </w:rPr>
              <w:t>سياق سريري للتقرير</w:t>
            </w:r>
          </w:p>
        </w:tc>
      </w:tr>
      <w:tr>
        <w:tc>
          <w:tcPr>
            <w:tcW w:type="dxa" w:w="3360"/>
            <w:vAlign w:val="center"/>
          </w:tcPr>
          <w:p>
            <w:pPr>
              <w:jc w:val="right"/>
              <w:bidi w:val="1"/>
            </w:pPr>
            <w:r/>
            <w:r>
              <w:rPr>
                <w:rFonts w:ascii="Arial" w:hAnsi="Arial" w:cs="Arial"/>
                <w:b w:val="0"/>
                <w:sz w:val="17"/>
              </w:rPr>
              <w:t>Gene expression values</w:t>
            </w:r>
          </w:p>
        </w:tc>
        <w:tc>
          <w:tcPr>
            <w:tcW w:type="dxa" w:w="3360"/>
            <w:vAlign w:val="center"/>
          </w:tcPr>
          <w:p>
            <w:pPr>
              <w:jc w:val="right"/>
              <w:bidi w:val="1"/>
            </w:pPr>
            <w:r/>
            <w:r>
              <w:rPr>
                <w:rFonts w:ascii="Arial" w:hAnsi="Arial" w:cs="Arial"/>
                <w:b w:val="0"/>
                <w:sz w:val="17"/>
              </w:rPr>
              <w:t>قيم التعبير الجيني للجينات المتاحة</w:t>
            </w:r>
          </w:p>
        </w:tc>
        <w:tc>
          <w:tcPr>
            <w:tcW w:type="dxa" w:w="3360"/>
            <w:vAlign w:val="center"/>
          </w:tcPr>
          <w:p>
            <w:pPr>
              <w:jc w:val="right"/>
              <w:bidi w:val="1"/>
            </w:pPr>
            <w:r/>
            <w:r>
              <w:rPr>
                <w:rFonts w:ascii="Arial" w:hAnsi="Arial" w:cs="Arial"/>
                <w:b w:val="0"/>
                <w:sz w:val="17"/>
              </w:rPr>
              <w:t>تستخدم لتوقع subtype وأهم الجينات</w:t>
            </w:r>
          </w:p>
        </w:tc>
      </w:tr>
      <w:tr>
        <w:tc>
          <w:tcPr>
            <w:tcW w:type="dxa" w:w="3360"/>
            <w:vAlign w:val="center"/>
          </w:tcPr>
          <w:p>
            <w:pPr>
              <w:jc w:val="right"/>
              <w:bidi w:val="1"/>
            </w:pPr>
            <w:r/>
            <w:r>
              <w:rPr>
                <w:rFonts w:ascii="Arial" w:hAnsi="Arial" w:cs="Arial"/>
                <w:b w:val="0"/>
                <w:sz w:val="17"/>
              </w:rPr>
              <w:t>Patient ID / sample ID</w:t>
            </w:r>
          </w:p>
        </w:tc>
        <w:tc>
          <w:tcPr>
            <w:tcW w:type="dxa" w:w="3360"/>
            <w:vAlign w:val="center"/>
          </w:tcPr>
          <w:p>
            <w:pPr>
              <w:jc w:val="right"/>
              <w:bidi w:val="1"/>
            </w:pPr>
            <w:r/>
            <w:r>
              <w:rPr>
                <w:rFonts w:ascii="Arial" w:hAnsi="Arial" w:cs="Arial"/>
                <w:b w:val="0"/>
                <w:sz w:val="17"/>
              </w:rPr>
              <w:t>كود المريضة أو العينة</w:t>
            </w:r>
          </w:p>
        </w:tc>
        <w:tc>
          <w:tcPr>
            <w:tcW w:type="dxa" w:w="3360"/>
            <w:vAlign w:val="center"/>
          </w:tcPr>
          <w:p>
            <w:pPr>
              <w:jc w:val="right"/>
              <w:bidi w:val="1"/>
            </w:pPr>
            <w:r/>
            <w:r>
              <w:rPr>
                <w:rFonts w:ascii="Arial" w:hAnsi="Arial" w:cs="Arial"/>
                <w:b w:val="0"/>
                <w:sz w:val="17"/>
              </w:rPr>
              <w:t>للربط بالتقرير والمتابعة</w:t>
            </w:r>
          </w:p>
        </w:tc>
      </w:tr>
    </w:tbl>
    <w:p/>
    <w:p>
      <w:pPr>
        <w:jc w:val="right"/>
        <w:bidi w:val="1"/>
      </w:pPr>
      <w:r>
        <w:rPr>
          <w:rFonts w:ascii="Arial" w:hAnsi="Arial" w:cs="Arial"/>
          <w:b/>
          <w:color w:val="1F4D78"/>
          <w:sz w:val="30"/>
        </w:rPr>
        <w:t>12. Path 1: BCSC قبل التشخيص</w:t>
      </w:r>
    </w:p>
    <w:p>
      <w:pPr>
        <w:jc w:val="right"/>
        <w:bidi w:val="1"/>
      </w:pPr>
      <w:r>
        <w:rPr>
          <w:rFonts w:ascii="Arial" w:hAnsi="Arial" w:cs="Arial"/>
          <w:b w:val="0"/>
          <w:sz w:val="22"/>
        </w:rPr>
        <w:t>هذا المسار يستخدم عوامل خطورة قبل التشخيص لتقدير خطر الإصابة خلال سنة. المخرج المناسب للعميل ليس label فقط، بل risk percentage + risk tier + note قصيرة تساعد الطبيب في متابعة screening/prevention discussion.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pPr>
              <w:jc w:val="right"/>
              <w:bidi w:val="1"/>
            </w:pPr>
            <w:r/>
            <w:r>
              <w:rPr>
                <w:rFonts w:ascii="Arial" w:hAnsi="Arial" w:cs="Arial"/>
                <w:b/>
                <w:sz w:val="17"/>
              </w:rPr>
              <w:t>Age</w:t>
            </w:r>
          </w:p>
        </w:tc>
        <w:tc>
          <w:tcPr>
            <w:tcW w:type="dxa" w:w="1680"/>
            <w:vAlign w:val="center"/>
          </w:tcPr>
          <w:p>
            <w:pPr>
              <w:jc w:val="right"/>
              <w:bidi w:val="1"/>
            </w:pPr>
            <w:r/>
            <w:r>
              <w:rPr>
                <w:rFonts w:ascii="Arial" w:hAnsi="Arial" w:cs="Arial"/>
                <w:b/>
                <w:sz w:val="17"/>
              </w:rPr>
              <w:t>Density</w:t>
            </w:r>
          </w:p>
        </w:tc>
        <w:tc>
          <w:tcPr>
            <w:tcW w:type="dxa" w:w="1680"/>
            <w:vAlign w:val="center"/>
          </w:tcPr>
          <w:p>
            <w:pPr>
              <w:jc w:val="right"/>
              <w:bidi w:val="1"/>
            </w:pPr>
            <w:r/>
            <w:r>
              <w:rPr>
                <w:rFonts w:ascii="Arial" w:hAnsi="Arial" w:cs="Arial"/>
                <w:b/>
                <w:sz w:val="17"/>
              </w:rPr>
              <w:t>Family history</w:t>
            </w:r>
          </w:p>
        </w:tc>
        <w:tc>
          <w:tcPr>
            <w:tcW w:type="dxa" w:w="1680"/>
            <w:vAlign w:val="center"/>
          </w:tcPr>
          <w:p>
            <w:pPr>
              <w:jc w:val="right"/>
              <w:bidi w:val="1"/>
            </w:pPr>
            <w:r/>
            <w:r>
              <w:rPr>
                <w:rFonts w:ascii="Arial" w:hAnsi="Arial" w:cs="Arial"/>
                <w:b/>
                <w:sz w:val="17"/>
              </w:rPr>
              <w:t>Risk %</w:t>
            </w:r>
          </w:p>
        </w:tc>
        <w:tc>
          <w:tcPr>
            <w:tcW w:type="dxa" w:w="1680"/>
            <w:vAlign w:val="center"/>
          </w:tcPr>
          <w:p>
            <w:pPr>
              <w:jc w:val="right"/>
              <w:bidi w:val="1"/>
            </w:pPr>
            <w:r/>
            <w:r>
              <w:rPr>
                <w:rFonts w:ascii="Arial" w:hAnsi="Arial" w:cs="Arial"/>
                <w:b/>
                <w:sz w:val="17"/>
              </w:rPr>
              <w:t>Tier</w:t>
            </w:r>
          </w:p>
        </w:tc>
        <w:tc>
          <w:tcPr>
            <w:tcW w:type="dxa" w:w="1680"/>
            <w:vAlign w:val="center"/>
          </w:tcPr>
          <w:p>
            <w:pPr>
              <w:jc w:val="right"/>
              <w:bidi w:val="1"/>
            </w:pPr>
            <w:r/>
            <w:r>
              <w:rPr>
                <w:rFonts w:ascii="Arial" w:hAnsi="Arial" w:cs="Arial"/>
                <w:b/>
                <w:sz w:val="17"/>
              </w:rPr>
              <w:t>Suggested note</w:t>
            </w:r>
          </w:p>
        </w:tc>
      </w:tr>
      <w:tr>
        <w:tc>
          <w:tcPr>
            <w:tcW w:type="dxa" w:w="1680"/>
            <w:vAlign w:val="center"/>
          </w:tcPr>
          <w:p>
            <w:pPr>
              <w:jc w:val="right"/>
              <w:bidi w:val="1"/>
            </w:pPr>
            <w:r/>
            <w:r>
              <w:rPr>
                <w:rFonts w:ascii="Arial" w:hAnsi="Arial" w:cs="Arial"/>
                <w:b w:val="0"/>
                <w:sz w:val="17"/>
              </w:rPr>
              <w:t>40-44</w:t>
            </w:r>
          </w:p>
        </w:tc>
        <w:tc>
          <w:tcPr>
            <w:tcW w:type="dxa" w:w="1680"/>
            <w:vAlign w:val="center"/>
          </w:tcPr>
          <w:p>
            <w:pPr>
              <w:jc w:val="right"/>
              <w:bidi w:val="1"/>
            </w:pPr>
            <w:r/>
            <w:r>
              <w:rPr>
                <w:rFonts w:ascii="Arial" w:hAnsi="Arial" w:cs="Arial"/>
                <w:b w:val="0"/>
                <w:sz w:val="17"/>
              </w:rPr>
              <w:t>Almost entirely fat</w:t>
            </w:r>
          </w:p>
        </w:tc>
        <w:tc>
          <w:tcPr>
            <w:tcW w:type="dxa" w:w="1680"/>
            <w:vAlign w:val="center"/>
          </w:tcPr>
          <w:p>
            <w:pPr>
              <w:jc w:val="right"/>
              <w:bidi w:val="1"/>
            </w:pPr>
            <w:r/>
            <w:r>
              <w:rPr>
                <w:rFonts w:ascii="Arial" w:hAnsi="Arial" w:cs="Arial"/>
                <w:b w:val="0"/>
                <w:sz w:val="17"/>
              </w:rPr>
              <w:t>Unknown</w:t>
            </w:r>
          </w:p>
        </w:tc>
        <w:tc>
          <w:tcPr>
            <w:tcW w:type="dxa" w:w="1680"/>
            <w:vAlign w:val="center"/>
          </w:tcPr>
          <w:p>
            <w:pPr>
              <w:jc w:val="right"/>
              <w:bidi w:val="1"/>
            </w:pPr>
            <w:r/>
            <w:r>
              <w:rPr>
                <w:rFonts w:ascii="Arial" w:hAnsi="Arial" w:cs="Arial"/>
                <w:b w:val="0"/>
                <w:sz w:val="17"/>
              </w:rPr>
              <w:t>0.072%</w:t>
            </w:r>
          </w:p>
        </w:tc>
        <w:tc>
          <w:tcPr>
            <w:tcW w:type="dxa" w:w="1680"/>
            <w:vAlign w:val="center"/>
          </w:tcPr>
          <w:p>
            <w:pPr>
              <w:jc w:val="right"/>
              <w:bidi w:val="1"/>
            </w:pPr>
            <w:r/>
            <w:r>
              <w:rPr>
                <w:rFonts w:ascii="Arial" w:hAnsi="Arial" w:cs="Arial"/>
                <w:b w:val="0"/>
                <w:sz w:val="17"/>
              </w:rPr>
              <w:t>Low</w:t>
            </w:r>
          </w:p>
        </w:tc>
        <w:tc>
          <w:tcPr>
            <w:tcW w:type="dxa" w:w="1680"/>
            <w:vAlign w:val="center"/>
          </w:tcPr>
          <w:p>
            <w:pPr>
              <w:jc w:val="right"/>
              <w:bidi w:val="1"/>
            </w:pPr>
            <w:r/>
            <w:r>
              <w:rPr>
                <w:rFonts w:ascii="Arial" w:hAnsi="Arial" w:cs="Arial"/>
                <w:b w:val="0"/>
                <w:sz w:val="17"/>
              </w:rPr>
              <w:t>Routine screening discussion.</w:t>
            </w:r>
          </w:p>
        </w:tc>
      </w:tr>
      <w:tr>
        <w:tc>
          <w:tcPr>
            <w:tcW w:type="dxa" w:w="1680"/>
            <w:vAlign w:val="center"/>
          </w:tcPr>
          <w:p>
            <w:pPr>
              <w:jc w:val="right"/>
              <w:bidi w:val="1"/>
            </w:pPr>
            <w:r/>
            <w:r>
              <w:rPr>
                <w:rFonts w:ascii="Arial" w:hAnsi="Arial" w:cs="Arial"/>
                <w:b w:val="0"/>
                <w:sz w:val="17"/>
              </w:rPr>
              <w:t>75-79</w:t>
            </w:r>
          </w:p>
        </w:tc>
        <w:tc>
          <w:tcPr>
            <w:tcW w:type="dxa" w:w="1680"/>
            <w:vAlign w:val="center"/>
          </w:tcPr>
          <w:p>
            <w:pPr>
              <w:jc w:val="right"/>
              <w:bidi w:val="1"/>
            </w:pPr>
            <w:r/>
            <w:r>
              <w:rPr>
                <w:rFonts w:ascii="Arial" w:hAnsi="Arial" w:cs="Arial"/>
                <w:b w:val="0"/>
                <w:sz w:val="17"/>
              </w:rPr>
              <w:t>Scattered density</w:t>
            </w:r>
          </w:p>
        </w:tc>
        <w:tc>
          <w:tcPr>
            <w:tcW w:type="dxa" w:w="1680"/>
            <w:vAlign w:val="center"/>
          </w:tcPr>
          <w:p>
            <w:pPr>
              <w:jc w:val="right"/>
              <w:bidi w:val="1"/>
            </w:pPr>
            <w:r/>
            <w:r>
              <w:rPr>
                <w:rFonts w:ascii="Arial" w:hAnsi="Arial" w:cs="Arial"/>
                <w:b w:val="0"/>
                <w:sz w:val="17"/>
              </w:rPr>
              <w:t>0 first-degree relatives</w:t>
            </w:r>
          </w:p>
        </w:tc>
        <w:tc>
          <w:tcPr>
            <w:tcW w:type="dxa" w:w="1680"/>
            <w:vAlign w:val="center"/>
          </w:tcPr>
          <w:p>
            <w:pPr>
              <w:jc w:val="right"/>
              <w:bidi w:val="1"/>
            </w:pPr>
            <w:r/>
            <w:r>
              <w:rPr>
                <w:rFonts w:ascii="Arial" w:hAnsi="Arial" w:cs="Arial"/>
                <w:b w:val="0"/>
                <w:sz w:val="17"/>
              </w:rPr>
              <w:t>0.506%</w:t>
            </w:r>
          </w:p>
        </w:tc>
        <w:tc>
          <w:tcPr>
            <w:tcW w:type="dxa" w:w="1680"/>
            <w:vAlign w:val="center"/>
          </w:tcPr>
          <w:p>
            <w:pPr>
              <w:jc w:val="right"/>
              <w:bidi w:val="1"/>
            </w:pPr>
            <w:r/>
            <w:r>
              <w:rPr>
                <w:rFonts w:ascii="Arial" w:hAnsi="Arial" w:cs="Arial"/>
                <w:b w:val="0"/>
                <w:sz w:val="17"/>
              </w:rPr>
              <w:t>Intermediate</w:t>
            </w:r>
          </w:p>
        </w:tc>
        <w:tc>
          <w:tcPr>
            <w:tcW w:type="dxa" w:w="1680"/>
            <w:vAlign w:val="center"/>
          </w:tcPr>
          <w:p>
            <w:pPr>
              <w:jc w:val="right"/>
              <w:bidi w:val="1"/>
            </w:pPr>
            <w:r/>
            <w:r>
              <w:rPr>
                <w:rFonts w:ascii="Arial" w:hAnsi="Arial" w:cs="Arial"/>
                <w:b w:val="0"/>
                <w:sz w:val="17"/>
              </w:rPr>
              <w:t>Review modifiable risk factors and screening adherence.</w:t>
            </w:r>
          </w:p>
        </w:tc>
      </w:tr>
      <w:tr>
        <w:tc>
          <w:tcPr>
            <w:tcW w:type="dxa" w:w="1680"/>
            <w:vAlign w:val="center"/>
          </w:tcPr>
          <w:p>
            <w:pPr>
              <w:jc w:val="right"/>
              <w:bidi w:val="1"/>
            </w:pPr>
            <w:r/>
            <w:r>
              <w:rPr>
                <w:rFonts w:ascii="Arial" w:hAnsi="Arial" w:cs="Arial"/>
                <w:b w:val="0"/>
                <w:sz w:val="17"/>
              </w:rPr>
              <w:t>75-79</w:t>
            </w:r>
          </w:p>
        </w:tc>
        <w:tc>
          <w:tcPr>
            <w:tcW w:type="dxa" w:w="1680"/>
            <w:vAlign w:val="center"/>
          </w:tcPr>
          <w:p>
            <w:pPr>
              <w:jc w:val="right"/>
              <w:bidi w:val="1"/>
            </w:pPr>
            <w:r/>
            <w:r>
              <w:rPr>
                <w:rFonts w:ascii="Arial" w:hAnsi="Arial" w:cs="Arial"/>
                <w:b w:val="0"/>
                <w:sz w:val="17"/>
              </w:rPr>
              <w:t>Heterogeneously dense</w:t>
            </w:r>
          </w:p>
        </w:tc>
        <w:tc>
          <w:tcPr>
            <w:tcW w:type="dxa" w:w="1680"/>
            <w:vAlign w:val="center"/>
          </w:tcPr>
          <w:p>
            <w:pPr>
              <w:jc w:val="right"/>
              <w:bidi w:val="1"/>
            </w:pPr>
            <w:r/>
            <w:r>
              <w:rPr>
                <w:rFonts w:ascii="Arial" w:hAnsi="Arial" w:cs="Arial"/>
                <w:b w:val="0"/>
                <w:sz w:val="17"/>
              </w:rPr>
              <w:t>2+ first-degree relatives</w:t>
            </w:r>
          </w:p>
        </w:tc>
        <w:tc>
          <w:tcPr>
            <w:tcW w:type="dxa" w:w="1680"/>
            <w:vAlign w:val="center"/>
          </w:tcPr>
          <w:p>
            <w:pPr>
              <w:jc w:val="right"/>
              <w:bidi w:val="1"/>
            </w:pPr>
            <w:r/>
            <w:r>
              <w:rPr>
                <w:rFonts w:ascii="Arial" w:hAnsi="Arial" w:cs="Arial"/>
                <w:b w:val="0"/>
                <w:sz w:val="17"/>
              </w:rPr>
              <w:t>3.521%</w:t>
            </w:r>
          </w:p>
        </w:tc>
        <w:tc>
          <w:tcPr>
            <w:tcW w:type="dxa" w:w="1680"/>
            <w:vAlign w:val="center"/>
          </w:tcPr>
          <w:p>
            <w:pPr>
              <w:jc w:val="right"/>
              <w:bidi w:val="1"/>
            </w:pPr>
            <w:r/>
            <w:r>
              <w:rPr>
                <w:rFonts w:ascii="Arial" w:hAnsi="Arial" w:cs="Arial"/>
                <w:b w:val="0"/>
                <w:sz w:val="17"/>
              </w:rPr>
              <w:t>High</w:t>
            </w:r>
          </w:p>
        </w:tc>
        <w:tc>
          <w:tcPr>
            <w:tcW w:type="dxa" w:w="1680"/>
            <w:vAlign w:val="center"/>
          </w:tcPr>
          <w:p>
            <w:pPr>
              <w:jc w:val="right"/>
              <w:bidi w:val="1"/>
            </w:pPr>
            <w:r/>
            <w:r>
              <w:rPr>
                <w:rFonts w:ascii="Arial" w:hAnsi="Arial" w:cs="Arial"/>
                <w:b w:val="0"/>
                <w:sz w:val="17"/>
              </w:rPr>
              <w:t>Consider closer risk review and clinician-led prevention discussion.</w:t>
            </w:r>
          </w:p>
        </w:tc>
      </w:tr>
    </w:tbl>
    <w:p/>
    <w:p>
      <w:pPr>
        <w:jc w:val="center"/>
      </w:pPr>
      <w:r>
        <w:drawing>
          <wp:inline xmlns:a="http://schemas.openxmlformats.org/drawingml/2006/main" xmlns:pic="http://schemas.openxmlformats.org/drawingml/2006/picture">
            <wp:extent cx="5029200" cy="3451840"/>
            <wp:docPr id="8" name="Picture 8"/>
            <wp:cNvGraphicFramePr>
              <a:graphicFrameLocks noChangeAspect="1"/>
            </wp:cNvGraphicFramePr>
            <a:graphic>
              <a:graphicData uri="http://schemas.openxmlformats.org/drawingml/2006/picture">
                <pic:pic>
                  <pic:nvPicPr>
                    <pic:cNvPr id="0" name="path1_bcsc_roc_curve.png"/>
                    <pic:cNvPicPr/>
                  </pic:nvPicPr>
                  <pic:blipFill>
                    <a:blip r:embed="rId16"/>
                    <a:stretch>
                      <a:fillRect/>
                    </a:stretch>
                  </pic:blipFill>
                  <pic:spPr>
                    <a:xfrm>
                      <a:off x="0" y="0"/>
                      <a:ext cx="5029200" cy="3451840"/>
                    </a:xfrm>
                    <a:prstGeom prst="rect"/>
                  </pic:spPr>
                </pic:pic>
              </a:graphicData>
            </a:graphic>
          </wp:inline>
        </w:drawing>
      </w:r>
    </w:p>
    <w:p>
      <w:pPr>
        <w:jc w:val="right"/>
        <w:bidi w:val="1"/>
      </w:pPr>
      <w:r>
        <w:rPr>
          <w:rFonts w:ascii="Arial" w:hAnsi="Arial" w:cs="Arial"/>
          <w:b w:val="0"/>
          <w:sz w:val="18"/>
        </w:rPr>
        <w:t>شكل 8: ROC curve لمسار BCSC.</w:t>
      </w:r>
    </w:p>
    <w:p>
      <w:pPr>
        <w:jc w:val="center"/>
      </w:pPr>
      <w:r>
        <w:drawing>
          <wp:inline xmlns:a="http://schemas.openxmlformats.org/drawingml/2006/main" xmlns:pic="http://schemas.openxmlformats.org/drawingml/2006/picture">
            <wp:extent cx="5029200" cy="3454842"/>
            <wp:docPr id="9" name="Picture 9"/>
            <wp:cNvGraphicFramePr>
              <a:graphicFrameLocks noChangeAspect="1"/>
            </wp:cNvGraphicFramePr>
            <a:graphic>
              <a:graphicData uri="http://schemas.openxmlformats.org/drawingml/2006/picture">
                <pic:pic>
                  <pic:nvPicPr>
                    <pic:cNvPr id="0" name="path1_bcsc_risk_distribution.png"/>
                    <pic:cNvPicPr/>
                  </pic:nvPicPr>
                  <pic:blipFill>
                    <a:blip r:embed="rId17"/>
                    <a:stretch>
                      <a:fillRect/>
                    </a:stretch>
                  </pic:blipFill>
                  <pic:spPr>
                    <a:xfrm>
                      <a:off x="0" y="0"/>
                      <a:ext cx="5029200" cy="3454842"/>
                    </a:xfrm>
                    <a:prstGeom prst="rect"/>
                  </pic:spPr>
                </pic:pic>
              </a:graphicData>
            </a:graphic>
          </wp:inline>
        </w:drawing>
      </w:r>
    </w:p>
    <w:p>
      <w:pPr>
        <w:jc w:val="right"/>
        <w:bidi w:val="1"/>
      </w:pPr>
      <w:r>
        <w:rPr>
          <w:rFonts w:ascii="Arial" w:hAnsi="Arial" w:cs="Arial"/>
          <w:b w:val="0"/>
          <w:sz w:val="18"/>
        </w:rPr>
        <w:t>شكل 9: توزيع نسب الخطورة المتوقعة في validation data لمسار BCSC.</w:t>
      </w:r>
    </w:p>
    <w:p>
      <w:pPr>
        <w:jc w:val="right"/>
        <w:bidi w:val="1"/>
      </w:pPr>
      <w:r>
        <w:rPr>
          <w:rFonts w:ascii="Arial" w:hAnsi="Arial" w:cs="Arial"/>
          <w:b/>
          <w:color w:val="1F4D78"/>
          <w:sz w:val="30"/>
        </w:rPr>
        <w:t>13. Path 2: METABRIC بعد التشخيص</w:t>
      </w:r>
    </w:p>
    <w:p>
      <w:pPr>
        <w:jc w:val="right"/>
        <w:bidi w:val="1"/>
      </w:pPr>
      <w:r>
        <w:rPr>
          <w:rFonts w:ascii="Arial" w:hAnsi="Arial" w:cs="Arial"/>
          <w:b w:val="0"/>
          <w:sz w:val="22"/>
        </w:rPr>
        <w:t>هذا المسار يبدأ بعد وجود تشخيص. المخرج يعرض subtype، confidence، خطر الوفاة/الارتجاع خلال 5 سنوات، مع doctor-support notes مبنية على subtype والـ clinical risk features.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pPr>
              <w:jc w:val="right"/>
              <w:bidi w:val="1"/>
            </w:pPr>
            <w:r/>
            <w:r>
              <w:rPr>
                <w:rFonts w:ascii="Arial" w:hAnsi="Arial" w:cs="Arial"/>
                <w:b/>
                <w:sz w:val="17"/>
              </w:rPr>
              <w:t>Patient</w:t>
            </w:r>
          </w:p>
        </w:tc>
        <w:tc>
          <w:tcPr>
            <w:tcW w:type="dxa" w:w="2016"/>
            <w:vAlign w:val="center"/>
          </w:tcPr>
          <w:p>
            <w:pPr>
              <w:jc w:val="right"/>
              <w:bidi w:val="1"/>
            </w:pPr>
            <w:r/>
            <w:r>
              <w:rPr>
                <w:rFonts w:ascii="Arial" w:hAnsi="Arial" w:cs="Arial"/>
                <w:b/>
                <w:sz w:val="17"/>
              </w:rPr>
              <w:t>Subtype</w:t>
            </w:r>
          </w:p>
        </w:tc>
        <w:tc>
          <w:tcPr>
            <w:tcW w:type="dxa" w:w="2016"/>
            <w:vAlign w:val="center"/>
          </w:tcPr>
          <w:p>
            <w:pPr>
              <w:jc w:val="right"/>
              <w:bidi w:val="1"/>
            </w:pPr>
            <w:r/>
            <w:r>
              <w:rPr>
                <w:rFonts w:ascii="Arial" w:hAnsi="Arial" w:cs="Arial"/>
                <w:b/>
                <w:sz w:val="17"/>
              </w:rPr>
              <w:t>Confidence</w:t>
            </w:r>
          </w:p>
        </w:tc>
        <w:tc>
          <w:tcPr>
            <w:tcW w:type="dxa" w:w="2016"/>
            <w:vAlign w:val="center"/>
          </w:tcPr>
          <w:p>
            <w:pPr>
              <w:jc w:val="right"/>
              <w:bidi w:val="1"/>
            </w:pPr>
            <w:r/>
            <w:r>
              <w:rPr>
                <w:rFonts w:ascii="Arial" w:hAnsi="Arial" w:cs="Arial"/>
                <w:b/>
                <w:sz w:val="17"/>
              </w:rPr>
              <w:t>Survival risk</w:t>
            </w:r>
          </w:p>
        </w:tc>
        <w:tc>
          <w:tcPr>
            <w:tcW w:type="dxa" w:w="2016"/>
            <w:vAlign w:val="center"/>
          </w:tcPr>
          <w:p>
            <w:pPr>
              <w:jc w:val="right"/>
              <w:bidi w:val="1"/>
            </w:pPr>
            <w:r/>
            <w:r>
              <w:rPr>
                <w:rFonts w:ascii="Arial" w:hAnsi="Arial" w:cs="Arial"/>
                <w:b/>
                <w:sz w:val="17"/>
              </w:rPr>
              <w:t>Recurrence risk</w:t>
            </w:r>
          </w:p>
        </w:tc>
      </w:tr>
      <w:tr>
        <w:tc>
          <w:tcPr>
            <w:tcW w:type="dxa" w:w="2016"/>
            <w:vAlign w:val="center"/>
          </w:tcPr>
          <w:p>
            <w:pPr>
              <w:jc w:val="right"/>
              <w:bidi w:val="1"/>
            </w:pPr>
            <w:r/>
            <w:r>
              <w:rPr>
                <w:rFonts w:ascii="Arial" w:hAnsi="Arial" w:cs="Arial"/>
                <w:b w:val="0"/>
                <w:sz w:val="17"/>
              </w:rPr>
              <w:t>MB-4993</w:t>
            </w:r>
          </w:p>
        </w:tc>
        <w:tc>
          <w:tcPr>
            <w:tcW w:type="dxa" w:w="2016"/>
            <w:vAlign w:val="center"/>
          </w:tcPr>
          <w:p>
            <w:pPr>
              <w:jc w:val="right"/>
              <w:bidi w:val="1"/>
            </w:pPr>
            <w:r/>
            <w:r>
              <w:rPr>
                <w:rFonts w:ascii="Arial" w:hAnsi="Arial" w:cs="Arial"/>
                <w:b w:val="0"/>
                <w:sz w:val="17"/>
              </w:rPr>
              <w:t>Her2</w:t>
            </w:r>
          </w:p>
        </w:tc>
        <w:tc>
          <w:tcPr>
            <w:tcW w:type="dxa" w:w="2016"/>
            <w:vAlign w:val="center"/>
          </w:tcPr>
          <w:p>
            <w:pPr>
              <w:jc w:val="right"/>
              <w:bidi w:val="1"/>
            </w:pPr>
            <w:r/>
            <w:r>
              <w:rPr>
                <w:rFonts w:ascii="Arial" w:hAnsi="Arial" w:cs="Arial"/>
                <w:b w:val="0"/>
                <w:sz w:val="17"/>
              </w:rPr>
              <w:t>96.2%</w:t>
            </w:r>
          </w:p>
        </w:tc>
        <w:tc>
          <w:tcPr>
            <w:tcW w:type="dxa" w:w="2016"/>
            <w:vAlign w:val="center"/>
          </w:tcPr>
          <w:p>
            <w:pPr>
              <w:jc w:val="right"/>
              <w:bidi w:val="1"/>
            </w:pPr>
            <w:r/>
            <w:r>
              <w:rPr>
                <w:rFonts w:ascii="Arial" w:hAnsi="Arial" w:cs="Arial"/>
                <w:b w:val="0"/>
                <w:sz w:val="17"/>
              </w:rPr>
              <w:t>66.2% / High</w:t>
            </w:r>
          </w:p>
        </w:tc>
        <w:tc>
          <w:tcPr>
            <w:tcW w:type="dxa" w:w="2016"/>
            <w:vAlign w:val="center"/>
          </w:tcPr>
          <w:p>
            <w:pPr>
              <w:jc w:val="right"/>
              <w:bidi w:val="1"/>
            </w:pPr>
            <w:r/>
            <w:r>
              <w:rPr>
                <w:rFonts w:ascii="Arial" w:hAnsi="Arial" w:cs="Arial"/>
                <w:b w:val="0"/>
                <w:sz w:val="17"/>
              </w:rPr>
              <w:t>85.8% / High</w:t>
            </w:r>
          </w:p>
        </w:tc>
      </w:tr>
      <w:tr>
        <w:tc>
          <w:tcPr>
            <w:tcW w:type="dxa" w:w="2016"/>
            <w:vAlign w:val="center"/>
          </w:tcPr>
          <w:p>
            <w:pPr>
              <w:jc w:val="right"/>
              <w:bidi w:val="1"/>
            </w:pPr>
            <w:r/>
            <w:r>
              <w:rPr>
                <w:rFonts w:ascii="Arial" w:hAnsi="Arial" w:cs="Arial"/>
                <w:b w:val="0"/>
                <w:sz w:val="17"/>
              </w:rPr>
              <w:t>MB-5166</w:t>
            </w:r>
          </w:p>
        </w:tc>
        <w:tc>
          <w:tcPr>
            <w:tcW w:type="dxa" w:w="2016"/>
            <w:vAlign w:val="center"/>
          </w:tcPr>
          <w:p>
            <w:pPr>
              <w:jc w:val="right"/>
              <w:bidi w:val="1"/>
            </w:pPr>
            <w:r/>
            <w:r>
              <w:rPr>
                <w:rFonts w:ascii="Arial" w:hAnsi="Arial" w:cs="Arial"/>
                <w:b w:val="0"/>
                <w:sz w:val="17"/>
              </w:rPr>
              <w:t>LumB</w:t>
            </w:r>
          </w:p>
        </w:tc>
        <w:tc>
          <w:tcPr>
            <w:tcW w:type="dxa" w:w="2016"/>
            <w:vAlign w:val="center"/>
          </w:tcPr>
          <w:p>
            <w:pPr>
              <w:jc w:val="right"/>
              <w:bidi w:val="1"/>
            </w:pPr>
            <w:r/>
            <w:r>
              <w:rPr>
                <w:rFonts w:ascii="Arial" w:hAnsi="Arial" w:cs="Arial"/>
                <w:b w:val="0"/>
                <w:sz w:val="17"/>
              </w:rPr>
              <w:t>90.7%</w:t>
            </w:r>
          </w:p>
        </w:tc>
        <w:tc>
          <w:tcPr>
            <w:tcW w:type="dxa" w:w="2016"/>
            <w:vAlign w:val="center"/>
          </w:tcPr>
          <w:p>
            <w:pPr>
              <w:jc w:val="right"/>
              <w:bidi w:val="1"/>
            </w:pPr>
            <w:r/>
            <w:r>
              <w:rPr>
                <w:rFonts w:ascii="Arial" w:hAnsi="Arial" w:cs="Arial"/>
                <w:b w:val="0"/>
                <w:sz w:val="17"/>
              </w:rPr>
              <w:t>86.2% / High</w:t>
            </w:r>
          </w:p>
        </w:tc>
        <w:tc>
          <w:tcPr>
            <w:tcW w:type="dxa" w:w="2016"/>
            <w:vAlign w:val="center"/>
          </w:tcPr>
          <w:p>
            <w:pPr>
              <w:jc w:val="right"/>
              <w:bidi w:val="1"/>
            </w:pPr>
            <w:r/>
            <w:r>
              <w:rPr>
                <w:rFonts w:ascii="Arial" w:hAnsi="Arial" w:cs="Arial"/>
                <w:b w:val="0"/>
                <w:sz w:val="17"/>
              </w:rPr>
              <w:t>83.9% / High</w:t>
            </w:r>
          </w:p>
        </w:tc>
      </w:tr>
      <w:tr>
        <w:tc>
          <w:tcPr>
            <w:tcW w:type="dxa" w:w="2016"/>
            <w:vAlign w:val="center"/>
          </w:tcPr>
          <w:p>
            <w:pPr>
              <w:jc w:val="right"/>
              <w:bidi w:val="1"/>
            </w:pPr>
            <w:r/>
            <w:r>
              <w:rPr>
                <w:rFonts w:ascii="Arial" w:hAnsi="Arial" w:cs="Arial"/>
                <w:b w:val="0"/>
                <w:sz w:val="17"/>
              </w:rPr>
              <w:t>MB-7137</w:t>
            </w:r>
          </w:p>
        </w:tc>
        <w:tc>
          <w:tcPr>
            <w:tcW w:type="dxa" w:w="2016"/>
            <w:vAlign w:val="center"/>
          </w:tcPr>
          <w:p>
            <w:pPr>
              <w:jc w:val="right"/>
              <w:bidi w:val="1"/>
            </w:pPr>
            <w:r/>
            <w:r>
              <w:rPr>
                <w:rFonts w:ascii="Arial" w:hAnsi="Arial" w:cs="Arial"/>
                <w:b w:val="0"/>
                <w:sz w:val="17"/>
              </w:rPr>
              <w:t>LumA</w:t>
            </w:r>
          </w:p>
        </w:tc>
        <w:tc>
          <w:tcPr>
            <w:tcW w:type="dxa" w:w="2016"/>
            <w:vAlign w:val="center"/>
          </w:tcPr>
          <w:p>
            <w:pPr>
              <w:jc w:val="right"/>
              <w:bidi w:val="1"/>
            </w:pPr>
            <w:r/>
            <w:r>
              <w:rPr>
                <w:rFonts w:ascii="Arial" w:hAnsi="Arial" w:cs="Arial"/>
                <w:b w:val="0"/>
                <w:sz w:val="17"/>
              </w:rPr>
              <w:t>96.8%</w:t>
            </w:r>
          </w:p>
        </w:tc>
        <w:tc>
          <w:tcPr>
            <w:tcW w:type="dxa" w:w="2016"/>
            <w:vAlign w:val="center"/>
          </w:tcPr>
          <w:p>
            <w:pPr>
              <w:jc w:val="right"/>
              <w:bidi w:val="1"/>
            </w:pPr>
            <w:r/>
            <w:r>
              <w:rPr>
                <w:rFonts w:ascii="Arial" w:hAnsi="Arial" w:cs="Arial"/>
                <w:b w:val="0"/>
                <w:sz w:val="17"/>
              </w:rPr>
              <w:t>39.6% / Low</w:t>
            </w:r>
          </w:p>
        </w:tc>
        <w:tc>
          <w:tcPr>
            <w:tcW w:type="dxa" w:w="2016"/>
            <w:vAlign w:val="center"/>
          </w:tcPr>
          <w:p>
            <w:pPr>
              <w:jc w:val="right"/>
              <w:bidi w:val="1"/>
            </w:pPr>
            <w:r/>
            <w:r>
              <w:rPr>
                <w:rFonts w:ascii="Arial" w:hAnsi="Arial" w:cs="Arial"/>
                <w:b w:val="0"/>
                <w:sz w:val="17"/>
              </w:rPr>
              <w:t>10.5% / Low</w:t>
            </w:r>
          </w:p>
        </w:tc>
      </w:tr>
    </w:tbl>
    <w:p/>
    <w:p>
      <w:pPr>
        <w:jc w:val="right"/>
        <w:bidi w:val="1"/>
      </w:pPr>
      <w:r>
        <w:rPr>
          <w:rFonts w:ascii="Arial" w:hAnsi="Arial" w:cs="Arial"/>
          <w:b/>
          <w:sz w:val="22"/>
        </w:rPr>
        <w:t>Patient MB-4993 - doctor-support notes:</w:t>
      </w:r>
    </w:p>
    <w:p>
      <w:pPr>
        <w:jc w:val="right"/>
        <w:bidi w:val="1"/>
      </w:pPr>
      <w:r>
        <w:rPr>
          <w:rFonts w:ascii="Arial" w:hAnsi="Arial" w:cs="Arial"/>
          <w:b w:val="0"/>
          <w:sz w:val="22"/>
        </w:rPr>
        <w:t>Confirm HER2 with pathology/IHC/FISH; discuss anti-HER2 regimen if clinically positive. | Treat as possible triple-negative/basal-like case until confirmed; discuss chemotherapy, immunotherapy eligibility, and BRCA testing. | High predicted recurrence risk: discuss adjuvant escalation, closer follow-up, and clinical trial eligibility. | High predicted survival-event risk: review stage, nodes, comorbidities, and multidisciplinary treatment intensity. | Node-positive disease: verify nodal stage and discuss systemic therapy/radiotherapy implications. | Grade 3 tumor: consider this a high-risk clinical feature in treatment planning. | Large tumor size: review local control plan and neoadjuvant/adjuvant strategy.</w:t>
      </w:r>
    </w:p>
    <w:p>
      <w:pPr>
        <w:jc w:val="right"/>
        <w:bidi w:val="1"/>
      </w:pPr>
      <w:r>
        <w:rPr>
          <w:rFonts w:ascii="Arial" w:hAnsi="Arial" w:cs="Arial"/>
          <w:b/>
          <w:sz w:val="22"/>
        </w:rPr>
        <w:t>Patient MB-5166 - doctor-support notes:</w:t>
      </w:r>
    </w:p>
    <w:p>
      <w:pPr>
        <w:jc w:val="right"/>
        <w:bidi w:val="1"/>
      </w:pPr>
      <w:r>
        <w:rPr>
          <w:rFonts w:ascii="Arial" w:hAnsi="Arial" w:cs="Arial"/>
          <w:b w:val="0"/>
          <w:sz w:val="22"/>
        </w:rPr>
        <w:t>Discuss endocrine therapy suitability; check menopausal status and contraindications. | Confirm HER2 with pathology/IHC/FISH; discuss anti-HER2 regimen if clinically positive. | High predicted recurrence risk: discuss adjuvant escalation, closer follow-up, and clinical trial eligibility. | High predicted survival-event risk: review stage, nodes, comorbidities, and multidisciplinary treatment intensity. | Node-positive disease: verify nodal stage and discuss systemic therapy/radiotherapy implications. | Grade 3 tumor: consider this a high-risk clinical feature in treatment planning.</w:t>
      </w:r>
    </w:p>
    <w:p>
      <w:pPr>
        <w:jc w:val="center"/>
      </w:pPr>
      <w:r>
        <w:drawing>
          <wp:inline xmlns:a="http://schemas.openxmlformats.org/drawingml/2006/main" xmlns:pic="http://schemas.openxmlformats.org/drawingml/2006/picture">
            <wp:extent cx="5303520" cy="4774511"/>
            <wp:docPr id="10" name="Picture 10"/>
            <wp:cNvGraphicFramePr>
              <a:graphicFrameLocks noChangeAspect="1"/>
            </wp:cNvGraphicFramePr>
            <a:graphic>
              <a:graphicData uri="http://schemas.openxmlformats.org/drawingml/2006/picture">
                <pic:pic>
                  <pic:nvPicPr>
                    <pic:cNvPr id="0" name="path2_correlation_matrix.png"/>
                    <pic:cNvPicPr/>
                  </pic:nvPicPr>
                  <pic:blipFill>
                    <a:blip r:embed="rId18"/>
                    <a:stretch>
                      <a:fillRect/>
                    </a:stretch>
                  </pic:blipFill>
                  <pic:spPr>
                    <a:xfrm>
                      <a:off x="0" y="0"/>
                      <a:ext cx="5303520" cy="4774511"/>
                    </a:xfrm>
                    <a:prstGeom prst="rect"/>
                  </pic:spPr>
                </pic:pic>
              </a:graphicData>
            </a:graphic>
          </wp:inline>
        </w:drawing>
      </w:r>
    </w:p>
    <w:p>
      <w:pPr>
        <w:jc w:val="right"/>
        <w:bidi w:val="1"/>
      </w:pPr>
      <w:r>
        <w:rPr>
          <w:rFonts w:ascii="Arial" w:hAnsi="Arial" w:cs="Arial"/>
          <w:b w:val="0"/>
          <w:sz w:val="18"/>
        </w:rPr>
        <w:t>شكل 10: correlation matrix لأهم الجينات والعوامل السريرية.</w:t>
      </w:r>
    </w:p>
    <w:p>
      <w:pPr>
        <w:jc w:val="right"/>
        <w:bidi w:val="1"/>
      </w:pPr>
      <w:r>
        <w:rPr>
          <w:rFonts w:ascii="Arial" w:hAnsi="Arial" w:cs="Arial"/>
          <w:b/>
          <w:color w:val="1F4D78"/>
          <w:sz w:val="30"/>
        </w:rPr>
        <w:t>14. شكل الـ output النهائي</w:t>
      </w:r>
    </w:p>
    <w:p>
      <w:pPr>
        <w:jc w:val="right"/>
        <w:bidi w:val="1"/>
      </w:pPr>
      <w:r>
        <w:rPr>
          <w:rFonts w:ascii="Arial" w:hAnsi="Arial" w:cs="Arial"/>
          <w:b w:val="0"/>
          <w:sz w:val="22"/>
        </w:rPr>
        <w:t>عند إدخال بيانات مريضة، التقرير النهائي لا يظهر أرقام خام فقط، لكنه يظهر risk score، risk tier، subtype، confidence، recurrence/survival risk، وملاحظات مساعدة للطبيب.</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right"/>
              <w:bidi w:val="1"/>
            </w:pPr>
            <w:r/>
            <w:r>
              <w:rPr>
                <w:rFonts w:ascii="Arial" w:hAnsi="Arial" w:cs="Arial"/>
                <w:b/>
                <w:sz w:val="17"/>
              </w:rPr>
              <w:t>Scenario</w:t>
            </w:r>
          </w:p>
        </w:tc>
        <w:tc>
          <w:tcPr>
            <w:tcW w:type="dxa" w:w="3360"/>
            <w:vAlign w:val="center"/>
          </w:tcPr>
          <w:p>
            <w:pPr>
              <w:jc w:val="right"/>
              <w:bidi w:val="1"/>
            </w:pPr>
            <w:r/>
            <w:r>
              <w:rPr>
                <w:rFonts w:ascii="Arial" w:hAnsi="Arial" w:cs="Arial"/>
                <w:b/>
                <w:sz w:val="17"/>
              </w:rPr>
              <w:t>Output field</w:t>
            </w:r>
          </w:p>
        </w:tc>
        <w:tc>
          <w:tcPr>
            <w:tcW w:type="dxa" w:w="3360"/>
            <w:vAlign w:val="center"/>
          </w:tcPr>
          <w:p>
            <w:pPr>
              <w:jc w:val="right"/>
              <w:bidi w:val="1"/>
            </w:pPr>
            <w:r/>
            <w:r>
              <w:rPr>
                <w:rFonts w:ascii="Arial" w:hAnsi="Arial" w:cs="Arial"/>
                <w:b/>
                <w:sz w:val="17"/>
              </w:rPr>
              <w:t>Example value</w:t>
            </w:r>
          </w:p>
        </w:tc>
      </w:tr>
      <w:tr>
        <w:tc>
          <w:tcPr>
            <w:tcW w:type="dxa" w:w="3360"/>
            <w:vAlign w:val="center"/>
          </w:tcPr>
          <w:p>
            <w:pPr>
              <w:jc w:val="right"/>
              <w:bidi w:val="1"/>
            </w:pPr>
            <w:r/>
            <w:r>
              <w:rPr>
                <w:rFonts w:ascii="Arial" w:hAnsi="Arial" w:cs="Arial"/>
                <w:b w:val="0"/>
                <w:sz w:val="17"/>
              </w:rPr>
              <w:t>Before diagnosis - BCSC</w:t>
            </w:r>
          </w:p>
        </w:tc>
        <w:tc>
          <w:tcPr>
            <w:tcW w:type="dxa" w:w="3360"/>
            <w:vAlign w:val="center"/>
          </w:tcPr>
          <w:p>
            <w:pPr>
              <w:jc w:val="right"/>
              <w:bidi w:val="1"/>
            </w:pPr>
            <w:r/>
            <w:r>
              <w:rPr>
                <w:rFonts w:ascii="Arial" w:hAnsi="Arial" w:cs="Arial"/>
                <w:b w:val="0"/>
                <w:sz w:val="17"/>
              </w:rPr>
              <w:t>Predicted 1-year risk</w:t>
            </w:r>
          </w:p>
        </w:tc>
        <w:tc>
          <w:tcPr>
            <w:tcW w:type="dxa" w:w="3360"/>
            <w:vAlign w:val="center"/>
          </w:tcPr>
          <w:p>
            <w:pPr>
              <w:jc w:val="right"/>
              <w:bidi w:val="1"/>
            </w:pPr>
            <w:r/>
            <w:r>
              <w:rPr>
                <w:rFonts w:ascii="Arial" w:hAnsi="Arial" w:cs="Arial"/>
                <w:b w:val="0"/>
                <w:sz w:val="17"/>
              </w:rPr>
              <w:t>3.521%</w:t>
            </w:r>
          </w:p>
        </w:tc>
      </w:tr>
      <w:tr>
        <w:tc>
          <w:tcPr>
            <w:tcW w:type="dxa" w:w="3360"/>
            <w:vAlign w:val="center"/>
          </w:tcPr>
          <w:p>
            <w:pPr>
              <w:jc w:val="right"/>
              <w:bidi w:val="1"/>
            </w:pPr>
            <w:r/>
            <w:r>
              <w:rPr>
                <w:rFonts w:ascii="Arial" w:hAnsi="Arial" w:cs="Arial"/>
                <w:b w:val="0"/>
                <w:sz w:val="17"/>
              </w:rPr>
              <w:t>Before diagnosis - BCSC</w:t>
            </w:r>
          </w:p>
        </w:tc>
        <w:tc>
          <w:tcPr>
            <w:tcW w:type="dxa" w:w="3360"/>
            <w:vAlign w:val="center"/>
          </w:tcPr>
          <w:p>
            <w:pPr>
              <w:jc w:val="right"/>
              <w:bidi w:val="1"/>
            </w:pPr>
            <w:r/>
            <w:r>
              <w:rPr>
                <w:rFonts w:ascii="Arial" w:hAnsi="Arial" w:cs="Arial"/>
                <w:b w:val="0"/>
                <w:sz w:val="17"/>
              </w:rPr>
              <w:t>Risk tier</w:t>
            </w:r>
          </w:p>
        </w:tc>
        <w:tc>
          <w:tcPr>
            <w:tcW w:type="dxa" w:w="3360"/>
            <w:vAlign w:val="center"/>
          </w:tcPr>
          <w:p>
            <w:pPr>
              <w:jc w:val="right"/>
              <w:bidi w:val="1"/>
            </w:pPr>
            <w:r/>
            <w:r>
              <w:rPr>
                <w:rFonts w:ascii="Arial" w:hAnsi="Arial" w:cs="Arial"/>
                <w:b w:val="0"/>
                <w:sz w:val="17"/>
              </w:rPr>
              <w:t>High</w:t>
            </w:r>
          </w:p>
        </w:tc>
      </w:tr>
      <w:tr>
        <w:tc>
          <w:tcPr>
            <w:tcW w:type="dxa" w:w="3360"/>
            <w:vAlign w:val="center"/>
          </w:tcPr>
          <w:p>
            <w:pPr>
              <w:jc w:val="right"/>
              <w:bidi w:val="1"/>
            </w:pPr>
            <w:r/>
            <w:r>
              <w:rPr>
                <w:rFonts w:ascii="Arial" w:hAnsi="Arial" w:cs="Arial"/>
                <w:b w:val="0"/>
                <w:sz w:val="17"/>
              </w:rPr>
              <w:t>Before diagnosis - BCSC</w:t>
            </w:r>
          </w:p>
        </w:tc>
        <w:tc>
          <w:tcPr>
            <w:tcW w:type="dxa" w:w="3360"/>
            <w:vAlign w:val="center"/>
          </w:tcPr>
          <w:p>
            <w:pPr>
              <w:jc w:val="right"/>
              <w:bidi w:val="1"/>
            </w:pPr>
            <w:r/>
            <w:r>
              <w:rPr>
                <w:rFonts w:ascii="Arial" w:hAnsi="Arial" w:cs="Arial"/>
                <w:b w:val="0"/>
                <w:sz w:val="17"/>
              </w:rPr>
              <w:t>Clinical note</w:t>
            </w:r>
          </w:p>
        </w:tc>
        <w:tc>
          <w:tcPr>
            <w:tcW w:type="dxa" w:w="3360"/>
            <w:vAlign w:val="center"/>
          </w:tcPr>
          <w:p>
            <w:pPr>
              <w:jc w:val="right"/>
              <w:bidi w:val="1"/>
            </w:pPr>
            <w:r/>
            <w:r>
              <w:rPr>
                <w:rFonts w:ascii="Arial" w:hAnsi="Arial" w:cs="Arial"/>
                <w:b w:val="0"/>
                <w:sz w:val="17"/>
              </w:rPr>
              <w:t>Consider closer risk review and clinician-led prevention discussion.</w:t>
            </w:r>
          </w:p>
        </w:tc>
      </w:tr>
      <w:tr>
        <w:tc>
          <w:tcPr>
            <w:tcW w:type="dxa" w:w="3360"/>
            <w:vAlign w:val="center"/>
          </w:tcPr>
          <w:p>
            <w:pPr>
              <w:jc w:val="right"/>
              <w:bidi w:val="1"/>
            </w:pPr>
            <w:r/>
            <w:r>
              <w:rPr>
                <w:rFonts w:ascii="Arial" w:hAnsi="Arial" w:cs="Arial"/>
                <w:b w:val="0"/>
                <w:sz w:val="17"/>
              </w:rPr>
              <w:t>After diagnosis - METABRIC</w:t>
            </w:r>
          </w:p>
        </w:tc>
        <w:tc>
          <w:tcPr>
            <w:tcW w:type="dxa" w:w="3360"/>
            <w:vAlign w:val="center"/>
          </w:tcPr>
          <w:p>
            <w:pPr>
              <w:jc w:val="right"/>
              <w:bidi w:val="1"/>
            </w:pPr>
            <w:r/>
            <w:r>
              <w:rPr>
                <w:rFonts w:ascii="Arial" w:hAnsi="Arial" w:cs="Arial"/>
                <w:b w:val="0"/>
                <w:sz w:val="17"/>
              </w:rPr>
              <w:t>Patient ID</w:t>
            </w:r>
          </w:p>
        </w:tc>
        <w:tc>
          <w:tcPr>
            <w:tcW w:type="dxa" w:w="3360"/>
            <w:vAlign w:val="center"/>
          </w:tcPr>
          <w:p>
            <w:pPr>
              <w:jc w:val="right"/>
              <w:bidi w:val="1"/>
            </w:pPr>
            <w:r/>
            <w:r>
              <w:rPr>
                <w:rFonts w:ascii="Arial" w:hAnsi="Arial" w:cs="Arial"/>
                <w:b w:val="0"/>
                <w:sz w:val="17"/>
              </w:rPr>
              <w:t>MB-4993</w:t>
            </w:r>
          </w:p>
        </w:tc>
      </w:tr>
      <w:tr>
        <w:tc>
          <w:tcPr>
            <w:tcW w:type="dxa" w:w="3360"/>
            <w:vAlign w:val="center"/>
          </w:tcPr>
          <w:p>
            <w:pPr>
              <w:jc w:val="right"/>
              <w:bidi w:val="1"/>
            </w:pPr>
            <w:r/>
            <w:r>
              <w:rPr>
                <w:rFonts w:ascii="Arial" w:hAnsi="Arial" w:cs="Arial"/>
                <w:b w:val="0"/>
                <w:sz w:val="17"/>
              </w:rPr>
              <w:t>After diagnosis - METABRIC</w:t>
            </w:r>
          </w:p>
        </w:tc>
        <w:tc>
          <w:tcPr>
            <w:tcW w:type="dxa" w:w="3360"/>
            <w:vAlign w:val="center"/>
          </w:tcPr>
          <w:p>
            <w:pPr>
              <w:jc w:val="right"/>
              <w:bidi w:val="1"/>
            </w:pPr>
            <w:r/>
            <w:r>
              <w:rPr>
                <w:rFonts w:ascii="Arial" w:hAnsi="Arial" w:cs="Arial"/>
                <w:b w:val="0"/>
                <w:sz w:val="17"/>
              </w:rPr>
              <w:t>Predicted subtype</w:t>
            </w:r>
          </w:p>
        </w:tc>
        <w:tc>
          <w:tcPr>
            <w:tcW w:type="dxa" w:w="3360"/>
            <w:vAlign w:val="center"/>
          </w:tcPr>
          <w:p>
            <w:pPr>
              <w:jc w:val="right"/>
              <w:bidi w:val="1"/>
            </w:pPr>
            <w:r/>
            <w:r>
              <w:rPr>
                <w:rFonts w:ascii="Arial" w:hAnsi="Arial" w:cs="Arial"/>
                <w:b w:val="0"/>
                <w:sz w:val="17"/>
              </w:rPr>
              <w:t>Her2</w:t>
            </w:r>
          </w:p>
        </w:tc>
      </w:tr>
      <w:tr>
        <w:tc>
          <w:tcPr>
            <w:tcW w:type="dxa" w:w="3360"/>
            <w:vAlign w:val="center"/>
          </w:tcPr>
          <w:p>
            <w:pPr>
              <w:jc w:val="right"/>
              <w:bidi w:val="1"/>
            </w:pPr>
            <w:r/>
            <w:r>
              <w:rPr>
                <w:rFonts w:ascii="Arial" w:hAnsi="Arial" w:cs="Arial"/>
                <w:b w:val="0"/>
                <w:sz w:val="17"/>
              </w:rPr>
              <w:t>After diagnosis - METABRIC</w:t>
            </w:r>
          </w:p>
        </w:tc>
        <w:tc>
          <w:tcPr>
            <w:tcW w:type="dxa" w:w="3360"/>
            <w:vAlign w:val="center"/>
          </w:tcPr>
          <w:p>
            <w:pPr>
              <w:jc w:val="right"/>
              <w:bidi w:val="1"/>
            </w:pPr>
            <w:r/>
            <w:r>
              <w:rPr>
                <w:rFonts w:ascii="Arial" w:hAnsi="Arial" w:cs="Arial"/>
                <w:b w:val="0"/>
                <w:sz w:val="17"/>
              </w:rPr>
              <w:t>Subtype confidence</w:t>
            </w:r>
          </w:p>
        </w:tc>
        <w:tc>
          <w:tcPr>
            <w:tcW w:type="dxa" w:w="3360"/>
            <w:vAlign w:val="center"/>
          </w:tcPr>
          <w:p>
            <w:pPr>
              <w:jc w:val="right"/>
              <w:bidi w:val="1"/>
            </w:pPr>
            <w:r/>
            <w:r>
              <w:rPr>
                <w:rFonts w:ascii="Arial" w:hAnsi="Arial" w:cs="Arial"/>
                <w:b w:val="0"/>
                <w:sz w:val="17"/>
              </w:rPr>
              <w:t>96.2%</w:t>
            </w:r>
          </w:p>
        </w:tc>
      </w:tr>
      <w:tr>
        <w:tc>
          <w:tcPr>
            <w:tcW w:type="dxa" w:w="3360"/>
            <w:vAlign w:val="center"/>
          </w:tcPr>
          <w:p>
            <w:pPr>
              <w:jc w:val="right"/>
              <w:bidi w:val="1"/>
            </w:pPr>
            <w:r/>
            <w:r>
              <w:rPr>
                <w:rFonts w:ascii="Arial" w:hAnsi="Arial" w:cs="Arial"/>
                <w:b w:val="0"/>
                <w:sz w:val="17"/>
              </w:rPr>
              <w:t>After diagnosis - METABRIC</w:t>
            </w:r>
          </w:p>
        </w:tc>
        <w:tc>
          <w:tcPr>
            <w:tcW w:type="dxa" w:w="3360"/>
            <w:vAlign w:val="center"/>
          </w:tcPr>
          <w:p>
            <w:pPr>
              <w:jc w:val="right"/>
              <w:bidi w:val="1"/>
            </w:pPr>
            <w:r/>
            <w:r>
              <w:rPr>
                <w:rFonts w:ascii="Arial" w:hAnsi="Arial" w:cs="Arial"/>
                <w:b w:val="0"/>
                <w:sz w:val="17"/>
              </w:rPr>
              <w:t>5-year survival-event risk</w:t>
            </w:r>
          </w:p>
        </w:tc>
        <w:tc>
          <w:tcPr>
            <w:tcW w:type="dxa" w:w="3360"/>
            <w:vAlign w:val="center"/>
          </w:tcPr>
          <w:p>
            <w:pPr>
              <w:jc w:val="right"/>
              <w:bidi w:val="1"/>
            </w:pPr>
            <w:r/>
            <w:r>
              <w:rPr>
                <w:rFonts w:ascii="Arial" w:hAnsi="Arial" w:cs="Arial"/>
                <w:b w:val="0"/>
                <w:sz w:val="17"/>
              </w:rPr>
              <w:t>66.2% / High</w:t>
            </w:r>
          </w:p>
        </w:tc>
      </w:tr>
      <w:tr>
        <w:tc>
          <w:tcPr>
            <w:tcW w:type="dxa" w:w="3360"/>
            <w:vAlign w:val="center"/>
          </w:tcPr>
          <w:p>
            <w:pPr>
              <w:jc w:val="right"/>
              <w:bidi w:val="1"/>
            </w:pPr>
            <w:r/>
            <w:r>
              <w:rPr>
                <w:rFonts w:ascii="Arial" w:hAnsi="Arial" w:cs="Arial"/>
                <w:b w:val="0"/>
                <w:sz w:val="17"/>
              </w:rPr>
              <w:t>After diagnosis - METABRIC</w:t>
            </w:r>
          </w:p>
        </w:tc>
        <w:tc>
          <w:tcPr>
            <w:tcW w:type="dxa" w:w="3360"/>
            <w:vAlign w:val="center"/>
          </w:tcPr>
          <w:p>
            <w:pPr>
              <w:jc w:val="right"/>
              <w:bidi w:val="1"/>
            </w:pPr>
            <w:r/>
            <w:r>
              <w:rPr>
                <w:rFonts w:ascii="Arial" w:hAnsi="Arial" w:cs="Arial"/>
                <w:b w:val="0"/>
                <w:sz w:val="17"/>
              </w:rPr>
              <w:t>5-year recurrence risk</w:t>
            </w:r>
          </w:p>
        </w:tc>
        <w:tc>
          <w:tcPr>
            <w:tcW w:type="dxa" w:w="3360"/>
            <w:vAlign w:val="center"/>
          </w:tcPr>
          <w:p>
            <w:pPr>
              <w:jc w:val="right"/>
              <w:bidi w:val="1"/>
            </w:pPr>
            <w:r/>
            <w:r>
              <w:rPr>
                <w:rFonts w:ascii="Arial" w:hAnsi="Arial" w:cs="Arial"/>
                <w:b w:val="0"/>
                <w:sz w:val="17"/>
              </w:rPr>
              <w:t>85.8% / High</w:t>
            </w:r>
          </w:p>
        </w:tc>
      </w:tr>
    </w:tbl>
    <w:p/>
    <w:p>
      <w:pPr>
        <w:jc w:val="right"/>
        <w:bidi w:val="1"/>
      </w:pPr>
      <w:r>
        <w:rPr>
          <w:rFonts w:ascii="Arial" w:hAnsi="Arial" w:cs="Arial"/>
          <w:b/>
          <w:sz w:val="22"/>
        </w:rPr>
        <w:t>Doctor-support example:</w:t>
      </w:r>
    </w:p>
    <w:p>
      <w:pPr>
        <w:jc w:val="right"/>
        <w:bidi w:val="1"/>
      </w:pPr>
      <w:r>
        <w:rPr>
          <w:rFonts w:ascii="Arial" w:hAnsi="Arial" w:cs="Arial"/>
          <w:b w:val="0"/>
          <w:sz w:val="22"/>
        </w:rPr>
        <w:t>Confirm HER2 with pathology/IHC/FISH; discuss anti-HER2 regimen if clinically positive. | Treat as possible triple-negative/basal-like case until confirmed; discuss chemotherapy, immunotherapy eligibility, and BRCA testing. | High predicted recurrence risk: discuss adjuvant escalation, closer follow-up, and clinical trial eligibility. | High predicted survival-event risk: review stage, nodes, comorbidities, and multidisciplinary treatment intensity. | Node-positive disease: verify nodal stage and discuss systemic therapy/radiotherapy implications. | Grade 3 tumor: consider this a high-risk clinical feature in treatment planning. | Large tumor size: review local control plan and neoadjuvant/adjuvant strategy.</w:t>
      </w:r>
    </w:p>
    <w:p>
      <w:pPr>
        <w:jc w:val="right"/>
        <w:bidi w:val="1"/>
      </w:pPr>
      <w:r>
        <w:rPr>
          <w:rFonts w:ascii="Arial" w:hAnsi="Arial" w:cs="Arial"/>
          <w:b/>
          <w:color w:val="1F4D78"/>
          <w:sz w:val="30"/>
        </w:rPr>
        <w:t>15. شكل الاستخدام النهائي</w:t>
      </w:r>
    </w:p>
    <w:p>
      <w:pPr>
        <w:jc w:val="right"/>
        <w:bidi w:val="1"/>
      </w:pPr>
      <w:r>
        <w:rPr>
          <w:rFonts w:ascii="Arial" w:hAnsi="Arial" w:cs="Arial"/>
          <w:b w:val="0"/>
          <w:sz w:val="22"/>
        </w:rPr>
        <w:t>الشكل النهائي للاستخدام يكون بتبويبين أو شاشتين: BCSC Future Risk قبل التشخيص، وMETABRIC Post-Diagnosis Support بعد التشخيص. المستخدم يدخل بيانات مريضة واحدة أو يرفع CSV، ثم يحصل على تقرير patient-level بنفس شكل الجداول أعلاه.</w:t>
      </w:r>
    </w:p>
    <w:p>
      <w:pPr>
        <w:jc w:val="right"/>
        <w:bidi w:val="1"/>
      </w:pPr>
      <w:r>
        <w:rPr>
          <w:rFonts w:ascii="Arial" w:hAnsi="Arial" w:cs="Arial"/>
          <w:b/>
          <w:sz w:val="22"/>
        </w:rPr>
        <w:t>ملاحظة طبية: النتائج decision support فقط، ولا تستبدل الطبيب أو pathology/IHC/FISH أو clinical guidelines.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