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RECITATION ASSESSMENT  ·  v0.2</w:t>
      </w:r>
    </w:p>
    <w:p>
      <w:pPr>
        <w:spacing w:after="60"/>
      </w:pPr>
      <w:r>
        <w:rPr>
          <w:b/>
          <w:bCs/>
          <w:sz w:val="40"/>
          <w:szCs w:val="40"/>
        </w:rPr>
        <w:t xml:space="preserve">Administration Pack</w:t>
      </w:r>
    </w:p>
    <w:p>
      <w:pPr>
        <w:spacing w:after="90"/>
      </w:pPr>
      <w:r>
        <w:rPr>
          <w:color w:val="444444"/>
          <w:sz w:val="21"/>
          <w:szCs w:val="21"/>
        </w:rPr>
        <w:t xml:space="preserve">What to recite, the marking keys, scoring and the session plan.</w:t>
      </w:r>
    </w:p>
    <w:p>
      <w:pPr>
        <w:spacing w:after="140"/>
      </w:pPr>
      <w:r>
        <w:rPr>
          <w:b/>
          <w:bCs/>
          <w:color w:val="8C3A2B"/>
          <w:sz w:val="19"/>
          <w:szCs w:val="19"/>
        </w:rPr>
        <w:t xml:space="preserve">STAFF ONLY — DO NOT HAND OUT</w:t>
      </w:r>
    </w:p>
    <w:p>
      <w:pPr>
        <w:pBdr>
          <w:bottom w:val="single" w:color="999999" w:sz="6"/>
        </w:pBdr>
        <w:spacing w:after="130" w:before="40"/>
      </w:pPr>
    </w:p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What the teacher recites</w:t>
      </w:r>
    </w:p>
    <w:p>
      <w:pPr>
        <w:spacing w:after="90"/>
      </w:pPr>
      <w:r>
        <w:rPr>
          <w:b/>
          <w:bCs/>
          <w:sz w:val="21"/>
          <w:szCs w:val="21"/>
        </w:rPr>
        <w:t xml:space="preserve">Say the SOUND, never the name of the letter. </w:t>
      </w:r>
      <w:r>
        <w:rPr>
          <w:sz w:val="21"/>
          <w:szCs w:val="21"/>
        </w:rPr>
        <w:t xml:space="preserve">“Sheen” tests whether the student memorised a name; شَ tests whether they can map a sound to its shape, which is what this screens for.</w:t>
      </w:r>
    </w:p>
    <w:p>
      <w:pPr>
        <w:spacing w:after="160"/>
      </w:pPr>
      <w:r>
        <w:rPr>
          <w:sz w:val="21"/>
          <w:szCs w:val="21"/>
        </w:rPr>
        <w:t xml:space="preserve">Say each item twice. Announce the number, then produce the sound. Do not show the letter while saying it.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1200"/>
        <w:gridCol w:w="2600"/>
      </w:tblGrid>
      <w:tr>
        <w:trPr>
          <w:tblHeader/>
        </w:trPr>
        <w:tc>
          <w:tcPr>
            <w:tcW w:type="dxa" w:w="1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 · say</w:t>
            </w:r>
          </w:p>
        </w:tc>
        <w:tc>
          <w:tcPr>
            <w:tcW w:type="dxa" w:w="2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Sound</w:t>
            </w:r>
          </w:p>
        </w:tc>
        <w:tc>
          <w:tcPr>
            <w:tcW w:type="dxa" w:w="1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B · say</w:t>
            </w:r>
          </w:p>
        </w:tc>
        <w:tc>
          <w:tcPr>
            <w:tcW w:type="dxa" w:w="2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Word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شَ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مُحَمَّدٌ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مَ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تُحِيطُواْ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خَ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ٱلسَّمَآءِ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تَ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أَعۡمَٰلٌ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ءَ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ٱقۡرَأۡ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ذَ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مُؤۡمِنِينَ</w:t>
            </w:r>
          </w:p>
        </w:tc>
      </w:tr>
      <w:tr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قَ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كَتَبَ</w:t>
            </w:r>
          </w:p>
        </w:tc>
      </w:tr>
    </w:tbl>
    <w:p>
      <w:pPr>
        <w:pStyle w:val="Heading2"/>
        <w:pBdr>
          <w:bottom w:val="single" w:color="1F6F63" w:sz="4"/>
        </w:pBdr>
        <w:spacing w:after="100" w:before="280"/>
      </w:pPr>
      <w:r>
        <w:rPr>
          <w:b/>
          <w:bCs/>
          <w:sz w:val="25"/>
          <w:szCs w:val="25"/>
        </w:rPr>
        <w:t xml:space="preserve">Screening — marking key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2900"/>
        <w:gridCol w:w="1200"/>
      </w:tblGrid>
      <w:tr>
        <w:trPr>
          <w:tblHeader/>
        </w:trPr>
        <w:tc>
          <w:tcPr>
            <w:tcW w:type="dxa" w:w="17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 · letter</w:t>
            </w:r>
          </w:p>
        </w:tc>
        <w:tc>
          <w:tcPr>
            <w:tcW w:type="dxa" w:w="1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  <w:tc>
          <w:tcPr>
            <w:tcW w:type="dxa" w:w="2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B · word</w:t>
            </w:r>
          </w:p>
        </w:tc>
        <w:tc>
          <w:tcPr>
            <w:tcW w:type="dxa" w:w="1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ء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ٱقۡرَأۡ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ت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أَعۡمَٰلٌ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ذ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ٱلسَّمَآءِ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خ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تُحِيطُواْ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ش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كَتَبَ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ق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مُؤۡمِنِينَ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م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38"/>
                <w:szCs w:val="38"/>
                <w:rtl/>
              </w:rPr>
              <w:t xml:space="preserve">مُحَمَّدٌ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b/>
          <w:bCs/>
          <w:sz w:val="21"/>
          <w:szCs w:val="21"/>
        </w:rPr>
        <w:t xml:space="preserve">Gate: </w:t>
      </w:r>
      <w:r>
        <w:rPr>
          <w:sz w:val="21"/>
          <w:szCs w:val="21"/>
        </w:rPr>
        <w:t xml:space="preserve">A ≥ 5 AND B ≥ 5. A student who fails is Level 0 — Foundations, and stops there: no theory paper, no practical.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Record the sub-scores for a student who fails anyway. They are the baseline he will be measured against.</w:t>
      </w:r>
    </w:p>
    <w:p>
      <w:r>
        <w:br w:type="page"/>
      </w:r>
    </w:p>
    <w:p>
      <w:pPr>
        <w:pStyle w:val="Heading1"/>
        <w:spacing w:after="140" w:before="180"/>
      </w:pPr>
      <w:r>
        <w:rPr>
          <w:b/>
          <w:bCs/>
          <w:sz w:val="34"/>
          <w:szCs w:val="34"/>
        </w:rPr>
        <w:t xml:space="preserve">Theory — answer key</w:t>
      </w:r>
    </w:p>
    <w:p>
      <w:pPr>
        <w:spacing w:after="90"/>
      </w:pPr>
      <w:r>
        <w:rPr>
          <w:sz w:val="21"/>
          <w:szCs w:val="21"/>
        </w:rPr>
        <w:t xml:space="preserve">49 marks in total. One mark per correct answer; a matching question is worth one mark per correct row.</w:t>
      </w: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The Virtue of the Qurʾān   ·   7 marks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1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the noble, righteous scribes — </w:t>
            </w:r>
            <w:r>
              <w:rPr>
                <w:rFonts w:ascii="KFGQPC HAFS Uthmanic Script" w:cs="KFGQPC HAFS Uthmanic Script" w:hAnsi="KFGQPC HAFS Uthmanic Script"/>
                <w:sz w:val="24"/>
                <w:szCs w:val="24"/>
                <w:rtl/>
              </w:rPr>
              <w:t xml:space="preserve">ٱلسَّفَرَةِ ٱلۡكِرَامِ ٱلۡبَرَرَةِ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two rewards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the last āyah he reads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Tick: </w:t>
            </w:r>
            <w:r>
              <w:rPr>
                <w:sz w:val="21"/>
                <w:szCs w:val="21"/>
              </w:rPr>
              <w:t xml:space="preserve">Tranquillity descends upon them</w:t>
            </w:r>
            <w:r>
              <w:rPr>
                <w:sz w:val="21"/>
                <w:szCs w:val="21"/>
              </w:rPr>
              <w:t xml:space="preserve"> · Mercy covers them</w:t>
            </w:r>
            <w:r>
              <w:rPr>
                <w:sz w:val="21"/>
                <w:szCs w:val="21"/>
              </w:rPr>
              <w:t xml:space="preserve"> · The angels surround them</w:t>
            </w:r>
            <w:r>
              <w:rPr>
                <w:sz w:val="21"/>
                <w:szCs w:val="21"/>
              </w:rPr>
              <w:t xml:space="preserve"> · Allah mentions them to those who are with Him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</w:tr>
    </w:tbl>
    <w:p>
      <w:pPr>
        <w:spacing w:after="9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Makhārij — Where the Letters Come From   ·   5 marks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1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the deepest part of the throat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ف ب م و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ق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KFGQPC HAFS Uthmanic Script" w:cs="KFGQPC HAFS Uthmanic Script" w:hAnsi="KFGQPC HAFS Uthmanic Script"/>
                <w:sz w:val="24"/>
                <w:szCs w:val="24"/>
                <w:rtl/>
              </w:rPr>
              <w:t xml:space="preserve">ٱلۡجَوۡف </w:t>
            </w:r>
            <w:r>
              <w:rPr>
                <w:sz w:val="21"/>
                <w:szCs w:val="21"/>
              </w:rPr>
              <w:t xml:space="preserve">— the empty space of the mouth and throat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KFGQPC HAFS Uthmanic Script" w:cs="KFGQPC HAFS Uthmanic Script" w:hAnsi="KFGQPC HAFS Uthmanic Script"/>
                <w:sz w:val="24"/>
                <w:szCs w:val="24"/>
                <w:rtl/>
              </w:rPr>
              <w:t xml:space="preserve">ٱلۡخَيۡشُوم </w:t>
            </w:r>
            <w:r>
              <w:rPr>
                <w:sz w:val="21"/>
                <w:szCs w:val="21"/>
              </w:rPr>
              <w:t xml:space="preserve">— the nasal passage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</w:tbl>
    <w:p>
      <w:pPr>
        <w:spacing w:after="9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Nūn Sākinah and Tanwīn   ·   11 marks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1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ء ه ع ح غ خ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idghām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ل ر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ب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6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15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7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مِنۡ خَيۡرٍ</w:t>
            </w:r>
            <w:r>
              <w:rPr>
                <w:b/>
                <w:bCs/>
                <w:sz w:val="21"/>
                <w:szCs w:val="21"/>
              </w:rPr>
              <w:t xml:space="preserve"> → A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فَمَن يَعۡمَلۡ</w:t>
            </w:r>
            <w:r>
              <w:rPr>
                <w:b/>
                <w:bCs/>
                <w:sz w:val="21"/>
                <w:szCs w:val="21"/>
              </w:rPr>
              <w:t xml:space="preserve"> → B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مِّن رَّبِّهِمۡ</w:t>
            </w:r>
            <w:r>
              <w:rPr>
                <w:b/>
                <w:bCs/>
                <w:sz w:val="21"/>
                <w:szCs w:val="21"/>
              </w:rPr>
              <w:t xml:space="preserve"> → C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سَمِيعٌۢ بَصِيرٌ</w:t>
            </w:r>
            <w:r>
              <w:rPr>
                <w:b/>
                <w:bCs/>
                <w:sz w:val="21"/>
                <w:szCs w:val="21"/>
              </w:rPr>
              <w:t xml:space="preserve"> → D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أَنفُسَكُمۡ</w:t>
            </w:r>
            <w:r>
              <w:rPr>
                <w:b/>
                <w:bCs/>
                <w:sz w:val="21"/>
                <w:szCs w:val="21"/>
              </w:rPr>
              <w:t xml:space="preserve"> → 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</w:tr>
    </w:tbl>
    <w:p>
      <w:pPr>
        <w:spacing w:after="9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Madd   ·   12 marks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1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sz w:val="21"/>
                <w:szCs w:val="21"/>
              </w:rPr>
              <w:t xml:space="preserve">madd muttaṣil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b)  </w:t>
            </w:r>
            <w:r>
              <w:rPr>
                <w:sz w:val="21"/>
                <w:szCs w:val="21"/>
              </w:rPr>
              <w:t xml:space="preserve">madd munfaṣil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c)  </w:t>
            </w:r>
            <w:r>
              <w:rPr>
                <w:sz w:val="21"/>
                <w:szCs w:val="21"/>
              </w:rPr>
              <w:t xml:space="preserve">madd lāzim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sz w:val="21"/>
                <w:szCs w:val="21"/>
              </w:rPr>
              <w:t xml:space="preserve">madd ṭabīʿī</w:t>
            </w:r>
            <w:r>
              <w:rPr>
                <w:b/>
                <w:bCs/>
                <w:sz w:val="21"/>
                <w:szCs w:val="21"/>
              </w:rPr>
              <w:t xml:space="preserve"> → A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 xml:space="preserve">madd muttaṣil</w:t>
            </w:r>
            <w:r>
              <w:rPr>
                <w:b/>
                <w:bCs/>
                <w:sz w:val="21"/>
                <w:szCs w:val="21"/>
              </w:rPr>
              <w:t xml:space="preserve"> → B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 xml:space="preserve">madd munfaṣil</w:t>
            </w:r>
            <w:r>
              <w:rPr>
                <w:b/>
                <w:bCs/>
                <w:sz w:val="21"/>
                <w:szCs w:val="21"/>
              </w:rPr>
              <w:t xml:space="preserve"> → B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sz w:val="21"/>
                <w:szCs w:val="21"/>
              </w:rPr>
              <w:t xml:space="preserve">madd lāzim</w:t>
            </w:r>
            <w:r>
              <w:rPr>
                <w:b/>
                <w:bCs/>
                <w:sz w:val="21"/>
                <w:szCs w:val="21"/>
              </w:rPr>
              <w:t xml:space="preserve"> → C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جَآءَ</w:t>
            </w:r>
            <w:r>
              <w:rPr>
                <w:b/>
                <w:bCs/>
                <w:sz w:val="21"/>
                <w:szCs w:val="21"/>
              </w:rPr>
              <w:t xml:space="preserve"> → A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إِنَّآ أَعۡطَيۡنَٰكَ</w:t>
            </w:r>
            <w:r>
              <w:rPr>
                <w:b/>
                <w:bCs/>
                <w:sz w:val="21"/>
                <w:szCs w:val="21"/>
              </w:rPr>
              <w:t xml:space="preserve"> → B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ٱلضَّآلِّينَ</w:t>
            </w:r>
            <w:r>
              <w:rPr>
                <w:b/>
                <w:bCs/>
                <w:sz w:val="21"/>
                <w:szCs w:val="21"/>
              </w:rPr>
              <w:t xml:space="preserve"> → C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سُوٓءَ</w:t>
            </w:r>
            <w:r>
              <w:rPr>
                <w:b/>
                <w:bCs/>
                <w:sz w:val="21"/>
                <w:szCs w:val="21"/>
              </w:rPr>
              <w:t xml:space="preserve"> → A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قَالُوٓاْ إِنَّا</w:t>
            </w:r>
            <w:r>
              <w:rPr>
                <w:b/>
                <w:bCs/>
                <w:sz w:val="21"/>
                <w:szCs w:val="21"/>
              </w:rPr>
              <w:t xml:space="preserve"> → B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</w:tr>
    </w:tbl>
    <w:p>
      <w:pPr>
        <w:spacing w:after="9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Ghunnah   ·   1 marks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1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KFGQPC HAFS Uthmanic Script" w:cs="KFGQPC HAFS Uthmanic Script" w:hAnsi="KFGQPC HAFS Uthmanic Script"/>
                <w:sz w:val="24"/>
                <w:szCs w:val="24"/>
                <w:rtl/>
              </w:rPr>
              <w:t xml:space="preserve">ن </w:t>
            </w:r>
            <w:r>
              <w:rPr>
                <w:sz w:val="21"/>
                <w:szCs w:val="21"/>
              </w:rPr>
              <w:t xml:space="preserve">and </w:t>
            </w:r>
            <w:r>
              <w:rPr>
                <w:rFonts w:ascii="KFGQPC HAFS Uthmanic Script" w:cs="KFGQPC HAFS Uthmanic Script" w:hAnsi="KFGQPC HAFS Uthmanic Script"/>
                <w:sz w:val="24"/>
                <w:szCs w:val="24"/>
                <w:rtl/>
              </w:rPr>
              <w:t xml:space="preserve">م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</w:tr>
    </w:tbl>
    <w:p>
      <w:pPr>
        <w:spacing w:after="9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Heavy and Light Letters   ·   8 marks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1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ص</w:t>
            </w:r>
            <w:r>
              <w:rPr>
                <w:sz w:val="21"/>
                <w:szCs w:val="21"/>
              </w:rPr>
              <w:t xml:space="preserve"> Heavy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س</w:t>
            </w:r>
            <w:r>
              <w:rPr>
                <w:sz w:val="21"/>
                <w:szCs w:val="21"/>
              </w:rPr>
              <w:t xml:space="preserve"> Light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ط</w:t>
            </w:r>
            <w:r>
              <w:rPr>
                <w:sz w:val="21"/>
                <w:szCs w:val="21"/>
              </w:rPr>
              <w:t xml:space="preserve"> Heavy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ت</w:t>
            </w:r>
            <w:r>
              <w:rPr>
                <w:sz w:val="21"/>
                <w:szCs w:val="21"/>
              </w:rPr>
              <w:t xml:space="preserve"> Light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س</w:t>
            </w:r>
            <w:r>
              <w:rPr>
                <w:b/>
                <w:bCs/>
                <w:sz w:val="21"/>
                <w:szCs w:val="21"/>
              </w:rPr>
              <w:t xml:space="preserve"> → A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ت</w:t>
            </w:r>
            <w:r>
              <w:rPr>
                <w:b/>
                <w:bCs/>
                <w:sz w:val="21"/>
                <w:szCs w:val="21"/>
              </w:rPr>
              <w:t xml:space="preserve"> → B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ذ</w:t>
            </w:r>
            <w:r>
              <w:rPr>
                <w:b/>
                <w:bCs/>
                <w:sz w:val="21"/>
                <w:szCs w:val="21"/>
              </w:rPr>
              <w:t xml:space="preserve"> → C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د</w:t>
            </w:r>
            <w:r>
              <w:rPr>
                <w:b/>
                <w:bCs/>
                <w:sz w:val="21"/>
                <w:szCs w:val="21"/>
              </w:rPr>
              <w:t xml:space="preserve"> → D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</w:tr>
    </w:tbl>
    <w:p>
      <w:pPr>
        <w:spacing w:after="90"/>
      </w:pP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Signs in the Muṣḥaf   ·   5 marks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900"/>
        <w:gridCol w:w="1100"/>
      </w:tblGrid>
      <w:tr>
        <w:trPr>
          <w:tblHeader/>
        </w:trPr>
        <w:tc>
          <w:tcPr>
            <w:tcW w:type="dxa" w:w="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6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Answer</w:t>
            </w:r>
          </w:p>
        </w:tc>
        <w:tc>
          <w:tcPr>
            <w:tcW w:type="dxa" w:w="1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Marks</w:t>
            </w:r>
          </w:p>
        </w:tc>
      </w:tr>
      <w:tr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6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مـ</w:t>
            </w:r>
            <w:r>
              <w:rPr>
                <w:b/>
                <w:bCs/>
                <w:sz w:val="21"/>
                <w:szCs w:val="21"/>
              </w:rPr>
              <w:t xml:space="preserve"> → A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لا</w:t>
            </w:r>
            <w:r>
              <w:rPr>
                <w:b/>
                <w:bCs/>
                <w:sz w:val="21"/>
                <w:szCs w:val="21"/>
              </w:rPr>
              <w:t xml:space="preserve"> → B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ج</w:t>
            </w:r>
            <w:r>
              <w:rPr>
                <w:b/>
                <w:bCs/>
                <w:sz w:val="21"/>
                <w:szCs w:val="21"/>
              </w:rPr>
              <w:t xml:space="preserve"> → C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صلى</w:t>
            </w:r>
            <w:r>
              <w:rPr>
                <w:b/>
                <w:bCs/>
                <w:sz w:val="21"/>
                <w:szCs w:val="21"/>
              </w:rPr>
              <w:t xml:space="preserve"> → D</w:t>
            </w:r>
            <w:r>
              <w:rPr>
                <w:sz w:val="21"/>
                <w:szCs w:val="21"/>
              </w:rPr>
              <w:t xml:space="preserve">    </w:t>
            </w:r>
            <w:r>
              <w:rPr>
                <w:rFonts w:ascii="KFGQPC HAFS Uthmanic Script" w:cs="KFGQPC HAFS Uthmanic Script" w:hAnsi="KFGQPC HAFS Uthmanic Script"/>
                <w:sz w:val="28"/>
                <w:szCs w:val="28"/>
                <w:rtl/>
              </w:rPr>
              <w:t xml:space="preserve">قلى</w:t>
            </w:r>
            <w:r>
              <w:rPr>
                <w:b/>
                <w:bCs/>
                <w:sz w:val="21"/>
                <w:szCs w:val="21"/>
              </w:rPr>
              <w:t xml:space="preserve"> → E</w:t>
            </w:r>
          </w:p>
        </w:tc>
        <w:tc>
          <w:tcPr>
            <w:tcW w:type="dxa" w:w="1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</w:tr>
    </w:tbl>
    <w:p>
      <w:pPr>
        <w:spacing w:after="90"/>
      </w:pP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For the tick-four question: one mark per correct tick, minus one for the wrong option ticked, minimum zero.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Data labels. </w:t>
      </w:r>
      <w:r>
        <w:rPr>
          <w:sz w:val="21"/>
          <w:szCs w:val="21"/>
        </w:rPr>
        <w:t xml:space="preserve">When these are typed into a spreadsheet, name the columns by section and number — virtue_1, makharij_3, nun_7 — so a score stays unambiguous once it leaves the page.</w:t>
      </w:r>
    </w:p>
    <w:p>
      <w:r>
        <w:br w:type="page"/>
      </w:r>
    </w:p>
    <w:p>
      <w:pPr>
        <w:pStyle w:val="Heading1"/>
        <w:spacing w:after="140" w:before="180"/>
      </w:pPr>
      <w:r>
        <w:rPr>
          <w:b/>
          <w:bCs/>
          <w:sz w:val="34"/>
          <w:szCs w:val="34"/>
        </w:rPr>
        <w:t xml:space="preserve">Scoring and placement</w:t>
      </w:r>
    </w:p>
    <w:p>
      <w:pPr>
        <w:spacing w:after="90"/>
      </w:pPr>
      <w:r>
        <w:rPr>
          <w:b/>
          <w:bCs/>
          <w:sz w:val="21"/>
          <w:szCs w:val="21"/>
        </w:rPr>
        <w:t xml:space="preserve">Screening </w:t>
      </w:r>
      <w:r>
        <w:rPr>
          <w:sz w:val="21"/>
          <w:szCs w:val="21"/>
        </w:rPr>
        <w:t xml:space="preserve">14  (gate)          </w:t>
      </w:r>
      <w:r>
        <w:rPr>
          <w:b/>
          <w:bCs/>
          <w:sz w:val="21"/>
          <w:szCs w:val="21"/>
        </w:rPr>
        <w:t xml:space="preserve">Theory </w:t>
      </w:r>
      <w:r>
        <w:rPr>
          <w:sz w:val="21"/>
          <w:szCs w:val="21"/>
        </w:rPr>
        <w:t xml:space="preserve">49          </w:t>
      </w:r>
      <w:r>
        <w:rPr>
          <w:b/>
          <w:bCs/>
          <w:sz w:val="21"/>
          <w:szCs w:val="21"/>
        </w:rPr>
        <w:t xml:space="preserve">Practical </w:t>
      </w:r>
      <w:r>
        <w:rPr>
          <w:sz w:val="21"/>
          <w:szCs w:val="21"/>
        </w:rPr>
        <w:t xml:space="preserve">30</w:t>
      </w: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Read the theory score against chance, not against zero</w:t>
      </w:r>
    </w:p>
    <w:p>
      <w:pPr>
        <w:spacing w:after="90"/>
      </w:pPr>
      <w:r>
        <w:rPr>
          <w:sz w:val="21"/>
          <w:szCs w:val="21"/>
        </w:rPr>
        <w:t xml:space="preserve">Every theory question is multiple choice or matching, so a student who knows nothing still scores about </w:t>
      </w:r>
      <w:r>
        <w:rPr>
          <w:b/>
          <w:bCs/>
          <w:sz w:val="21"/>
          <w:szCs w:val="21"/>
        </w:rPr>
        <w:t xml:space="preserve">13 marks</w:t>
      </w:r>
      <w:r>
        <w:rPr>
          <w:sz w:val="21"/>
          <w:szCs w:val="21"/>
        </w:rPr>
        <w:t xml:space="preserve"> by guessing alone. A theory score in the teens is not partial knowledge — it is noise. The bands below start above that floor.</w:t>
      </w:r>
    </w:p>
    <w:p>
      <w:pPr>
        <w:spacing w:after="14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100"/>
        <w:gridCol w:w="4400"/>
      </w:tblGrid>
      <w:tr>
        <w:trPr>
          <w:tblHeader/>
        </w:trPr>
        <w:tc>
          <w:tcPr>
            <w:tcW w:type="dxa" w:w="25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1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Condition</w:t>
            </w:r>
          </w:p>
        </w:tc>
        <w:tc>
          <w:tcPr>
            <w:tcW w:type="dxa" w:w="4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Teaching track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 — Foundations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screening fails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Qāʿidah: letters, ḥarakāt, sukūn, joining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 — Reader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screening passes, practical ≤ 10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fluency, madd ṭabīʿī, ghunnah by ear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 — Applying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practical 11–20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nūn sākinah and madd, named and applied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 — Consolidating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practical 21–30, theory &lt; 30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close theory gaps; waqf; longer passages</w:t>
            </w:r>
          </w:p>
        </w:tc>
      </w:tr>
      <w:t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 — Advanced</w:t>
            </w:r>
          </w:p>
        </w:tc>
        <w:tc>
          <w:tcPr>
            <w:tcW w:type="dxa" w:w="3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practical ≥ 26 AND theory ≥ 36</w:t>
            </w:r>
          </w:p>
        </w:tc>
        <w:tc>
          <w:tcPr>
            <w:tcW w:type="dxa" w:w="4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itqān, rules of rāʾ and lām, peer tutoring</w:t>
            </w:r>
          </w:p>
        </w:tc>
      </w:tr>
    </w:tbl>
    <w:p>
      <w:pPr>
        <w:spacing w:after="180"/>
      </w:pPr>
    </w:p>
    <w:p>
      <w:pPr>
        <w:spacing w:after="90"/>
      </w:pPr>
      <w:r>
        <w:rPr>
          <w:b/>
          <w:bCs/>
          <w:sz w:val="21"/>
          <w:szCs w:val="21"/>
        </w:rPr>
        <w:t xml:space="preserve">The practical leads; the theory refines it. </w:t>
      </w:r>
      <w:r>
        <w:rPr>
          <w:sz w:val="21"/>
          <w:szCs w:val="21"/>
        </w:rPr>
        <w:t xml:space="preserve">A child taught by ear can recite ikhfāʾ perfectly and not know the word. That gap closes in one lesson. The reverse — naming every rule and reciting them wrong — is the real problem, and placing on theory would hide it.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The level is the least useful output. </w:t>
      </w:r>
      <w:r>
        <w:rPr>
          <w:sz w:val="21"/>
          <w:szCs w:val="21"/>
        </w:rPr>
        <w:t xml:space="preserve">The profile is what matters: seven theory section scores and two practical scores per student, with the class averages beside them. If eighteen of twenty-five lose the same marks on iqlāb, that is next week’s lesson.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Ghunnah is one question. </w:t>
      </w:r>
      <w:r>
        <w:rPr>
          <w:sz w:val="21"/>
          <w:szCs w:val="21"/>
        </w:rPr>
        <w:t xml:space="preserve">Its section score is too thin to read on its own — use the three ghunnah items in the practical instead.</w:t>
      </w:r>
    </w:p>
    <w:p>
      <w:pPr>
        <w:pStyle w:val="Heading1"/>
        <w:spacing w:after="140" w:before="180"/>
      </w:pPr>
      <w:r>
        <w:rPr>
          <w:b/>
          <w:bCs/>
          <w:sz w:val="34"/>
          <w:szCs w:val="34"/>
        </w:rPr>
        <w:t xml:space="preserve">Running the session</w:t>
      </w:r>
    </w:p>
    <w:p>
      <w:pPr>
        <w:spacing w:after="90"/>
      </w:pPr>
      <w:r>
        <w:rPr>
          <w:b/>
          <w:bCs/>
          <w:sz w:val="21"/>
          <w:szCs w:val="21"/>
        </w:rPr>
        <w:t xml:space="preserve">Staff: </w:t>
      </w:r>
      <w:r>
        <w:rPr>
          <w:sz w:val="21"/>
          <w:szCs w:val="21"/>
        </w:rPr>
        <w:t xml:space="preserve">the Qari at the one-to-one station, plus two helpers for proctoring and marking.</w:t>
      </w:r>
    </w:p>
    <w:p>
      <w:pPr>
        <w:spacing w:after="160"/>
      </w:pPr>
      <w:r>
        <w:rPr>
          <w:b/>
          <w:bCs/>
          <w:sz w:val="21"/>
          <w:szCs w:val="21"/>
        </w:rPr>
        <w:t xml:space="preserve">Per student: </w:t>
      </w:r>
      <w:r>
        <w:rPr>
          <w:sz w:val="21"/>
          <w:szCs w:val="21"/>
        </w:rPr>
        <w:t xml:space="preserve">one envelope. The screening sheet is clipped OUTSIDE it. The theory paper and the practical grid are inside, separated by a coloured divider.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400"/>
      </w:tblGrid>
      <w:tr>
        <w:trPr>
          <w:tblHeader/>
        </w:trPr>
        <w:tc>
          <w:tcPr>
            <w:tcW w:type="dxa" w:w="1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Minutes</w:t>
            </w:r>
          </w:p>
        </w:tc>
        <w:tc>
          <w:tcPr>
            <w:tcW w:type="dxa" w:w="8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18"/>
                <w:szCs w:val="18"/>
              </w:rPr>
              <w:t xml:space="preserve">What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0–10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Settle, explain. Each student gets an envelope with the screening sheet clipped on the outside.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10–25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Screening — the Qari recites; each item said twice.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25–35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Helpers mark the screening sheets against the key.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35–40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Passers get their envelope back with the theory paper taken out and placed on top. Level-0 students keep the envelope closed and go to a side activity.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40–70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Theory paper — whole group.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35–100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One-to-one station, continuous. The Qari opens the envelope and uses the practical grid. ~5 min each.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1"/>
                <w:szCs w:val="21"/>
              </w:rPr>
              <w:t xml:space="preserve">100+</w:t>
            </w:r>
          </w:p>
        </w:tc>
        <w:tc>
          <w:tcPr>
            <w:tcW w:type="dxa" w:w="8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Collect, tally, file.</w:t>
            </w:r>
          </w:p>
        </w:tc>
      </w:tr>
    </w:tbl>
    <w:p>
      <w:pPr>
        <w:spacing w:after="160"/>
      </w:pP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The one-to-one station runs underneath everything else from minute 35 — that is the only way twenty-five students fit into one session. A second grading adult halves it.</w:t>
      </w: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Three things that will go wrong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The room is too loud. </w:t>
      </w:r>
      <w:r>
        <w:rPr>
          <w:sz w:val="21"/>
          <w:szCs w:val="21"/>
        </w:rPr>
        <w:t xml:space="preserve">Say each item twice, and louder. If the back row still cannot hear, the result is about the room, not the child — mark it and re-run rather than record a false Level 0.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A student cannot read the English on the theory paper. </w:t>
      </w:r>
      <w:r>
        <w:rPr>
          <w:sz w:val="21"/>
          <w:szCs w:val="21"/>
        </w:rPr>
        <w:t xml:space="preserve">Note it. That is a language result, not a tajwīd result, and conflating the two is the fastest way to make this instrument wrong.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A parent asks what the level means. </w:t>
      </w:r>
      <w:r>
        <w:rPr>
          <w:sz w:val="21"/>
          <w:szCs w:val="21"/>
        </w:rPr>
        <w:t xml:space="preserve">Give them the profile, not the number.</w:t>
      </w:r>
    </w:p>
    <w:p>
      <w:pPr>
        <w:pStyle w:val="Heading3"/>
        <w:spacing w:after="70" w:before="200"/>
      </w:pPr>
      <w:r>
        <w:rPr>
          <w:b/>
          <w:bCs/>
          <w:sz w:val="22"/>
          <w:szCs w:val="22"/>
        </w:rPr>
        <w:t xml:space="preserve">Before printing</w:t>
      </w:r>
    </w:p>
    <w:p>
      <w:pPr>
        <w:spacing w:after="90"/>
      </w:pPr>
      <w:r>
        <w:rPr>
          <w:sz w:val="21"/>
          <w:szCs w:val="21"/>
        </w:rPr>
        <w:t xml:space="preserve">Every āyah reference in this instrument is given from memory and has not been checked against a muṣḥaf. The ḥadīth wordings should be confirmed from a printed source. This is text that will be handed to children.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No student audio is recorded. </w:t>
      </w:r>
      <w:r>
        <w:rPr>
          <w:sz w:val="21"/>
          <w:szCs w:val="21"/>
        </w:rPr>
        <w:t xml:space="preserve">They are minors; recording brings parental consent, retention and storage into a session that needs none of it. The Qari grades live.</w:t>
      </w:r>
    </w:p>
    <w:p>
      <w:pPr>
        <w:spacing w:after="90"/>
      </w:pPr>
      <w:r>
        <w:rPr>
          <w:b/>
          <w:bCs/>
          <w:sz w:val="21"/>
          <w:szCs w:val="21"/>
        </w:rPr>
        <w:t xml:space="preserve">The screening now depends on the Qari’s own voice. </w:t>
      </w:r>
      <w:r>
        <w:rPr>
          <w:sz w:val="21"/>
          <w:szCs w:val="21"/>
        </w:rPr>
        <w:t xml:space="preserve">It is no longer identical between administrations the way a recording would be. Note who administered it, so a future comparison knows.</w:t>
      </w:r>
    </w:p>
    <w:sectPr>
      <w:footerReference w:type="default" r:id="rId7"/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8C3A2B"/>
        <w:sz w:val="16"/>
        <w:szCs w:val="16"/>
      </w:rPr>
      <w:t xml:space="preserve">STAFF ONLY  —  DO NOT HAND OUT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2026-08-15T22:39:10.384Z</dcterms:created>
  <dcterms:modified xsi:type="dcterms:W3CDTF">2026-08-15T22:39:10.384Z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