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Feasibility &amp; Engineering Economics Report</w:t>
      </w:r>
    </w:p>
    <w:p>
      <w:pPr>
        <w:pStyle w:val="Subtitle"/>
      </w:pPr>
      <w:r>
        <w:t xml:space="preserve">New Valley Hub — Smart Tourism Platform</w:t>
      </w:r>
    </w:p>
    <w:p>
      <w:pPr>
        <w:pStyle w:val="Author"/>
      </w:pPr>
      <w:r>
        <w:t xml:space="preserve">SandScript Team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feasibility-engineering-economics-report"/>
    <w:p>
      <w:pPr>
        <w:pStyle w:val="Heading1"/>
      </w:pPr>
      <w:r>
        <w:t xml:space="preserve">Feasibility &amp; Engineering Economics Report</w:t>
      </w:r>
    </w:p>
    <w:p>
      <w:pPr>
        <w:pStyle w:val="FirstParagraph"/>
      </w:pPr>
      <w:r>
        <w:rPr>
          <w:b/>
          <w:bCs/>
        </w:rPr>
        <w:t xml:space="preserve">Project:</w:t>
      </w:r>
      <w:r>
        <w:t xml:space="preserve"> </w:t>
      </w:r>
      <w:r>
        <w:t xml:space="preserve">New Valley Hub</w:t>
      </w:r>
      <w:r>
        <w:br/>
      </w:r>
      <w:r>
        <w:rPr>
          <w:b/>
          <w:bCs/>
        </w:rPr>
        <w:t xml:space="preserve">Prepared by:</w:t>
      </w:r>
      <w:r>
        <w:t xml:space="preserve"> </w:t>
      </w:r>
      <w:r>
        <w:t xml:space="preserve">SandScript Team</w:t>
      </w:r>
      <w:r>
        <w:br/>
      </w:r>
      <w:r>
        <w:rPr>
          <w:b/>
          <w:bCs/>
        </w:rPr>
        <w:t xml:space="preserve">Date:</w:t>
      </w:r>
      <w:r>
        <w:t xml:space="preserve"> </w:t>
      </w:r>
      <w:r>
        <w:t xml:space="preserve">April 2026</w:t>
      </w:r>
    </w:p>
    <w:p>
      <w:r>
        <w:pict>
          <v:rect style="width:0;height:1.5pt" o:hralign="center" o:hrstd="t" o:hr="t"/>
        </w:pict>
      </w:r>
    </w:p>
    <w:bookmarkStart w:id="9" w:name="executive-summary"/>
    <w:p>
      <w:pPr>
        <w:pStyle w:val="Heading2"/>
      </w:pPr>
      <w:r>
        <w:t xml:space="preserve">1. Executive Summary</w:t>
      </w:r>
    </w:p>
    <w:p>
      <w:pPr>
        <w:pStyle w:val="FirstParagraph"/>
      </w:pPr>
      <w:r>
        <w:t xml:space="preserve">The</w:t>
      </w:r>
      <w:r>
        <w:t xml:space="preserve"> </w:t>
      </w:r>
      <w:r>
        <w:rPr>
          <w:b/>
          <w:bCs/>
        </w:rPr>
        <w:t xml:space="preserve">New Valley Hub</w:t>
      </w:r>
      <w:r>
        <w:t xml:space="preserve"> </w:t>
      </w:r>
      <w:r>
        <w:t xml:space="preserve">represents a strategic, high-yield digital infrastructure project aimed at transforming the eco-tourism ecosystem of Al Wadi Al Jadid (New Valley), Egypt. Structured similarly to a smart infrastructure system (e.g., a</w:t>
      </w:r>
      <w:r>
        <w:t xml:space="preserve"> </w:t>
      </w:r>
      <w:r>
        <w:t xml:space="preserve">“Smart Garage”</w:t>
      </w:r>
      <w:r>
        <w:t xml:space="preserve"> </w:t>
      </w:r>
      <w:r>
        <w:t xml:space="preserve">controlling throughput and value extraction), this platform centralizes diverse services—accommodation, local crafts, and AI-guided tours—into a unified digital gateway. By addressing severe market inefficiencies and bridging the digital divide, we unlock a sustainable and scalable revenue model with minimal initial capital expenditure and incredibly high margins. This report details the technical feasibility, economic viability, and precise cash flow structures validating the project’s long-term profitability.</w:t>
      </w:r>
    </w:p>
    <w:p>
      <w:r>
        <w:pict>
          <v:rect style="width:0;height:1.5pt" o:hralign="center" o:hrstd="t" o:hr="t"/>
        </w:pict>
      </w:r>
    </w:p>
    <w:bookmarkEnd w:id="9"/>
    <w:bookmarkStart w:id="10" w:name="problem-statement-opportunity"/>
    <w:p>
      <w:pPr>
        <w:pStyle w:val="Heading2"/>
      </w:pPr>
      <w:r>
        <w:t xml:space="preserve">2. Problem Statement &amp; Opportunity</w:t>
      </w:r>
    </w:p>
    <w:p>
      <w:pPr>
        <w:pStyle w:val="FirstParagraph"/>
      </w:pPr>
      <w:r>
        <w:rPr>
          <w:b/>
          <w:bCs/>
        </w:rPr>
        <w:t xml:space="preserve">The Economic Problem:</w:t>
      </w:r>
    </w:p>
    <w:p>
      <w:pPr>
        <w:pStyle w:val="BodyText"/>
      </w:pPr>
      <w:r>
        <w:t xml:space="preserve">Al Wadi Al Jadid contains unparalleled historical and natural assets, yet remains economically isolated due to a severe infrastructure and digital divide.</w:t>
      </w:r>
    </w:p>
    <w:p>
      <w:pPr>
        <w:pStyle w:val="Compact"/>
        <w:numPr>
          <w:ilvl w:val="0"/>
          <w:numId w:val="1001"/>
        </w:numPr>
      </w:pPr>
      <w:r>
        <w:rPr>
          <w:b/>
          <w:bCs/>
        </w:rPr>
        <w:t xml:space="preserve">Economic Isolation of Artisans:</w:t>
      </w:r>
      <w:r>
        <w:t xml:space="preserve"> </w:t>
      </w:r>
      <w:r>
        <w:t xml:space="preserve">Local craftsmen and small merchants depend entirely on negligible physical foot traffic, severing them from a multi-million-dollar national souvenir and craft market.</w:t>
      </w:r>
    </w:p>
    <w:p>
      <w:pPr>
        <w:pStyle w:val="Compact"/>
        <w:numPr>
          <w:ilvl w:val="0"/>
          <w:numId w:val="1001"/>
        </w:numPr>
      </w:pPr>
      <w:r>
        <w:rPr>
          <w:b/>
          <w:bCs/>
        </w:rPr>
        <w:t xml:space="preserve">Data &amp; Information Scarcity:</w:t>
      </w:r>
      <w:r>
        <w:t xml:space="preserve"> </w:t>
      </w:r>
      <w:r>
        <w:t xml:space="preserve">Potential tourists face friction at every step—from navigating untracked desert routes to booking non-digitized eco-lodges.</w:t>
      </w:r>
    </w:p>
    <w:p>
      <w:pPr>
        <w:pStyle w:val="Compact"/>
        <w:numPr>
          <w:ilvl w:val="0"/>
          <w:numId w:val="1001"/>
        </w:numPr>
      </w:pPr>
      <w:r>
        <w:rPr>
          <w:b/>
          <w:bCs/>
        </w:rPr>
        <w:t xml:space="preserve">Fragmented Yield Management:</w:t>
      </w:r>
      <w:r>
        <w:t xml:space="preserve"> </w:t>
      </w:r>
      <w:r>
        <w:t xml:space="preserve">The absence of a unified booking directory means massive lost revenue for both hospitality vendors and municipal oversight.</w:t>
      </w:r>
    </w:p>
    <w:p>
      <w:pPr>
        <w:pStyle w:val="FirstParagraph"/>
      </w:pPr>
      <w:r>
        <w:rPr>
          <w:b/>
          <w:bCs/>
        </w:rPr>
        <w:t xml:space="preserve">The Strategic Opportunity:</w:t>
      </w:r>
    </w:p>
    <w:p>
      <w:pPr>
        <w:pStyle w:val="BodyText"/>
      </w:pPr>
      <w:r>
        <w:t xml:space="preserve">By deploying a centralized digital hub, we inject immediate liquidity into the local ecosystem. We act as the primary intermediary for all transactions, capturing value at multiple touchpoints while drastically reducing the customer acquisition cost (CAC) for local vendors.</w:t>
      </w:r>
    </w:p>
    <w:p>
      <w:r>
        <w:pict>
          <v:rect style="width:0;height:1.5pt" o:hralign="center" o:hrstd="t" o:hr="t"/>
        </w:pict>
      </w:r>
    </w:p>
    <w:bookmarkEnd w:id="10"/>
    <w:bookmarkStart w:id="14" w:name="revenue-streams-model"/>
    <w:p>
      <w:pPr>
        <w:pStyle w:val="Heading2"/>
      </w:pPr>
      <w:r>
        <w:t xml:space="preserve">3. Revenue Streams &amp; Model</w:t>
      </w:r>
    </w:p>
    <w:p>
      <w:pPr>
        <w:pStyle w:val="FirstParagraph"/>
      </w:pPr>
      <w:r>
        <w:t xml:space="preserve">Our economic model relies on a diversified, low-marginal-cost revenue architecture. Similar to a toll-booth model in infrastructure economics, New Valley Hub captures value from throughput across its ecosystem.</w:t>
      </w:r>
    </w:p>
    <w:p>
      <w:pPr>
        <w:pStyle w:val="Compact"/>
        <w:numPr>
          <w:ilvl w:val="0"/>
          <w:numId w:val="1002"/>
        </w:numPr>
      </w:pPr>
      <w:r>
        <w:rPr>
          <w:b/>
          <w:bCs/>
        </w:rPr>
        <w:t xml:space="preserve">Hotel Commissions (12-15%):</w:t>
      </w:r>
      <w:r>
        <w:t xml:space="preserve"> </w:t>
      </w:r>
      <w:r>
        <w:t xml:space="preserve">Primary volume driver. We take a commission on every room night booked through our API integrations.</w:t>
      </w:r>
    </w:p>
    <w:p>
      <w:pPr>
        <w:pStyle w:val="Compact"/>
        <w:numPr>
          <w:ilvl w:val="0"/>
          <w:numId w:val="1002"/>
        </w:numPr>
      </w:pPr>
      <w:r>
        <w:rPr>
          <w:b/>
          <w:bCs/>
        </w:rPr>
        <w:t xml:space="preserve">Marketplace Fees (10%):</w:t>
      </w:r>
      <w:r>
        <w:t xml:space="preserve"> </w:t>
      </w:r>
      <w:r>
        <w:t xml:space="preserve">A direct transactional cut on the gross merchandise value (GMV) of local crafts and dates sold.</w:t>
      </w:r>
    </w:p>
    <w:p>
      <w:pPr>
        <w:pStyle w:val="Compact"/>
        <w:numPr>
          <w:ilvl w:val="0"/>
          <w:numId w:val="1002"/>
        </w:numPr>
      </w:pPr>
      <w:r>
        <w:rPr>
          <w:b/>
          <w:bCs/>
        </w:rPr>
        <w:t xml:space="preserve">Sponsored Listings:</w:t>
      </w:r>
      <w:r>
        <w:t xml:space="preserve"> </w:t>
      </w:r>
      <w:r>
        <w:t xml:space="preserve">Predictable monthly recurring revenue (MRR) from local businesses prioritizing their placement on the platform.</w:t>
      </w:r>
    </w:p>
    <w:p>
      <w:pPr>
        <w:pStyle w:val="Compact"/>
        <w:numPr>
          <w:ilvl w:val="0"/>
          <w:numId w:val="1002"/>
        </w:numPr>
      </w:pPr>
      <w:r>
        <w:rPr>
          <w:b/>
          <w:bCs/>
        </w:rPr>
        <w:t xml:space="preserve">B2G Licensing (White Label):</w:t>
      </w:r>
      <w:r>
        <w:t xml:space="preserve"> </w:t>
      </w:r>
      <w:r>
        <w:t xml:space="preserve">High-ticket, high-margin software licensing to municipal governments and tourism boards utilizing our data dashboards.</w:t>
      </w:r>
    </w:p>
    <w:p>
      <w:pPr>
        <w:pStyle w:val="CaptionedFigure"/>
      </w:pPr>
      <w:r>
        <w:drawing>
          <wp:inline>
            <wp:extent cx="5334000" cy="2280046"/>
            <wp:effectExtent b="0" l="0" r="0" t="0"/>
            <wp:docPr descr="Revenue Streams Model" title="" id="12" name="Picture"/>
            <a:graphic>
              <a:graphicData uri="http://schemas.openxmlformats.org/drawingml/2006/picture">
                <pic:pic>
                  <pic:nvPicPr>
                    <pic:cNvPr descr="./screenshots/diagram_revenue.png" id="13" name="Picture"/>
                    <pic:cNvPicPr>
                      <a:picLocks noChangeArrowheads="1" noChangeAspect="1"/>
                    </pic:cNvPicPr>
                  </pic:nvPicPr>
                  <pic:blipFill>
                    <a:blip r:embed="rId11"/>
                    <a:stretch>
                      <a:fillRect/>
                    </a:stretch>
                  </pic:blipFill>
                  <pic:spPr bwMode="auto">
                    <a:xfrm>
                      <a:off x="0" y="0"/>
                      <a:ext cx="5334000" cy="2280046"/>
                    </a:xfrm>
                    <a:prstGeom prst="rect">
                      <a:avLst/>
                    </a:prstGeom>
                    <a:noFill/>
                    <a:ln w="9525">
                      <a:noFill/>
                      <a:headEnd/>
                      <a:tailEnd/>
                    </a:ln>
                  </pic:spPr>
                </pic:pic>
              </a:graphicData>
            </a:graphic>
          </wp:inline>
        </w:drawing>
      </w:r>
    </w:p>
    <w:p>
      <w:pPr>
        <w:pStyle w:val="ImageCaption"/>
      </w:pPr>
      <w:r>
        <w:t xml:space="preserve">Revenue Streams Model</w:t>
      </w:r>
    </w:p>
    <w:p>
      <w:r>
        <w:pict>
          <v:rect style="width:0;height:1.5pt" o:hralign="center" o:hrstd="t" o:hr="t"/>
        </w:pict>
      </w:r>
    </w:p>
    <w:bookmarkEnd w:id="14"/>
    <w:bookmarkStart w:id="18" w:name="detailed-cash-flow-analysis-year-1"/>
    <w:p>
      <w:pPr>
        <w:pStyle w:val="Heading2"/>
      </w:pPr>
      <w:r>
        <w:t xml:space="preserve">4. Detailed Cash Flow Analysis (Year 1)</w:t>
      </w:r>
    </w:p>
    <w:p>
      <w:pPr>
        <w:pStyle w:val="FirstParagraph"/>
      </w:pPr>
      <w:r>
        <w:t xml:space="preserve">The first year (Months 1 – 12) is focused on platform deployment, vendor onboarding, and initial market penetration. Our capital expenditure is heavily subsidized by the initial grant, leading to immediately positive aggregate cash flow.</w:t>
      </w:r>
    </w:p>
    <w:bookmarkStart w:id="15" w:name="cash-inflows-revenues-in-egp"/>
    <w:p>
      <w:pPr>
        <w:pStyle w:val="Heading3"/>
      </w:pPr>
      <w:r>
        <w:t xml:space="preserve">Cash Inflows (Revenues) — in EGP</w:t>
      </w:r>
    </w:p>
    <w:tbl>
      <w:tblPr>
        <w:tblStyle w:val="Table"/>
        <w:tblW w:type="pct" w:w="5000"/>
        <w:tblLayout w:type="fixed"/>
        <w:tblLook w:firstRow="1" w:lastRow="0" w:firstColumn="0" w:lastColumn="0" w:noHBand="0" w:noVBand="0" w:val="0020"/>
      </w:tblPr>
      <w:tblGrid>
        <w:gridCol w:w="1423"/>
        <w:gridCol w:w="444"/>
        <w:gridCol w:w="444"/>
        <w:gridCol w:w="444"/>
        <w:gridCol w:w="444"/>
        <w:gridCol w:w="444"/>
        <w:gridCol w:w="444"/>
        <w:gridCol w:w="444"/>
        <w:gridCol w:w="444"/>
        <w:gridCol w:w="444"/>
        <w:gridCol w:w="533"/>
        <w:gridCol w:w="533"/>
        <w:gridCol w:w="533"/>
        <w:gridCol w:w="889"/>
      </w:tblGrid>
      <w:tr>
        <w:trPr>
          <w:tblHeader w:val="on"/>
        </w:trPr>
        <w:tc>
          <w:tcPr/>
          <w:p>
            <w:pPr>
              <w:pStyle w:val="Compact"/>
            </w:pPr>
            <w:r>
              <w:t xml:space="preserve">Revenue Stream</w:t>
            </w:r>
          </w:p>
        </w:tc>
        <w:tc>
          <w:tcPr/>
          <w:p>
            <w:pPr>
              <w:pStyle w:val="Compact"/>
            </w:pPr>
            <w:r>
              <w:t xml:space="preserve">M 1</w:t>
            </w:r>
          </w:p>
        </w:tc>
        <w:tc>
          <w:tcPr/>
          <w:p>
            <w:pPr>
              <w:pStyle w:val="Compact"/>
            </w:pPr>
            <w:r>
              <w:t xml:space="preserve">M 2</w:t>
            </w:r>
          </w:p>
        </w:tc>
        <w:tc>
          <w:tcPr/>
          <w:p>
            <w:pPr>
              <w:pStyle w:val="Compact"/>
            </w:pPr>
            <w:r>
              <w:t xml:space="preserve">M 3</w:t>
            </w:r>
          </w:p>
        </w:tc>
        <w:tc>
          <w:tcPr/>
          <w:p>
            <w:pPr>
              <w:pStyle w:val="Compact"/>
            </w:pPr>
            <w:r>
              <w:t xml:space="preserve">M 4</w:t>
            </w:r>
          </w:p>
        </w:tc>
        <w:tc>
          <w:tcPr/>
          <w:p>
            <w:pPr>
              <w:pStyle w:val="Compact"/>
            </w:pPr>
            <w:r>
              <w:t xml:space="preserve">M 5</w:t>
            </w:r>
          </w:p>
        </w:tc>
        <w:tc>
          <w:tcPr/>
          <w:p>
            <w:pPr>
              <w:pStyle w:val="Compact"/>
            </w:pPr>
            <w:r>
              <w:t xml:space="preserve">M 6</w:t>
            </w:r>
          </w:p>
        </w:tc>
        <w:tc>
          <w:tcPr/>
          <w:p>
            <w:pPr>
              <w:pStyle w:val="Compact"/>
            </w:pPr>
            <w:r>
              <w:t xml:space="preserve">M 7</w:t>
            </w:r>
          </w:p>
        </w:tc>
        <w:tc>
          <w:tcPr/>
          <w:p>
            <w:pPr>
              <w:pStyle w:val="Compact"/>
            </w:pPr>
            <w:r>
              <w:t xml:space="preserve">M 8</w:t>
            </w:r>
          </w:p>
        </w:tc>
        <w:tc>
          <w:tcPr/>
          <w:p>
            <w:pPr>
              <w:pStyle w:val="Compact"/>
            </w:pPr>
            <w:r>
              <w:t xml:space="preserve">M 9</w:t>
            </w:r>
          </w:p>
        </w:tc>
        <w:tc>
          <w:tcPr/>
          <w:p>
            <w:pPr>
              <w:pStyle w:val="Compact"/>
            </w:pPr>
            <w:r>
              <w:t xml:space="preserve">M 10</w:t>
            </w:r>
          </w:p>
        </w:tc>
        <w:tc>
          <w:tcPr/>
          <w:p>
            <w:pPr>
              <w:pStyle w:val="Compact"/>
            </w:pPr>
            <w:r>
              <w:t xml:space="preserve">M 11</w:t>
            </w:r>
          </w:p>
        </w:tc>
        <w:tc>
          <w:tcPr/>
          <w:p>
            <w:pPr>
              <w:pStyle w:val="Compact"/>
            </w:pPr>
            <w:r>
              <w:t xml:space="preserve">M 12</w:t>
            </w:r>
          </w:p>
        </w:tc>
        <w:tc>
          <w:tcPr/>
          <w:p>
            <w:pPr>
              <w:pStyle w:val="Compact"/>
            </w:pPr>
            <w:r>
              <w:t xml:space="preserve">Total Y1</w:t>
            </w:r>
          </w:p>
        </w:tc>
      </w:tr>
      <w:tr>
        <w:tc>
          <w:tcPr/>
          <w:p>
            <w:pPr>
              <w:pStyle w:val="Compact"/>
            </w:pPr>
            <w:r>
              <w:t xml:space="preserve">Grant Funding (Prize)</w:t>
            </w:r>
          </w:p>
        </w:tc>
        <w:tc>
          <w:tcPr/>
          <w:p>
            <w:pPr>
              <w:pStyle w:val="Compact"/>
            </w:pPr>
            <w:r>
              <w:t xml:space="preserve">200,000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200,000</w:t>
            </w:r>
          </w:p>
        </w:tc>
      </w:tr>
      <w:tr>
        <w:tc>
          <w:tcPr/>
          <w:p>
            <w:pPr>
              <w:pStyle w:val="Compact"/>
            </w:pPr>
            <w:r>
              <w:t xml:space="preserve">Hotel Commissions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15,000</w:t>
            </w:r>
          </w:p>
        </w:tc>
        <w:tc>
          <w:tcPr/>
          <w:p>
            <w:pPr>
              <w:pStyle w:val="Compact"/>
            </w:pPr>
            <w:r>
              <w:t xml:space="preserve">35,000</w:t>
            </w:r>
          </w:p>
        </w:tc>
        <w:tc>
          <w:tcPr/>
          <w:p>
            <w:pPr>
              <w:pStyle w:val="Compact"/>
            </w:pPr>
            <w:r>
              <w:t xml:space="preserve">65,000</w:t>
            </w:r>
          </w:p>
        </w:tc>
        <w:tc>
          <w:tcPr/>
          <w:p>
            <w:pPr>
              <w:pStyle w:val="Compact"/>
            </w:pPr>
            <w:r>
              <w:t xml:space="preserve">100,000</w:t>
            </w:r>
          </w:p>
        </w:tc>
        <w:tc>
          <w:tcPr/>
          <w:p>
            <w:pPr>
              <w:pStyle w:val="Compact"/>
            </w:pPr>
            <w:r>
              <w:t xml:space="preserve">150,000</w:t>
            </w:r>
          </w:p>
        </w:tc>
        <w:tc>
          <w:tcPr/>
          <w:p>
            <w:pPr>
              <w:pStyle w:val="Compact"/>
            </w:pPr>
            <w:r>
              <w:t xml:space="preserve">220,000</w:t>
            </w:r>
          </w:p>
        </w:tc>
        <w:tc>
          <w:tcPr/>
          <w:p>
            <w:pPr>
              <w:pStyle w:val="Compact"/>
            </w:pPr>
            <w:r>
              <w:t xml:space="preserve">300,000</w:t>
            </w:r>
          </w:p>
        </w:tc>
        <w:tc>
          <w:tcPr/>
          <w:p>
            <w:pPr>
              <w:pStyle w:val="Compact"/>
            </w:pPr>
            <w:r>
              <w:t xml:space="preserve">350,000</w:t>
            </w:r>
          </w:p>
        </w:tc>
        <w:tc>
          <w:tcPr/>
          <w:p>
            <w:pPr>
              <w:pStyle w:val="Compact"/>
            </w:pPr>
            <w:r>
              <w:t xml:space="preserve">400,000</w:t>
            </w:r>
          </w:p>
        </w:tc>
        <w:tc>
          <w:tcPr/>
          <w:p>
            <w:pPr>
              <w:pStyle w:val="Compact"/>
            </w:pPr>
            <w:r>
              <w:rPr>
                <w:b/>
                <w:bCs/>
              </w:rPr>
              <w:t xml:space="preserve">1,635,000</w:t>
            </w:r>
          </w:p>
        </w:tc>
      </w:tr>
      <w:tr>
        <w:tc>
          <w:tcPr/>
          <w:p>
            <w:pPr>
              <w:pStyle w:val="Compact"/>
            </w:pPr>
            <w:r>
              <w:t xml:space="preserve">Marketplace Fees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500</w:t>
            </w:r>
          </w:p>
        </w:tc>
        <w:tc>
          <w:tcPr/>
          <w:p>
            <w:pPr>
              <w:pStyle w:val="Compact"/>
            </w:pPr>
            <w:r>
              <w:t xml:space="preserve">1,000</w:t>
            </w:r>
          </w:p>
        </w:tc>
        <w:tc>
          <w:tcPr/>
          <w:p>
            <w:pPr>
              <w:pStyle w:val="Compact"/>
            </w:pPr>
            <w:r>
              <w:t xml:space="preserve">2,000</w:t>
            </w:r>
          </w:p>
        </w:tc>
        <w:tc>
          <w:tcPr/>
          <w:p>
            <w:pPr>
              <w:pStyle w:val="Compact"/>
            </w:pPr>
            <w:r>
              <w:t xml:space="preserve">3,500</w:t>
            </w:r>
          </w:p>
        </w:tc>
        <w:tc>
          <w:tcPr/>
          <w:p>
            <w:pPr>
              <w:pStyle w:val="Compact"/>
            </w:pPr>
            <w:r>
              <w:t xml:space="preserve">5,000</w:t>
            </w:r>
          </w:p>
        </w:tc>
        <w:tc>
          <w:tcPr/>
          <w:p>
            <w:pPr>
              <w:pStyle w:val="Compact"/>
            </w:pPr>
            <w:r>
              <w:t xml:space="preserve">6,500</w:t>
            </w:r>
          </w:p>
        </w:tc>
        <w:tc>
          <w:tcPr/>
          <w:p>
            <w:pPr>
              <w:pStyle w:val="Compact"/>
            </w:pPr>
            <w:r>
              <w:t xml:space="preserve">8,000</w:t>
            </w:r>
          </w:p>
        </w:tc>
        <w:tc>
          <w:tcPr/>
          <w:p>
            <w:pPr>
              <w:pStyle w:val="Compact"/>
            </w:pPr>
            <w:r>
              <w:t xml:space="preserve">9,000</w:t>
            </w:r>
          </w:p>
        </w:tc>
        <w:tc>
          <w:tcPr/>
          <w:p>
            <w:pPr>
              <w:pStyle w:val="Compact"/>
            </w:pPr>
            <w:r>
              <w:t xml:space="preserve">10,000</w:t>
            </w:r>
          </w:p>
        </w:tc>
        <w:tc>
          <w:tcPr/>
          <w:p>
            <w:pPr>
              <w:pStyle w:val="Compact"/>
            </w:pPr>
            <w:r>
              <w:rPr>
                <w:b/>
                <w:bCs/>
              </w:rPr>
              <w:t xml:space="preserve">45,500</w:t>
            </w:r>
          </w:p>
        </w:tc>
      </w:tr>
      <w:tr>
        <w:tc>
          <w:tcPr/>
          <w:p>
            <w:pPr>
              <w:pStyle w:val="Compact"/>
            </w:pPr>
            <w:r>
              <w:t xml:space="preserve">Sponsored Listings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500</w:t>
            </w:r>
          </w:p>
        </w:tc>
        <w:tc>
          <w:tcPr/>
          <w:p>
            <w:pPr>
              <w:pStyle w:val="Compact"/>
            </w:pPr>
            <w:r>
              <w:t xml:space="preserve">1,000</w:t>
            </w:r>
          </w:p>
        </w:tc>
        <w:tc>
          <w:tcPr/>
          <w:p>
            <w:pPr>
              <w:pStyle w:val="Compact"/>
            </w:pPr>
            <w:r>
              <w:t xml:space="preserve">2,000</w:t>
            </w:r>
          </w:p>
        </w:tc>
        <w:tc>
          <w:tcPr/>
          <w:p>
            <w:pPr>
              <w:pStyle w:val="Compact"/>
            </w:pPr>
            <w:r>
              <w:t xml:space="preserve">3,000</w:t>
            </w:r>
          </w:p>
        </w:tc>
        <w:tc>
          <w:tcPr/>
          <w:p>
            <w:pPr>
              <w:pStyle w:val="Compact"/>
            </w:pPr>
            <w:r>
              <w:t xml:space="preserve">5,000</w:t>
            </w:r>
          </w:p>
        </w:tc>
        <w:tc>
          <w:tcPr/>
          <w:p>
            <w:pPr>
              <w:pStyle w:val="Compact"/>
            </w:pPr>
            <w:r>
              <w:t xml:space="preserve">8,000</w:t>
            </w:r>
          </w:p>
        </w:tc>
        <w:tc>
          <w:tcPr/>
          <w:p>
            <w:pPr>
              <w:pStyle w:val="Compact"/>
            </w:pPr>
            <w:r>
              <w:t xml:space="preserve">10,000</w:t>
            </w:r>
          </w:p>
        </w:tc>
        <w:tc>
          <w:tcPr/>
          <w:p>
            <w:pPr>
              <w:pStyle w:val="Compact"/>
            </w:pPr>
            <w:r>
              <w:rPr>
                <w:b/>
                <w:bCs/>
              </w:rPr>
              <w:t xml:space="preserve">29,500</w:t>
            </w:r>
          </w:p>
        </w:tc>
      </w:tr>
      <w:tr>
        <w:tc>
          <w:tcPr/>
          <w:p>
            <w:pPr>
              <w:pStyle w:val="Compact"/>
            </w:pPr>
            <w:r>
              <w:rPr>
                <w:b/>
                <w:bCs/>
              </w:rPr>
              <w:t xml:space="preserve">Total Cash In</w:t>
            </w:r>
          </w:p>
        </w:tc>
        <w:tc>
          <w:tcPr/>
          <w:p>
            <w:pPr>
              <w:pStyle w:val="Compact"/>
            </w:pPr>
            <w:r>
              <w:rPr>
                <w:b/>
                <w:bCs/>
              </w:rPr>
              <w:t xml:space="preserve">200,000</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15,500</w:t>
            </w:r>
          </w:p>
        </w:tc>
        <w:tc>
          <w:tcPr/>
          <w:p>
            <w:pPr>
              <w:pStyle w:val="Compact"/>
            </w:pPr>
            <w:r>
              <w:rPr>
                <w:b/>
                <w:bCs/>
              </w:rPr>
              <w:t xml:space="preserve">36,000</w:t>
            </w:r>
          </w:p>
        </w:tc>
        <w:tc>
          <w:tcPr/>
          <w:p>
            <w:pPr>
              <w:pStyle w:val="Compact"/>
            </w:pPr>
            <w:r>
              <w:rPr>
                <w:b/>
                <w:bCs/>
              </w:rPr>
              <w:t xml:space="preserve">67,500</w:t>
            </w:r>
          </w:p>
        </w:tc>
        <w:tc>
          <w:tcPr/>
          <w:p>
            <w:pPr>
              <w:pStyle w:val="Compact"/>
            </w:pPr>
            <w:r>
              <w:rPr>
                <w:b/>
                <w:bCs/>
              </w:rPr>
              <w:t xml:space="preserve">104,500</w:t>
            </w:r>
          </w:p>
        </w:tc>
        <w:tc>
          <w:tcPr/>
          <w:p>
            <w:pPr>
              <w:pStyle w:val="Compact"/>
            </w:pPr>
            <w:r>
              <w:rPr>
                <w:b/>
                <w:bCs/>
              </w:rPr>
              <w:t xml:space="preserve">157,000</w:t>
            </w:r>
          </w:p>
        </w:tc>
        <w:tc>
          <w:tcPr/>
          <w:p>
            <w:pPr>
              <w:pStyle w:val="Compact"/>
            </w:pPr>
            <w:r>
              <w:rPr>
                <w:b/>
                <w:bCs/>
              </w:rPr>
              <w:t xml:space="preserve">229,500</w:t>
            </w:r>
          </w:p>
        </w:tc>
        <w:tc>
          <w:tcPr/>
          <w:p>
            <w:pPr>
              <w:pStyle w:val="Compact"/>
            </w:pPr>
            <w:r>
              <w:rPr>
                <w:b/>
                <w:bCs/>
              </w:rPr>
              <w:t xml:space="preserve">313,000</w:t>
            </w:r>
          </w:p>
        </w:tc>
        <w:tc>
          <w:tcPr/>
          <w:p>
            <w:pPr>
              <w:pStyle w:val="Compact"/>
            </w:pPr>
            <w:r>
              <w:rPr>
                <w:b/>
                <w:bCs/>
              </w:rPr>
              <w:t xml:space="preserve">367,000</w:t>
            </w:r>
          </w:p>
        </w:tc>
        <w:tc>
          <w:tcPr/>
          <w:p>
            <w:pPr>
              <w:pStyle w:val="Compact"/>
            </w:pPr>
            <w:r>
              <w:rPr>
                <w:b/>
                <w:bCs/>
              </w:rPr>
              <w:t xml:space="preserve">420,000</w:t>
            </w:r>
          </w:p>
        </w:tc>
        <w:tc>
          <w:tcPr/>
          <w:p>
            <w:pPr>
              <w:pStyle w:val="Compact"/>
            </w:pPr>
            <w:r>
              <w:rPr>
                <w:b/>
                <w:bCs/>
              </w:rPr>
              <w:t xml:space="preserve">1,910,000</w:t>
            </w:r>
          </w:p>
        </w:tc>
      </w:tr>
    </w:tbl>
    <w:bookmarkEnd w:id="15"/>
    <w:bookmarkStart w:id="16" w:name="cash-outflows-expenses-in-egp"/>
    <w:p>
      <w:pPr>
        <w:pStyle w:val="Heading3"/>
      </w:pPr>
      <w:r>
        <w:t xml:space="preserve">Cash Outflows (Expenses) — in EGP</w:t>
      </w:r>
    </w:p>
    <w:tbl>
      <w:tblPr>
        <w:tblStyle w:val="Table"/>
        <w:tblW w:type="pct" w:w="5000"/>
        <w:tblLayout w:type="fixed"/>
        <w:tblLook w:firstRow="1" w:lastRow="0" w:firstColumn="0" w:lastColumn="0" w:noHBand="0" w:noVBand="0" w:val="0020"/>
      </w:tblPr>
      <w:tblGrid>
        <w:gridCol w:w="1566"/>
        <w:gridCol w:w="435"/>
        <w:gridCol w:w="435"/>
        <w:gridCol w:w="435"/>
        <w:gridCol w:w="435"/>
        <w:gridCol w:w="435"/>
        <w:gridCol w:w="435"/>
        <w:gridCol w:w="435"/>
        <w:gridCol w:w="435"/>
        <w:gridCol w:w="435"/>
        <w:gridCol w:w="522"/>
        <w:gridCol w:w="522"/>
        <w:gridCol w:w="522"/>
        <w:gridCol w:w="870"/>
      </w:tblGrid>
      <w:tr>
        <w:trPr>
          <w:tblHeader w:val="on"/>
        </w:trPr>
        <w:tc>
          <w:tcPr/>
          <w:p>
            <w:pPr>
              <w:pStyle w:val="Compact"/>
            </w:pPr>
            <w:r>
              <w:t xml:space="preserve">Expense Category</w:t>
            </w:r>
          </w:p>
        </w:tc>
        <w:tc>
          <w:tcPr/>
          <w:p>
            <w:pPr>
              <w:pStyle w:val="Compact"/>
            </w:pPr>
            <w:r>
              <w:t xml:space="preserve">M 1</w:t>
            </w:r>
          </w:p>
        </w:tc>
        <w:tc>
          <w:tcPr/>
          <w:p>
            <w:pPr>
              <w:pStyle w:val="Compact"/>
            </w:pPr>
            <w:r>
              <w:t xml:space="preserve">M 2</w:t>
            </w:r>
          </w:p>
        </w:tc>
        <w:tc>
          <w:tcPr/>
          <w:p>
            <w:pPr>
              <w:pStyle w:val="Compact"/>
            </w:pPr>
            <w:r>
              <w:t xml:space="preserve">M 3</w:t>
            </w:r>
          </w:p>
        </w:tc>
        <w:tc>
          <w:tcPr/>
          <w:p>
            <w:pPr>
              <w:pStyle w:val="Compact"/>
            </w:pPr>
            <w:r>
              <w:t xml:space="preserve">M 4</w:t>
            </w:r>
          </w:p>
        </w:tc>
        <w:tc>
          <w:tcPr/>
          <w:p>
            <w:pPr>
              <w:pStyle w:val="Compact"/>
            </w:pPr>
            <w:r>
              <w:t xml:space="preserve">M 5</w:t>
            </w:r>
          </w:p>
        </w:tc>
        <w:tc>
          <w:tcPr/>
          <w:p>
            <w:pPr>
              <w:pStyle w:val="Compact"/>
            </w:pPr>
            <w:r>
              <w:t xml:space="preserve">M 6</w:t>
            </w:r>
          </w:p>
        </w:tc>
        <w:tc>
          <w:tcPr/>
          <w:p>
            <w:pPr>
              <w:pStyle w:val="Compact"/>
            </w:pPr>
            <w:r>
              <w:t xml:space="preserve">M 7</w:t>
            </w:r>
          </w:p>
        </w:tc>
        <w:tc>
          <w:tcPr/>
          <w:p>
            <w:pPr>
              <w:pStyle w:val="Compact"/>
            </w:pPr>
            <w:r>
              <w:t xml:space="preserve">M 8</w:t>
            </w:r>
          </w:p>
        </w:tc>
        <w:tc>
          <w:tcPr/>
          <w:p>
            <w:pPr>
              <w:pStyle w:val="Compact"/>
            </w:pPr>
            <w:r>
              <w:t xml:space="preserve">M 9</w:t>
            </w:r>
          </w:p>
        </w:tc>
        <w:tc>
          <w:tcPr/>
          <w:p>
            <w:pPr>
              <w:pStyle w:val="Compact"/>
            </w:pPr>
            <w:r>
              <w:t xml:space="preserve">M 10</w:t>
            </w:r>
          </w:p>
        </w:tc>
        <w:tc>
          <w:tcPr/>
          <w:p>
            <w:pPr>
              <w:pStyle w:val="Compact"/>
            </w:pPr>
            <w:r>
              <w:t xml:space="preserve">M 11</w:t>
            </w:r>
          </w:p>
        </w:tc>
        <w:tc>
          <w:tcPr/>
          <w:p>
            <w:pPr>
              <w:pStyle w:val="Compact"/>
            </w:pPr>
            <w:r>
              <w:t xml:space="preserve">M 12</w:t>
            </w:r>
          </w:p>
        </w:tc>
        <w:tc>
          <w:tcPr/>
          <w:p>
            <w:pPr>
              <w:pStyle w:val="Compact"/>
            </w:pPr>
            <w:r>
              <w:t xml:space="preserve">Total Y1</w:t>
            </w:r>
          </w:p>
        </w:tc>
      </w:tr>
      <w:tr>
        <w:tc>
          <w:tcPr/>
          <w:p>
            <w:pPr>
              <w:pStyle w:val="Compact"/>
            </w:pPr>
            <w:r>
              <w:t xml:space="preserve">Hosting (AWS/GCP)</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10,500</w:t>
            </w:r>
          </w:p>
        </w:tc>
        <w:tc>
          <w:tcPr/>
          <w:p>
            <w:pPr>
              <w:pStyle w:val="Compact"/>
            </w:pPr>
            <w:r>
              <w:t xml:space="preserve">10,500</w:t>
            </w:r>
          </w:p>
        </w:tc>
        <w:tc>
          <w:tcPr/>
          <w:p>
            <w:pPr>
              <w:pStyle w:val="Compact"/>
            </w:pPr>
            <w:r>
              <w:t xml:space="preserve">11,000</w:t>
            </w:r>
          </w:p>
        </w:tc>
        <w:tc>
          <w:tcPr/>
          <w:p>
            <w:pPr>
              <w:pStyle w:val="Compact"/>
            </w:pPr>
            <w:r>
              <w:t xml:space="preserve">11,000</w:t>
            </w:r>
          </w:p>
        </w:tc>
        <w:tc>
          <w:tcPr/>
          <w:p>
            <w:pPr>
              <w:pStyle w:val="Compact"/>
            </w:pPr>
            <w:r>
              <w:t xml:space="preserve">12,000</w:t>
            </w:r>
          </w:p>
        </w:tc>
        <w:tc>
          <w:tcPr/>
          <w:p>
            <w:pPr>
              <w:pStyle w:val="Compact"/>
            </w:pPr>
            <w:r>
              <w:t xml:space="preserve">12,000</w:t>
            </w:r>
          </w:p>
        </w:tc>
        <w:tc>
          <w:tcPr/>
          <w:p>
            <w:pPr>
              <w:pStyle w:val="Compact"/>
            </w:pPr>
            <w:r>
              <w:t xml:space="preserve">13,000</w:t>
            </w:r>
          </w:p>
        </w:tc>
        <w:tc>
          <w:tcPr/>
          <w:p>
            <w:pPr>
              <w:pStyle w:val="Compact"/>
            </w:pPr>
            <w:r>
              <w:t xml:space="preserve">13,000</w:t>
            </w:r>
          </w:p>
        </w:tc>
        <w:tc>
          <w:tcPr/>
          <w:p>
            <w:pPr>
              <w:pStyle w:val="Compact"/>
            </w:pPr>
            <w:r>
              <w:rPr>
                <w:b/>
                <w:bCs/>
              </w:rPr>
              <w:t xml:space="preserve">133,000</w:t>
            </w:r>
          </w:p>
        </w:tc>
      </w:tr>
      <w:tr>
        <w:tc>
          <w:tcPr/>
          <w:p>
            <w:pPr>
              <w:pStyle w:val="Compact"/>
            </w:pPr>
            <w:r>
              <w:t xml:space="preserve">Marketing &amp; PR</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12,000</w:t>
            </w:r>
          </w:p>
        </w:tc>
        <w:tc>
          <w:tcPr/>
          <w:p>
            <w:pPr>
              <w:pStyle w:val="Compact"/>
            </w:pPr>
            <w:r>
              <w:t xml:space="preserve">12,000</w:t>
            </w:r>
          </w:p>
        </w:tc>
        <w:tc>
          <w:tcPr/>
          <w:p>
            <w:pPr>
              <w:pStyle w:val="Compact"/>
            </w:pPr>
            <w:r>
              <w:t xml:space="preserve">15,000</w:t>
            </w:r>
          </w:p>
        </w:tc>
        <w:tc>
          <w:tcPr/>
          <w:p>
            <w:pPr>
              <w:pStyle w:val="Compact"/>
            </w:pPr>
            <w:r>
              <w:t xml:space="preserve">15,000</w:t>
            </w:r>
          </w:p>
        </w:tc>
        <w:tc>
          <w:tcPr/>
          <w:p>
            <w:pPr>
              <w:pStyle w:val="Compact"/>
            </w:pPr>
            <w:r>
              <w:t xml:space="preserve">15,000</w:t>
            </w:r>
          </w:p>
        </w:tc>
        <w:tc>
          <w:tcPr/>
          <w:p>
            <w:pPr>
              <w:pStyle w:val="Compact"/>
            </w:pPr>
            <w:r>
              <w:t xml:space="preserve">15,000</w:t>
            </w:r>
          </w:p>
        </w:tc>
        <w:tc>
          <w:tcPr/>
          <w:p>
            <w:pPr>
              <w:pStyle w:val="Compact"/>
            </w:pPr>
            <w:r>
              <w:rPr>
                <w:b/>
                <w:bCs/>
              </w:rPr>
              <w:t xml:space="preserve">144,000</w:t>
            </w:r>
          </w:p>
        </w:tc>
      </w:tr>
      <w:tr>
        <w:tc>
          <w:tcPr/>
          <w:p>
            <w:pPr>
              <w:pStyle w:val="Compact"/>
            </w:pPr>
            <w:r>
              <w:t xml:space="preserve">AI API Costs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400</w:t>
            </w:r>
          </w:p>
        </w:tc>
        <w:tc>
          <w:tcPr/>
          <w:p>
            <w:pPr>
              <w:pStyle w:val="Compact"/>
            </w:pPr>
            <w:r>
              <w:t xml:space="preserve">600</w:t>
            </w:r>
          </w:p>
        </w:tc>
        <w:tc>
          <w:tcPr/>
          <w:p>
            <w:pPr>
              <w:pStyle w:val="Compact"/>
            </w:pPr>
            <w:r>
              <w:t xml:space="preserve">800</w:t>
            </w:r>
          </w:p>
        </w:tc>
        <w:tc>
          <w:tcPr/>
          <w:p>
            <w:pPr>
              <w:pStyle w:val="Compact"/>
            </w:pPr>
            <w:r>
              <w:t xml:space="preserve">1,000</w:t>
            </w:r>
          </w:p>
        </w:tc>
        <w:tc>
          <w:tcPr/>
          <w:p>
            <w:pPr>
              <w:pStyle w:val="Compact"/>
            </w:pPr>
            <w:r>
              <w:t xml:space="preserve">1,500</w:t>
            </w:r>
          </w:p>
        </w:tc>
        <w:tc>
          <w:tcPr/>
          <w:p>
            <w:pPr>
              <w:pStyle w:val="Compact"/>
            </w:pPr>
            <w:r>
              <w:t xml:space="preserve">2,000</w:t>
            </w:r>
          </w:p>
        </w:tc>
        <w:tc>
          <w:tcPr/>
          <w:p>
            <w:pPr>
              <w:pStyle w:val="Compact"/>
            </w:pPr>
            <w:r>
              <w:t xml:space="preserve">3,000</w:t>
            </w:r>
          </w:p>
        </w:tc>
        <w:tc>
          <w:tcPr/>
          <w:p>
            <w:pPr>
              <w:pStyle w:val="Compact"/>
            </w:pPr>
            <w:r>
              <w:t xml:space="preserve">4,000</w:t>
            </w:r>
          </w:p>
        </w:tc>
        <w:tc>
          <w:tcPr/>
          <w:p>
            <w:pPr>
              <w:pStyle w:val="Compact"/>
            </w:pPr>
            <w:r>
              <w:rPr>
                <w:b/>
                <w:bCs/>
              </w:rPr>
              <w:t xml:space="preserve">13,800</w:t>
            </w:r>
          </w:p>
        </w:tc>
      </w:tr>
      <w:tr>
        <w:tc>
          <w:tcPr/>
          <w:p>
            <w:pPr>
              <w:pStyle w:val="Compact"/>
            </w:pPr>
            <w:r>
              <w:t xml:space="preserve">Operations &amp; Misc</w:t>
            </w:r>
          </w:p>
        </w:tc>
        <w:tc>
          <w:tcPr/>
          <w:p>
            <w:pPr>
              <w:pStyle w:val="Compact"/>
            </w:pPr>
            <w:r>
              <w:t xml:space="preserve">1,500</w:t>
            </w:r>
          </w:p>
        </w:tc>
        <w:tc>
          <w:tcPr/>
          <w:p>
            <w:pPr>
              <w:pStyle w:val="Compact"/>
            </w:pPr>
            <w:r>
              <w:t xml:space="preserve">1,500</w:t>
            </w:r>
          </w:p>
        </w:tc>
        <w:tc>
          <w:tcPr/>
          <w:p>
            <w:pPr>
              <w:pStyle w:val="Compact"/>
            </w:pPr>
            <w:r>
              <w:t xml:space="preserve">1,500</w:t>
            </w:r>
          </w:p>
        </w:tc>
        <w:tc>
          <w:tcPr/>
          <w:p>
            <w:pPr>
              <w:pStyle w:val="Compact"/>
            </w:pPr>
            <w:r>
              <w:t xml:space="preserve">1,500</w:t>
            </w:r>
          </w:p>
        </w:tc>
        <w:tc>
          <w:tcPr/>
          <w:p>
            <w:pPr>
              <w:pStyle w:val="Compact"/>
            </w:pPr>
            <w:r>
              <w:t xml:space="preserve">2,000</w:t>
            </w:r>
          </w:p>
        </w:tc>
        <w:tc>
          <w:tcPr/>
          <w:p>
            <w:pPr>
              <w:pStyle w:val="Compact"/>
            </w:pPr>
            <w:r>
              <w:t xml:space="preserve">2,000</w:t>
            </w:r>
          </w:p>
        </w:tc>
        <w:tc>
          <w:tcPr/>
          <w:p>
            <w:pPr>
              <w:pStyle w:val="Compact"/>
            </w:pPr>
            <w:r>
              <w:t xml:space="preserve">2,500</w:t>
            </w:r>
          </w:p>
        </w:tc>
        <w:tc>
          <w:tcPr/>
          <w:p>
            <w:pPr>
              <w:pStyle w:val="Compact"/>
            </w:pPr>
            <w:r>
              <w:t xml:space="preserve">3,000</w:t>
            </w:r>
          </w:p>
        </w:tc>
        <w:tc>
          <w:tcPr/>
          <w:p>
            <w:pPr>
              <w:pStyle w:val="Compact"/>
            </w:pPr>
            <w:r>
              <w:t xml:space="preserve">3,000</w:t>
            </w:r>
          </w:p>
        </w:tc>
        <w:tc>
          <w:tcPr/>
          <w:p>
            <w:pPr>
              <w:pStyle w:val="Compact"/>
            </w:pPr>
            <w:r>
              <w:t xml:space="preserve">3,500</w:t>
            </w:r>
          </w:p>
        </w:tc>
        <w:tc>
          <w:tcPr/>
          <w:p>
            <w:pPr>
              <w:pStyle w:val="Compact"/>
            </w:pPr>
            <w:r>
              <w:t xml:space="preserve">3,500</w:t>
            </w:r>
          </w:p>
        </w:tc>
        <w:tc>
          <w:tcPr/>
          <w:p>
            <w:pPr>
              <w:pStyle w:val="Compact"/>
            </w:pPr>
            <w:r>
              <w:t xml:space="preserve">4,000</w:t>
            </w:r>
          </w:p>
        </w:tc>
        <w:tc>
          <w:tcPr/>
          <w:p>
            <w:pPr>
              <w:pStyle w:val="Compact"/>
            </w:pPr>
            <w:r>
              <w:rPr>
                <w:b/>
                <w:bCs/>
              </w:rPr>
              <w:t xml:space="preserve">29,500</w:t>
            </w:r>
          </w:p>
        </w:tc>
      </w:tr>
      <w:tr>
        <w:tc>
          <w:tcPr/>
          <w:p>
            <w:pPr>
              <w:pStyle w:val="Compact"/>
            </w:pPr>
            <w:r>
              <w:rPr>
                <w:b/>
                <w:bCs/>
              </w:rPr>
              <w:t xml:space="preserve">Total Cash Out</w:t>
            </w:r>
          </w:p>
        </w:tc>
        <w:tc>
          <w:tcPr/>
          <w:p>
            <w:pPr>
              <w:pStyle w:val="Compact"/>
            </w:pPr>
            <w:r>
              <w:rPr>
                <w:b/>
                <w:bCs/>
              </w:rPr>
              <w:t xml:space="preserve">21,600</w:t>
            </w:r>
          </w:p>
        </w:tc>
        <w:tc>
          <w:tcPr/>
          <w:p>
            <w:pPr>
              <w:pStyle w:val="Compact"/>
            </w:pPr>
            <w:r>
              <w:rPr>
                <w:b/>
                <w:bCs/>
              </w:rPr>
              <w:t xml:space="preserve">21,600</w:t>
            </w:r>
          </w:p>
        </w:tc>
        <w:tc>
          <w:tcPr/>
          <w:p>
            <w:pPr>
              <w:pStyle w:val="Compact"/>
            </w:pPr>
            <w:r>
              <w:rPr>
                <w:b/>
                <w:bCs/>
              </w:rPr>
              <w:t xml:space="preserve">21,600</w:t>
            </w:r>
          </w:p>
        </w:tc>
        <w:tc>
          <w:tcPr/>
          <w:p>
            <w:pPr>
              <w:pStyle w:val="Compact"/>
            </w:pPr>
            <w:r>
              <w:rPr>
                <w:b/>
                <w:bCs/>
              </w:rPr>
              <w:t xml:space="preserve">21,700</w:t>
            </w:r>
          </w:p>
        </w:tc>
        <w:tc>
          <w:tcPr/>
          <w:p>
            <w:pPr>
              <w:pStyle w:val="Compact"/>
            </w:pPr>
            <w:r>
              <w:rPr>
                <w:b/>
                <w:bCs/>
              </w:rPr>
              <w:t xml:space="preserve">22,900</w:t>
            </w:r>
          </w:p>
        </w:tc>
        <w:tc>
          <w:tcPr/>
          <w:p>
            <w:pPr>
              <w:pStyle w:val="Compact"/>
            </w:pPr>
            <w:r>
              <w:rPr>
                <w:b/>
                <w:bCs/>
              </w:rPr>
              <w:t xml:space="preserve">23,100</w:t>
            </w:r>
          </w:p>
        </w:tc>
        <w:tc>
          <w:tcPr/>
          <w:p>
            <w:pPr>
              <w:pStyle w:val="Compact"/>
            </w:pPr>
            <w:r>
              <w:rPr>
                <w:b/>
                <w:bCs/>
              </w:rPr>
              <w:t xml:space="preserve">26,300</w:t>
            </w:r>
          </w:p>
        </w:tc>
        <w:tc>
          <w:tcPr/>
          <w:p>
            <w:pPr>
              <w:pStyle w:val="Compact"/>
            </w:pPr>
            <w:r>
              <w:rPr>
                <w:b/>
                <w:bCs/>
              </w:rPr>
              <w:t xml:space="preserve">27,000</w:t>
            </w:r>
          </w:p>
        </w:tc>
        <w:tc>
          <w:tcPr/>
          <w:p>
            <w:pPr>
              <w:pStyle w:val="Compact"/>
            </w:pPr>
            <w:r>
              <w:rPr>
                <w:b/>
                <w:bCs/>
              </w:rPr>
              <w:t xml:space="preserve">31,500</w:t>
            </w:r>
          </w:p>
        </w:tc>
        <w:tc>
          <w:tcPr/>
          <w:p>
            <w:pPr>
              <w:pStyle w:val="Compact"/>
            </w:pPr>
            <w:r>
              <w:rPr>
                <w:b/>
                <w:bCs/>
              </w:rPr>
              <w:t xml:space="preserve">32,500</w:t>
            </w:r>
          </w:p>
        </w:tc>
        <w:tc>
          <w:tcPr/>
          <w:p>
            <w:pPr>
              <w:pStyle w:val="Compact"/>
            </w:pPr>
            <w:r>
              <w:rPr>
                <w:b/>
                <w:bCs/>
              </w:rPr>
              <w:t xml:space="preserve">34,500</w:t>
            </w:r>
          </w:p>
        </w:tc>
        <w:tc>
          <w:tcPr/>
          <w:p>
            <w:pPr>
              <w:pStyle w:val="Compact"/>
            </w:pPr>
            <w:r>
              <w:rPr>
                <w:b/>
                <w:bCs/>
              </w:rPr>
              <w:t xml:space="preserve">36,000</w:t>
            </w:r>
          </w:p>
        </w:tc>
        <w:tc>
          <w:tcPr/>
          <w:p>
            <w:pPr>
              <w:pStyle w:val="Compact"/>
            </w:pPr>
            <w:r>
              <w:rPr>
                <w:b/>
                <w:bCs/>
              </w:rPr>
              <w:t xml:space="preserve">320,300</w:t>
            </w:r>
          </w:p>
        </w:tc>
      </w:tr>
    </w:tbl>
    <w:bookmarkEnd w:id="16"/>
    <w:bookmarkStart w:id="17" w:name="net-cumulative-cash-flow-in-egp"/>
    <w:p>
      <w:pPr>
        <w:pStyle w:val="Heading3"/>
      </w:pPr>
      <w:r>
        <w:t xml:space="preserve">Net &amp; Cumulative Cash Flow — in EGP</w:t>
      </w:r>
    </w:p>
    <w:tbl>
      <w:tblPr>
        <w:tblStyle w:val="Table"/>
        <w:tblW w:type="pct" w:w="5000"/>
        <w:tblLayout w:type="fixed"/>
        <w:tblLook w:firstRow="1" w:lastRow="0" w:firstColumn="0" w:lastColumn="0" w:noHBand="0" w:noVBand="0" w:val="0020"/>
      </w:tblPr>
      <w:tblGrid>
        <w:gridCol w:w="782"/>
        <w:gridCol w:w="488"/>
        <w:gridCol w:w="488"/>
        <w:gridCol w:w="488"/>
        <w:gridCol w:w="488"/>
        <w:gridCol w:w="488"/>
        <w:gridCol w:w="488"/>
        <w:gridCol w:w="488"/>
        <w:gridCol w:w="488"/>
        <w:gridCol w:w="488"/>
        <w:gridCol w:w="586"/>
        <w:gridCol w:w="586"/>
        <w:gridCol w:w="586"/>
        <w:gridCol w:w="977"/>
      </w:tblGrid>
      <w:tr>
        <w:trPr>
          <w:tblHeader w:val="on"/>
        </w:trPr>
        <w:tc>
          <w:tcPr/>
          <w:p>
            <w:pPr>
              <w:pStyle w:val="Compact"/>
            </w:pPr>
            <w:r>
              <w:t xml:space="preserve">Metric</w:t>
            </w:r>
          </w:p>
        </w:tc>
        <w:tc>
          <w:tcPr/>
          <w:p>
            <w:pPr>
              <w:pStyle w:val="Compact"/>
            </w:pPr>
            <w:r>
              <w:t xml:space="preserve">M 1</w:t>
            </w:r>
          </w:p>
        </w:tc>
        <w:tc>
          <w:tcPr/>
          <w:p>
            <w:pPr>
              <w:pStyle w:val="Compact"/>
            </w:pPr>
            <w:r>
              <w:t xml:space="preserve">M 2</w:t>
            </w:r>
          </w:p>
        </w:tc>
        <w:tc>
          <w:tcPr/>
          <w:p>
            <w:pPr>
              <w:pStyle w:val="Compact"/>
            </w:pPr>
            <w:r>
              <w:t xml:space="preserve">M 3</w:t>
            </w:r>
          </w:p>
        </w:tc>
        <w:tc>
          <w:tcPr/>
          <w:p>
            <w:pPr>
              <w:pStyle w:val="Compact"/>
            </w:pPr>
            <w:r>
              <w:t xml:space="preserve">M 4</w:t>
            </w:r>
          </w:p>
        </w:tc>
        <w:tc>
          <w:tcPr/>
          <w:p>
            <w:pPr>
              <w:pStyle w:val="Compact"/>
            </w:pPr>
            <w:r>
              <w:t xml:space="preserve">M 5</w:t>
            </w:r>
          </w:p>
        </w:tc>
        <w:tc>
          <w:tcPr/>
          <w:p>
            <w:pPr>
              <w:pStyle w:val="Compact"/>
            </w:pPr>
            <w:r>
              <w:t xml:space="preserve">M 6</w:t>
            </w:r>
          </w:p>
        </w:tc>
        <w:tc>
          <w:tcPr/>
          <w:p>
            <w:pPr>
              <w:pStyle w:val="Compact"/>
            </w:pPr>
            <w:r>
              <w:t xml:space="preserve">M 7</w:t>
            </w:r>
          </w:p>
        </w:tc>
        <w:tc>
          <w:tcPr/>
          <w:p>
            <w:pPr>
              <w:pStyle w:val="Compact"/>
            </w:pPr>
            <w:r>
              <w:t xml:space="preserve">M 8</w:t>
            </w:r>
          </w:p>
        </w:tc>
        <w:tc>
          <w:tcPr/>
          <w:p>
            <w:pPr>
              <w:pStyle w:val="Compact"/>
            </w:pPr>
            <w:r>
              <w:t xml:space="preserve">M 9</w:t>
            </w:r>
          </w:p>
        </w:tc>
        <w:tc>
          <w:tcPr/>
          <w:p>
            <w:pPr>
              <w:pStyle w:val="Compact"/>
            </w:pPr>
            <w:r>
              <w:t xml:space="preserve">M 10</w:t>
            </w:r>
          </w:p>
        </w:tc>
        <w:tc>
          <w:tcPr/>
          <w:p>
            <w:pPr>
              <w:pStyle w:val="Compact"/>
            </w:pPr>
            <w:r>
              <w:t xml:space="preserve">M 11</w:t>
            </w:r>
          </w:p>
        </w:tc>
        <w:tc>
          <w:tcPr/>
          <w:p>
            <w:pPr>
              <w:pStyle w:val="Compact"/>
            </w:pPr>
            <w:r>
              <w:t xml:space="preserve">M 12</w:t>
            </w:r>
          </w:p>
        </w:tc>
        <w:tc>
          <w:tcPr/>
          <w:p>
            <w:pPr>
              <w:pStyle w:val="Compact"/>
            </w:pPr>
            <w:r>
              <w:t xml:space="preserve">Total Y1</w:t>
            </w:r>
          </w:p>
        </w:tc>
      </w:tr>
      <w:tr>
        <w:tc>
          <w:tcPr/>
          <w:p>
            <w:pPr>
              <w:pStyle w:val="Compact"/>
            </w:pPr>
            <w:r>
              <w:t xml:space="preserve">Net Cash Flow</w:t>
            </w:r>
          </w:p>
        </w:tc>
        <w:tc>
          <w:tcPr/>
          <w:p>
            <w:pPr>
              <w:pStyle w:val="Compact"/>
            </w:pPr>
            <w:r>
              <w:t xml:space="preserve">178,400</w:t>
            </w:r>
          </w:p>
        </w:tc>
        <w:tc>
          <w:tcPr/>
          <w:p>
            <w:pPr>
              <w:pStyle w:val="Compact"/>
            </w:pPr>
            <w:r>
              <w:t xml:space="preserve">-21,600</w:t>
            </w:r>
          </w:p>
        </w:tc>
        <w:tc>
          <w:tcPr/>
          <w:p>
            <w:pPr>
              <w:pStyle w:val="Compact"/>
            </w:pPr>
            <w:r>
              <w:t xml:space="preserve">-21,600</w:t>
            </w:r>
          </w:p>
        </w:tc>
        <w:tc>
          <w:tcPr/>
          <w:p>
            <w:pPr>
              <w:pStyle w:val="Compact"/>
            </w:pPr>
            <w:r>
              <w:t xml:space="preserve">-6,200</w:t>
            </w:r>
          </w:p>
        </w:tc>
        <w:tc>
          <w:tcPr/>
          <w:p>
            <w:pPr>
              <w:pStyle w:val="Compact"/>
            </w:pPr>
            <w:r>
              <w:t xml:space="preserve">13,100</w:t>
            </w:r>
          </w:p>
        </w:tc>
        <w:tc>
          <w:tcPr/>
          <w:p>
            <w:pPr>
              <w:pStyle w:val="Compact"/>
            </w:pPr>
            <w:r>
              <w:t xml:space="preserve">44,400</w:t>
            </w:r>
          </w:p>
        </w:tc>
        <w:tc>
          <w:tcPr/>
          <w:p>
            <w:pPr>
              <w:pStyle w:val="Compact"/>
            </w:pPr>
            <w:r>
              <w:t xml:space="preserve">78,200</w:t>
            </w:r>
          </w:p>
        </w:tc>
        <w:tc>
          <w:tcPr/>
          <w:p>
            <w:pPr>
              <w:pStyle w:val="Compact"/>
            </w:pPr>
            <w:r>
              <w:t xml:space="preserve">130,000</w:t>
            </w:r>
          </w:p>
        </w:tc>
        <w:tc>
          <w:tcPr/>
          <w:p>
            <w:pPr>
              <w:pStyle w:val="Compact"/>
            </w:pPr>
            <w:r>
              <w:t xml:space="preserve">198,000</w:t>
            </w:r>
          </w:p>
        </w:tc>
        <w:tc>
          <w:tcPr/>
          <w:p>
            <w:pPr>
              <w:pStyle w:val="Compact"/>
            </w:pPr>
            <w:r>
              <w:t xml:space="preserve">280,500</w:t>
            </w:r>
          </w:p>
        </w:tc>
        <w:tc>
          <w:tcPr/>
          <w:p>
            <w:pPr>
              <w:pStyle w:val="Compact"/>
            </w:pPr>
            <w:r>
              <w:t xml:space="preserve">332,500</w:t>
            </w:r>
          </w:p>
        </w:tc>
        <w:tc>
          <w:tcPr/>
          <w:p>
            <w:pPr>
              <w:pStyle w:val="Compact"/>
            </w:pPr>
            <w:r>
              <w:t xml:space="preserve">384,000</w:t>
            </w:r>
          </w:p>
        </w:tc>
        <w:tc>
          <w:tcPr/>
          <w:p>
            <w:pPr>
              <w:pStyle w:val="Compact"/>
            </w:pPr>
            <w:r>
              <w:rPr>
                <w:b/>
                <w:bCs/>
              </w:rPr>
              <w:t xml:space="preserve">1,589,700</w:t>
            </w:r>
          </w:p>
        </w:tc>
      </w:tr>
      <w:tr>
        <w:tc>
          <w:tcPr/>
          <w:p>
            <w:pPr>
              <w:pStyle w:val="Compact"/>
            </w:pPr>
            <w:r>
              <w:rPr>
                <w:b/>
                <w:bCs/>
              </w:rPr>
              <w:t xml:space="preserve">Cumulative Balance</w:t>
            </w:r>
          </w:p>
        </w:tc>
        <w:tc>
          <w:tcPr/>
          <w:p>
            <w:pPr>
              <w:pStyle w:val="Compact"/>
            </w:pPr>
            <w:r>
              <w:rPr>
                <w:b/>
                <w:bCs/>
              </w:rPr>
              <w:t xml:space="preserve">178,400</w:t>
            </w:r>
          </w:p>
        </w:tc>
        <w:tc>
          <w:tcPr/>
          <w:p>
            <w:pPr>
              <w:pStyle w:val="Compact"/>
            </w:pPr>
            <w:r>
              <w:rPr>
                <w:b/>
                <w:bCs/>
              </w:rPr>
              <w:t xml:space="preserve">156,800</w:t>
            </w:r>
          </w:p>
        </w:tc>
        <w:tc>
          <w:tcPr/>
          <w:p>
            <w:pPr>
              <w:pStyle w:val="Compact"/>
            </w:pPr>
            <w:r>
              <w:rPr>
                <w:b/>
                <w:bCs/>
              </w:rPr>
              <w:t xml:space="preserve">135,200</w:t>
            </w:r>
          </w:p>
        </w:tc>
        <w:tc>
          <w:tcPr/>
          <w:p>
            <w:pPr>
              <w:pStyle w:val="Compact"/>
            </w:pPr>
            <w:r>
              <w:rPr>
                <w:b/>
                <w:bCs/>
              </w:rPr>
              <w:t xml:space="preserve">129,000</w:t>
            </w:r>
          </w:p>
        </w:tc>
        <w:tc>
          <w:tcPr/>
          <w:p>
            <w:pPr>
              <w:pStyle w:val="Compact"/>
            </w:pPr>
            <w:r>
              <w:rPr>
                <w:b/>
                <w:bCs/>
              </w:rPr>
              <w:t xml:space="preserve">142,100</w:t>
            </w:r>
          </w:p>
        </w:tc>
        <w:tc>
          <w:tcPr/>
          <w:p>
            <w:pPr>
              <w:pStyle w:val="Compact"/>
            </w:pPr>
            <w:r>
              <w:rPr>
                <w:b/>
                <w:bCs/>
              </w:rPr>
              <w:t xml:space="preserve">186,500</w:t>
            </w:r>
          </w:p>
        </w:tc>
        <w:tc>
          <w:tcPr/>
          <w:p>
            <w:pPr>
              <w:pStyle w:val="Compact"/>
            </w:pPr>
            <w:r>
              <w:rPr>
                <w:b/>
                <w:bCs/>
              </w:rPr>
              <w:t xml:space="preserve">264,700</w:t>
            </w:r>
          </w:p>
        </w:tc>
        <w:tc>
          <w:tcPr/>
          <w:p>
            <w:pPr>
              <w:pStyle w:val="Compact"/>
            </w:pPr>
            <w:r>
              <w:rPr>
                <w:b/>
                <w:bCs/>
              </w:rPr>
              <w:t xml:space="preserve">394,700</w:t>
            </w:r>
          </w:p>
        </w:tc>
        <w:tc>
          <w:tcPr/>
          <w:p>
            <w:pPr>
              <w:pStyle w:val="Compact"/>
            </w:pPr>
            <w:r>
              <w:rPr>
                <w:b/>
                <w:bCs/>
              </w:rPr>
              <w:t xml:space="preserve">592,700</w:t>
            </w:r>
          </w:p>
        </w:tc>
        <w:tc>
          <w:tcPr/>
          <w:p>
            <w:pPr>
              <w:pStyle w:val="Compact"/>
            </w:pPr>
            <w:r>
              <w:rPr>
                <w:b/>
                <w:bCs/>
              </w:rPr>
              <w:t xml:space="preserve">873,200</w:t>
            </w:r>
          </w:p>
        </w:tc>
        <w:tc>
          <w:tcPr/>
          <w:p>
            <w:pPr>
              <w:pStyle w:val="Compact"/>
            </w:pPr>
            <w:r>
              <w:rPr>
                <w:b/>
                <w:bCs/>
              </w:rPr>
              <w:t xml:space="preserve">1,205,700</w:t>
            </w:r>
          </w:p>
        </w:tc>
        <w:tc>
          <w:tcPr/>
          <w:p>
            <w:pPr>
              <w:pStyle w:val="Compact"/>
            </w:pPr>
            <w:r>
              <w:rPr>
                <w:b/>
                <w:bCs/>
              </w:rPr>
              <w:t xml:space="preserve">1,589,700</w:t>
            </w:r>
          </w:p>
        </w:tc>
        <w:tc>
          <w:tcPr/>
          <w:p>
            <w:pPr>
              <w:pStyle w:val="Compact"/>
            </w:pPr>
            <w:r>
              <w:rPr>
                <w:b/>
                <w:bCs/>
              </w:rPr>
              <w:t xml:space="preserve">1,589,700</w:t>
            </w:r>
          </w:p>
        </w:tc>
      </w:tr>
    </w:tbl>
    <w:p>
      <w:r>
        <w:pict>
          <v:rect style="width:0;height:1.5pt" o:hralign="center" o:hrstd="t" o:hr="t"/>
        </w:pict>
      </w:r>
    </w:p>
    <w:bookmarkEnd w:id="17"/>
    <w:bookmarkEnd w:id="18"/>
    <w:bookmarkStart w:id="22" w:name="cash-flow-diagram-engineering-economics"/>
    <w:p>
      <w:pPr>
        <w:pStyle w:val="Heading2"/>
      </w:pPr>
      <w:r>
        <w:t xml:space="preserve">5. Cash Flow Diagram (Engineering Economics)</w:t>
      </w:r>
    </w:p>
    <w:p>
      <w:pPr>
        <w:pStyle w:val="FirstParagraph"/>
      </w:pPr>
      <w:r>
        <w:t xml:space="preserve">The following diagram acts as a traditional Engineering Economics cash flow representation. It models the cash injections (Inflows on top) versus our burn rate (Outflows on bottom) over critical milestone timeline periods.</w:t>
      </w:r>
    </w:p>
    <w:p>
      <w:pPr>
        <w:pStyle w:val="CaptionedFigure"/>
      </w:pPr>
      <w:r>
        <w:drawing>
          <wp:inline>
            <wp:extent cx="5334000" cy="1377950"/>
            <wp:effectExtent b="0" l="0" r="0" t="0"/>
            <wp:docPr descr="Year 1 Cash Flow Diagram" title="" id="20" name="Picture"/>
            <a:graphic>
              <a:graphicData uri="http://schemas.openxmlformats.org/drawingml/2006/picture">
                <pic:pic>
                  <pic:nvPicPr>
                    <pic:cNvPr descr="./screenshots/diagram-1775241995950.png" id="21" name="Picture"/>
                    <pic:cNvPicPr>
                      <a:picLocks noChangeArrowheads="1" noChangeAspect="1"/>
                    </pic:cNvPicPr>
                  </pic:nvPicPr>
                  <pic:blipFill>
                    <a:blip r:embed="rId19"/>
                    <a:stretch>
                      <a:fillRect/>
                    </a:stretch>
                  </pic:blipFill>
                  <pic:spPr bwMode="auto">
                    <a:xfrm>
                      <a:off x="0" y="0"/>
                      <a:ext cx="5334000" cy="1377950"/>
                    </a:xfrm>
                    <a:prstGeom prst="rect">
                      <a:avLst/>
                    </a:prstGeom>
                    <a:noFill/>
                    <a:ln w="9525">
                      <a:noFill/>
                      <a:headEnd/>
                      <a:tailEnd/>
                    </a:ln>
                  </pic:spPr>
                </pic:pic>
              </a:graphicData>
            </a:graphic>
          </wp:inline>
        </w:drawing>
      </w:r>
    </w:p>
    <w:p>
      <w:pPr>
        <w:pStyle w:val="ImageCaption"/>
      </w:pPr>
      <w:r>
        <w:t xml:space="preserve">Year 1 Cash Flow Diagram</w:t>
      </w:r>
    </w:p>
    <w:p>
      <w:pPr>
        <w:pStyle w:val="BodyText"/>
      </w:pPr>
      <w:r>
        <w:rPr>
          <w:i/>
          <w:iCs/>
        </w:rPr>
        <w:t xml:space="preserve">(Note: Data shown is a milestone snapshot. Complete cumulative value matches the EOY 1 table above).</w:t>
      </w:r>
    </w:p>
    <w:p>
      <w:r>
        <w:pict>
          <v:rect style="width:0;height:1.5pt" o:hralign="center" o:hrstd="t" o:hr="t"/>
        </w:pict>
      </w:r>
    </w:p>
    <w:bookmarkEnd w:id="22"/>
    <w:bookmarkStart w:id="23" w:name="year-financial-growth-projection"/>
    <w:p>
      <w:pPr>
        <w:pStyle w:val="Heading2"/>
      </w:pPr>
      <w:r>
        <w:t xml:space="preserve">6. 4-Year Financial Growth Projection</w:t>
      </w:r>
    </w:p>
    <w:p>
      <w:pPr>
        <w:pStyle w:val="FirstParagraph"/>
      </w:pPr>
      <w:r>
        <w:t xml:space="preserve">Moving beyond the startup phase, the subsequent years (Year 2 to Year 4) model aggressive scaling. Market saturation increases exponentially while backend operational costs securely amortize, leading to highly accelerated compounding of our Net Cash Flow.</w:t>
      </w:r>
    </w:p>
    <w:tbl>
      <w:tblPr>
        <w:tblStyle w:val="Table"/>
        <w:tblW w:type="pct" w:w="5000"/>
        <w:tblLayout w:type="fixed"/>
        <w:tblLook w:firstRow="1" w:lastRow="0" w:firstColumn="0" w:lastColumn="0" w:noHBand="0" w:noVBand="0" w:val="0020"/>
      </w:tblPr>
      <w:tblGrid>
        <w:gridCol w:w="1084"/>
        <w:gridCol w:w="1844"/>
        <w:gridCol w:w="2278"/>
        <w:gridCol w:w="2712"/>
      </w:tblGrid>
      <w:tr>
        <w:trPr>
          <w:tblHeader w:val="on"/>
        </w:trPr>
        <w:tc>
          <w:tcPr/>
          <w:p>
            <w:pPr>
              <w:pStyle w:val="Compact"/>
            </w:pPr>
            <w:r>
              <w:t xml:space="preserve">Category</w:t>
            </w:r>
          </w:p>
        </w:tc>
        <w:tc>
          <w:tcPr/>
          <w:p>
            <w:pPr>
              <w:pStyle w:val="Compact"/>
            </w:pPr>
            <w:r>
              <w:t xml:space="preserve">Year 2 (Growth)</w:t>
            </w:r>
          </w:p>
        </w:tc>
        <w:tc>
          <w:tcPr/>
          <w:p>
            <w:pPr>
              <w:pStyle w:val="Compact"/>
            </w:pPr>
            <w:r>
              <w:t xml:space="preserve">Year 3 (Expansion)</w:t>
            </w:r>
          </w:p>
        </w:tc>
        <w:tc>
          <w:tcPr/>
          <w:p>
            <w:pPr>
              <w:pStyle w:val="Compact"/>
            </w:pPr>
            <w:r>
              <w:t xml:space="preserve">Year 4 (Regional Scale)</w:t>
            </w:r>
          </w:p>
        </w:tc>
      </w:tr>
      <w:tr>
        <w:tc>
          <w:tcPr/>
          <w:p>
            <w:pPr>
              <w:pStyle w:val="Compact"/>
            </w:pPr>
            <w:r>
              <w:rPr>
                <w:b/>
                <w:bCs/>
              </w:rPr>
              <w:t xml:space="preserve">Opening Cash Balance</w:t>
            </w:r>
          </w:p>
        </w:tc>
        <w:tc>
          <w:tcPr/>
          <w:p>
            <w:pPr>
              <w:pStyle w:val="Compact"/>
            </w:pPr>
            <w:r>
              <w:t xml:space="preserve">1,589,700 EGP</w:t>
            </w:r>
          </w:p>
        </w:tc>
        <w:tc>
          <w:tcPr/>
          <w:p>
            <w:pPr>
              <w:pStyle w:val="Compact"/>
            </w:pPr>
            <w:r>
              <w:t xml:space="preserve">6,639,700 EGP</w:t>
            </w:r>
          </w:p>
        </w:tc>
        <w:tc>
          <w:tcPr/>
          <w:p>
            <w:pPr>
              <w:pStyle w:val="Compact"/>
            </w:pPr>
            <w:r>
              <w:t xml:space="preserve">13,289,700 EGP</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CASH INFLOWS (REVENUE)</w:t>
            </w:r>
          </w:p>
        </w:tc>
        <w:tc>
          <w:tcPr/>
          <w:p>
            <w:pPr>
              <w:pStyle w:val="Compact"/>
            </w:pPr>
          </w:p>
        </w:tc>
        <w:tc>
          <w:tcPr/>
          <w:p>
            <w:pPr>
              <w:pStyle w:val="Compact"/>
            </w:pPr>
          </w:p>
        </w:tc>
        <w:tc>
          <w:tcPr/>
          <w:p>
            <w:pPr>
              <w:pStyle w:val="Compact"/>
            </w:pPr>
          </w:p>
        </w:tc>
      </w:tr>
      <w:tr>
        <w:tc>
          <w:tcPr/>
          <w:p>
            <w:pPr>
              <w:pStyle w:val="Compact"/>
            </w:pPr>
            <w:r>
              <w:t xml:space="preserve">Hotel &amp; Market Revenue</w:t>
            </w:r>
          </w:p>
        </w:tc>
        <w:tc>
          <w:tcPr/>
          <w:p>
            <w:pPr>
              <w:pStyle w:val="Compact"/>
            </w:pPr>
            <w:r>
              <w:t xml:space="preserve">5,000,000</w:t>
            </w:r>
          </w:p>
        </w:tc>
        <w:tc>
          <w:tcPr/>
          <w:p>
            <w:pPr>
              <w:pStyle w:val="Compact"/>
            </w:pPr>
            <w:r>
              <w:t xml:space="preserve">6,000,000</w:t>
            </w:r>
          </w:p>
        </w:tc>
        <w:tc>
          <w:tcPr/>
          <w:p>
            <w:pPr>
              <w:pStyle w:val="Compact"/>
            </w:pPr>
            <w:r>
              <w:t xml:space="preserve">7,200,000</w:t>
            </w:r>
          </w:p>
        </w:tc>
      </w:tr>
      <w:tr>
        <w:tc>
          <w:tcPr/>
          <w:p>
            <w:pPr>
              <w:pStyle w:val="Compact"/>
            </w:pPr>
            <w:r>
              <w:t xml:space="preserve">Premium Subscriptions</w:t>
            </w:r>
          </w:p>
        </w:tc>
        <w:tc>
          <w:tcPr/>
          <w:p>
            <w:pPr>
              <w:pStyle w:val="Compact"/>
            </w:pPr>
            <w:r>
              <w:t xml:space="preserve">250,000</w:t>
            </w:r>
          </w:p>
        </w:tc>
        <w:tc>
          <w:tcPr/>
          <w:p>
            <w:pPr>
              <w:pStyle w:val="Compact"/>
            </w:pPr>
            <w:r>
              <w:t xml:space="preserve">500,000</w:t>
            </w:r>
          </w:p>
        </w:tc>
        <w:tc>
          <w:tcPr/>
          <w:p>
            <w:pPr>
              <w:pStyle w:val="Compact"/>
            </w:pPr>
            <w:r>
              <w:t xml:space="preserve">1,000,000</w:t>
            </w:r>
          </w:p>
        </w:tc>
      </w:tr>
      <w:tr>
        <w:tc>
          <w:tcPr/>
          <w:p>
            <w:pPr>
              <w:pStyle w:val="Compact"/>
            </w:pPr>
            <w:r>
              <w:t xml:space="preserve">B2G Licensing (White Label)</w:t>
            </w:r>
          </w:p>
        </w:tc>
        <w:tc>
          <w:tcPr/>
          <w:p>
            <w:pPr>
              <w:pStyle w:val="Compact"/>
            </w:pPr>
            <w:r>
              <w:t xml:space="preserve">300,000</w:t>
            </w:r>
          </w:p>
        </w:tc>
        <w:tc>
          <w:tcPr/>
          <w:p>
            <w:pPr>
              <w:pStyle w:val="Compact"/>
            </w:pPr>
            <w:r>
              <w:t xml:space="preserve">800,000</w:t>
            </w:r>
          </w:p>
        </w:tc>
        <w:tc>
          <w:tcPr/>
          <w:p>
            <w:pPr>
              <w:pStyle w:val="Compact"/>
            </w:pPr>
            <w:r>
              <w:t xml:space="preserve">1,500,000</w:t>
            </w:r>
          </w:p>
        </w:tc>
      </w:tr>
      <w:tr>
        <w:tc>
          <w:tcPr/>
          <w:p>
            <w:pPr>
              <w:pStyle w:val="Compact"/>
            </w:pPr>
            <w:r>
              <w:rPr>
                <w:b/>
                <w:bCs/>
              </w:rPr>
              <w:t xml:space="preserve">Total Cash In</w:t>
            </w:r>
          </w:p>
        </w:tc>
        <w:tc>
          <w:tcPr/>
          <w:p>
            <w:pPr>
              <w:pStyle w:val="Compact"/>
            </w:pPr>
            <w:r>
              <w:rPr>
                <w:b/>
                <w:bCs/>
              </w:rPr>
              <w:t xml:space="preserve">5,550,000 EGP</w:t>
            </w:r>
          </w:p>
        </w:tc>
        <w:tc>
          <w:tcPr/>
          <w:p>
            <w:pPr>
              <w:pStyle w:val="Compact"/>
            </w:pPr>
            <w:r>
              <w:rPr>
                <w:b/>
                <w:bCs/>
              </w:rPr>
              <w:t xml:space="preserve">7,300,000 EGP</w:t>
            </w:r>
          </w:p>
        </w:tc>
        <w:tc>
          <w:tcPr/>
          <w:p>
            <w:pPr>
              <w:pStyle w:val="Compact"/>
            </w:pPr>
            <w:r>
              <w:rPr>
                <w:b/>
                <w:bCs/>
              </w:rPr>
              <w:t xml:space="preserve">9,700,000 EGP</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CASH OUTFLOWS (EXPENSES)</w:t>
            </w:r>
          </w:p>
        </w:tc>
        <w:tc>
          <w:tcPr/>
          <w:p>
            <w:pPr>
              <w:pStyle w:val="Compact"/>
            </w:pPr>
          </w:p>
        </w:tc>
        <w:tc>
          <w:tcPr/>
          <w:p>
            <w:pPr>
              <w:pStyle w:val="Compact"/>
            </w:pPr>
          </w:p>
        </w:tc>
        <w:tc>
          <w:tcPr/>
          <w:p>
            <w:pPr>
              <w:pStyle w:val="Compact"/>
            </w:pPr>
          </w:p>
        </w:tc>
      </w:tr>
      <w:tr>
        <w:tc>
          <w:tcPr/>
          <w:p>
            <w:pPr>
              <w:pStyle w:val="Compact"/>
            </w:pPr>
            <w:r>
              <w:t xml:space="preserve">Hosting &amp; AI Scaling</w:t>
            </w:r>
          </w:p>
        </w:tc>
        <w:tc>
          <w:tcPr/>
          <w:p>
            <w:pPr>
              <w:pStyle w:val="Compact"/>
            </w:pPr>
            <w:r>
              <w:t xml:space="preserve">200,000</w:t>
            </w:r>
          </w:p>
        </w:tc>
        <w:tc>
          <w:tcPr/>
          <w:p>
            <w:pPr>
              <w:pStyle w:val="Compact"/>
            </w:pPr>
            <w:r>
              <w:t xml:space="preserve">250,000</w:t>
            </w:r>
          </w:p>
        </w:tc>
        <w:tc>
          <w:tcPr/>
          <w:p>
            <w:pPr>
              <w:pStyle w:val="Compact"/>
            </w:pPr>
            <w:r>
              <w:t xml:space="preserve">350,000</w:t>
            </w:r>
          </w:p>
        </w:tc>
      </w:tr>
      <w:tr>
        <w:tc>
          <w:tcPr/>
          <w:p>
            <w:pPr>
              <w:pStyle w:val="Compact"/>
            </w:pPr>
            <w:r>
              <w:t xml:space="preserve">Marketing &amp; Expansion</w:t>
            </w:r>
          </w:p>
        </w:tc>
        <w:tc>
          <w:tcPr/>
          <w:p>
            <w:pPr>
              <w:pStyle w:val="Compact"/>
            </w:pPr>
            <w:r>
              <w:t xml:space="preserve">200,000</w:t>
            </w:r>
          </w:p>
        </w:tc>
        <w:tc>
          <w:tcPr/>
          <w:p>
            <w:pPr>
              <w:pStyle w:val="Compact"/>
            </w:pPr>
            <w:r>
              <w:t xml:space="preserve">300,000</w:t>
            </w:r>
          </w:p>
        </w:tc>
        <w:tc>
          <w:tcPr/>
          <w:p>
            <w:pPr>
              <w:pStyle w:val="Compact"/>
            </w:pPr>
            <w:r>
              <w:t xml:space="preserve">500,000</w:t>
            </w:r>
          </w:p>
        </w:tc>
      </w:tr>
      <w:tr>
        <w:tc>
          <w:tcPr/>
          <w:p>
            <w:pPr>
              <w:pStyle w:val="Compact"/>
            </w:pPr>
            <w:r>
              <w:t xml:space="preserve">Operations &amp; Salaries</w:t>
            </w:r>
          </w:p>
        </w:tc>
        <w:tc>
          <w:tcPr/>
          <w:p>
            <w:pPr>
              <w:pStyle w:val="Compact"/>
            </w:pPr>
            <w:r>
              <w:t xml:space="preserve">100,000</w:t>
            </w:r>
          </w:p>
        </w:tc>
        <w:tc>
          <w:tcPr/>
          <w:p>
            <w:pPr>
              <w:pStyle w:val="Compact"/>
            </w:pPr>
            <w:r>
              <w:t xml:space="preserve">100,000</w:t>
            </w:r>
          </w:p>
        </w:tc>
        <w:tc>
          <w:tcPr/>
          <w:p>
            <w:pPr>
              <w:pStyle w:val="Compact"/>
            </w:pPr>
            <w:r>
              <w:t xml:space="preserve">150,000</w:t>
            </w:r>
          </w:p>
        </w:tc>
      </w:tr>
      <w:tr>
        <w:tc>
          <w:tcPr/>
          <w:p>
            <w:pPr>
              <w:pStyle w:val="Compact"/>
            </w:pPr>
            <w:r>
              <w:rPr>
                <w:b/>
                <w:bCs/>
              </w:rPr>
              <w:t xml:space="preserve">Total Cash Out</w:t>
            </w:r>
          </w:p>
        </w:tc>
        <w:tc>
          <w:tcPr/>
          <w:p>
            <w:pPr>
              <w:pStyle w:val="Compact"/>
            </w:pPr>
            <w:r>
              <w:rPr>
                <w:b/>
                <w:bCs/>
              </w:rPr>
              <w:t xml:space="preserve">500,000 EGP</w:t>
            </w:r>
          </w:p>
        </w:tc>
        <w:tc>
          <w:tcPr/>
          <w:p>
            <w:pPr>
              <w:pStyle w:val="Compact"/>
            </w:pPr>
            <w:r>
              <w:rPr>
                <w:b/>
                <w:bCs/>
              </w:rPr>
              <w:t xml:space="preserve">650,000 EGP</w:t>
            </w:r>
          </w:p>
        </w:tc>
        <w:tc>
          <w:tcPr/>
          <w:p>
            <w:pPr>
              <w:pStyle w:val="Compact"/>
            </w:pPr>
            <w:r>
              <w:rPr>
                <w:b/>
                <w:bCs/>
              </w:rPr>
              <w:t xml:space="preserve">1,000,000 EGP</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Net Cash Flow</w:t>
            </w:r>
          </w:p>
        </w:tc>
        <w:tc>
          <w:tcPr/>
          <w:p>
            <w:pPr>
              <w:pStyle w:val="Compact"/>
            </w:pPr>
            <w:r>
              <w:rPr>
                <w:b/>
                <w:bCs/>
              </w:rPr>
              <w:t xml:space="preserve">5,050,000 EGP</w:t>
            </w:r>
          </w:p>
        </w:tc>
        <w:tc>
          <w:tcPr/>
          <w:p>
            <w:pPr>
              <w:pStyle w:val="Compact"/>
            </w:pPr>
            <w:r>
              <w:rPr>
                <w:b/>
                <w:bCs/>
              </w:rPr>
              <w:t xml:space="preserve">6,650,000 EGP</w:t>
            </w:r>
          </w:p>
        </w:tc>
        <w:tc>
          <w:tcPr/>
          <w:p>
            <w:pPr>
              <w:pStyle w:val="Compact"/>
            </w:pPr>
            <w:r>
              <w:rPr>
                <w:b/>
                <w:bCs/>
              </w:rPr>
              <w:t xml:space="preserve">8,700,000 EGP</w:t>
            </w:r>
          </w:p>
        </w:tc>
      </w:tr>
      <w:tr>
        <w:tc>
          <w:tcPr/>
          <w:p>
            <w:pPr>
              <w:pStyle w:val="Compact"/>
            </w:pPr>
            <w:r>
              <w:rPr>
                <w:b/>
                <w:bCs/>
              </w:rPr>
              <w:t xml:space="preserve">Cumulative Cash Balance</w:t>
            </w:r>
          </w:p>
        </w:tc>
        <w:tc>
          <w:tcPr/>
          <w:p>
            <w:pPr>
              <w:pStyle w:val="Compact"/>
            </w:pPr>
            <w:r>
              <w:rPr>
                <w:b/>
                <w:bCs/>
              </w:rPr>
              <w:t xml:space="preserve">6,639,700 EGP</w:t>
            </w:r>
          </w:p>
        </w:tc>
        <w:tc>
          <w:tcPr/>
          <w:p>
            <w:pPr>
              <w:pStyle w:val="Compact"/>
            </w:pPr>
            <w:r>
              <w:rPr>
                <w:b/>
                <w:bCs/>
              </w:rPr>
              <w:t xml:space="preserve">13,289,700 EGP</w:t>
            </w:r>
          </w:p>
        </w:tc>
        <w:tc>
          <w:tcPr/>
          <w:p>
            <w:pPr>
              <w:pStyle w:val="Compact"/>
            </w:pPr>
            <w:r>
              <w:rPr>
                <w:b/>
                <w:bCs/>
              </w:rPr>
              <w:t xml:space="preserve">21,989,700 EGP</w:t>
            </w:r>
          </w:p>
        </w:tc>
      </w:tr>
    </w:tbl>
    <w:p>
      <w:r>
        <w:pict>
          <v:rect style="width:0;height:1.5pt" o:hralign="center" o:hrstd="t" o:hr="t"/>
        </w:pict>
      </w:r>
    </w:p>
    <w:bookmarkEnd w:id="23"/>
    <w:bookmarkStart w:id="24" w:name="social-environmental-impact"/>
    <w:p>
      <w:pPr>
        <w:pStyle w:val="Heading2"/>
      </w:pPr>
      <w:r>
        <w:t xml:space="preserve">7. Social &amp; Environmental Impact</w:t>
      </w:r>
    </w:p>
    <w:p>
      <w:pPr>
        <w:pStyle w:val="FirstParagraph"/>
      </w:pPr>
      <w:r>
        <w:t xml:space="preserve">Our economic viability is inextricably tied to our Environmental, Social, and Governance (ESG) deliverables:</w:t>
      </w:r>
    </w:p>
    <w:p>
      <w:pPr>
        <w:pStyle w:val="Compact"/>
        <w:numPr>
          <w:ilvl w:val="0"/>
          <w:numId w:val="1003"/>
        </w:numPr>
      </w:pPr>
      <w:r>
        <w:rPr>
          <w:b/>
          <w:bCs/>
        </w:rPr>
        <w:t xml:space="preserve">Carbon Footprint Management (CO₂ Calculator):</w:t>
      </w:r>
      <w:r>
        <w:t xml:space="preserve"> </w:t>
      </w:r>
      <w:r>
        <w:t xml:space="preserve">Taking inspiration from smart infrastructural planning, the Hub dictates eco-friendly travel routing, allowing users to measure and directly offset their personal travel emissions.</w:t>
      </w:r>
    </w:p>
    <w:p>
      <w:pPr>
        <w:pStyle w:val="Compact"/>
        <w:numPr>
          <w:ilvl w:val="0"/>
          <w:numId w:val="1003"/>
        </w:numPr>
      </w:pPr>
      <w:r>
        <w:rPr>
          <w:b/>
          <w:bCs/>
        </w:rPr>
        <w:t xml:space="preserve">Micro-Economic Artisan Empowerment:</w:t>
      </w:r>
      <w:r>
        <w:t xml:space="preserve"> </w:t>
      </w:r>
      <w:r>
        <w:t xml:space="preserve">The digital marketplace dismantles predatory supply chains, allowing rural craftsmen to achieve substantially higher profit margins via direct consumer reach. This effectively subsidizes the local agrarian and artisanal economy.</w:t>
      </w:r>
    </w:p>
    <w:p>
      <w:pPr>
        <w:pStyle w:val="Compact"/>
        <w:numPr>
          <w:ilvl w:val="0"/>
          <w:numId w:val="1003"/>
        </w:numPr>
      </w:pPr>
      <w:r>
        <w:rPr>
          <w:b/>
          <w:bCs/>
        </w:rPr>
        <w:t xml:space="preserve">Heritage Digitization:</w:t>
      </w:r>
      <w:r>
        <w:t xml:space="preserve"> </w:t>
      </w:r>
      <w:r>
        <w:t xml:space="preserve">Providing a perpetual, zero-degradation archive of regional antiquities via the virtual AR museum format, aggressively safeguarding unique Egyptian heritage from climactic friction.</w:t>
      </w:r>
    </w:p>
    <w:p>
      <w:r>
        <w:pict>
          <v:rect style="width:0;height:1.5pt" o:hralign="center" o:hrstd="t" o:hr="t"/>
        </w:pict>
      </w:r>
    </w:p>
    <w:p>
      <w:pPr>
        <w:pStyle w:val="FirstParagraph"/>
      </w:pPr>
      <w:r>
        <w:rPr>
          <w:i/>
          <w:iCs/>
        </w:rPr>
        <w:t xml:space="preserve">© 2026 SandScript Team — New Valley Hub. All rights reserved.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&amp; Engineering Economics Report</dc:title>
  <dc:creator>SandScript Team</dc:creator>
  <cp:keywords/>
  <dcterms:created xsi:type="dcterms:W3CDTF">2026-04-16T02:29:54Z</dcterms:created>
  <dcterms:modified xsi:type="dcterms:W3CDTF">2026-04-16T02:29:54Z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New Valley Hub — Smart Tourism Platform</vt:lpwstr>
  </property>
</Properties>
</file>