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callradar-design-document"/>
    <w:p>
      <w:pPr>
        <w:pStyle w:val="Heading1"/>
      </w:pPr>
      <w:r>
        <w:t xml:space="preserve">RecallRadar — Design Document</w: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RecallRadar watches Canadian government recall data (food, medications, medical devices,</w:t>
      </w:r>
      <w:r>
        <w:t xml:space="preserve"> </w:t>
      </w:r>
      <w:r>
        <w:t xml:space="preserve">consumer products) and alerts a household when something they own has been recalled — without</w:t>
      </w:r>
      <w:r>
        <w:t xml:space="preserve"> </w:t>
      </w:r>
      <w:r>
        <w:t xml:space="preserve">them having to check a government website themselves.</w:t>
      </w:r>
    </w:p>
    <w:p>
      <w:pPr>
        <w:pStyle w:val="BodyText"/>
      </w:pPr>
      <w:r>
        <w:rPr>
          <w:b/>
          <w:bCs/>
        </w:rPr>
        <w:t xml:space="preserve">User</w:t>
      </w:r>
      <w:r>
        <w:t xml:space="preserve">: a Canadian parent responsible for buying food, medication, and household products for</w:t>
      </w:r>
      <w:r>
        <w:t xml:space="preserve"> </w:t>
      </w:r>
      <w:r>
        <w:t xml:space="preserve">their family. They save what their household regularly uses; RecallRadar tells them when one of</w:t>
      </w:r>
      <w:r>
        <w:t xml:space="preserve"> </w:t>
      </w:r>
      <w:r>
        <w:t xml:space="preserve">those items is recalled, why, and what to do.</w:t>
      </w:r>
    </w:p>
    <w:p>
      <w:pPr>
        <w:pStyle w:val="BodyText"/>
      </w:pPr>
      <w:r>
        <w:rPr>
          <w:b/>
          <w:bCs/>
        </w:rPr>
        <w:t xml:space="preserve">Scope for the MVP</w:t>
      </w:r>
      <w:r>
        <w:t xml:space="preserve">: Canada only. Food, drugs, medical devices, and consumer products.</w:t>
      </w:r>
      <w:r>
        <w:t xml:space="preserve"> </w:t>
      </w:r>
      <w:r>
        <w:t xml:space="preserve">Vehicles (Transport Canada) are excluded — different risk profile, different user, and the</w:t>
      </w:r>
      <w:r>
        <w:t xml:space="preserve"> </w:t>
      </w:r>
      <w:r>
        <w:t xml:space="preserve">largest single category in the data, so cutting it keeps the matching problem focused on</w:t>
      </w:r>
      <w:r>
        <w:t xml:space="preserve"> </w:t>
      </w:r>
      <w:r>
        <w:t xml:space="preserve">products a parent actually keeps in their home.</w:t>
      </w:r>
    </w:p>
    <w:p>
      <w:pPr>
        <w:pStyle w:val="BodyText"/>
      </w:pPr>
      <w:r>
        <w:t xml:space="preserve">This document is deliberately implementation-adjacent but not implementation itself — every</w:t>
      </w:r>
      <w:r>
        <w:t xml:space="preserve"> </w:t>
      </w:r>
      <w:r>
        <w:t xml:space="preserve">section below has already been checked against the real, live data sources. Nothing here is</w:t>
      </w:r>
      <w:r>
        <w:t xml:space="preserve"> </w:t>
      </w:r>
      <w:r>
        <w:t xml:space="preserve">speculative about what the government feeds contain; where the data has a gap, that gap is</w:t>
      </w:r>
      <w:r>
        <w:t xml:space="preserve"> </w:t>
      </w:r>
      <w:r>
        <w:t xml:space="preserve">named as a gap, not designed around optimistically.</w:t>
      </w:r>
    </w:p>
    <w:p>
      <w:r>
        <w:pict>
          <v:rect style="width:0;height:1.5pt" o:hralign="center" o:hrstd="t" o:hr="t"/>
        </w:pict>
      </w:r>
    </w:p>
    <w:bookmarkEnd w:id="9"/>
    <w:bookmarkStart w:id="15" w:name="data-sources-confirmed-live"/>
    <w:p>
      <w:pPr>
        <w:pStyle w:val="Heading2"/>
      </w:pPr>
      <w:r>
        <w:t xml:space="preserve">Data sources (confirmed live)</w:t>
      </w:r>
    </w:p>
    <w:p>
      <w:pPr>
        <w:pStyle w:val="FirstParagraph"/>
      </w:pPr>
      <w:r>
        <w:t xml:space="preserve">Canada does not run separate CFIA and Health Canada recall systems. As of the Recalls and</w:t>
      </w:r>
      <w:r>
        <w:t xml:space="preserve"> </w:t>
      </w:r>
      <w:r>
        <w:t xml:space="preserve">Safety Alerts Management System (RSAMS) modernization, CFIA, Health Canada, Transport Canada,</w:t>
      </w:r>
      <w:r>
        <w:t xml:space="preserve"> </w:t>
      </w:r>
      <w:r>
        <w:t xml:space="preserve">and Environment and Climate Change Canada all publish into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system at</w:t>
      </w:r>
      <w:r>
        <w:t xml:space="preserve"> </w:t>
      </w:r>
      <w:r>
        <w:rPr>
          <w:rStyle w:val="VerbatimChar"/>
        </w:rPr>
        <w:t xml:space="preserve">recalls-rappels.canada.ca</w:t>
      </w:r>
      <w:r>
        <w:t xml:space="preserve">, distinguished by an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field.</w:t>
      </w:r>
      <w:r>
        <w:t xml:space="preserve"> </w:t>
      </w:r>
      <w:r>
        <w:t xml:space="preserve">“CFIA feed”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</w:t>
      </w:r>
      <w:r>
        <w:t xml:space="preserve"> </w:t>
      </w:r>
      <w:r>
        <w:t xml:space="preserve">Canada feed”</w:t>
      </w:r>
      <w:r>
        <w:t xml:space="preserve"> </w:t>
      </w:r>
      <w:r>
        <w:t xml:space="preserve">are filters on the same underlying data, not two integrations.</w:t>
      </w:r>
    </w:p>
    <w:bookmarkStart w:id="10" w:name="bulk-feed-primary-source"/>
    <w:p>
      <w:pPr>
        <w:pStyle w:val="Heading3"/>
      </w:pPr>
      <w:r>
        <w:t xml:space="preserve">Bulk feed (primary source)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https://recalls-rappels.canada.ca/sites/default/files/opendata-donneesouvertes/HCRSAMOpenData.json</w:t>
      </w:r>
      <w:r>
        <w:t xml:space="preserve"> </w:t>
      </w:r>
      <w:r>
        <w:t xml:space="preserve">(CSV twin also available)</w:t>
      </w:r>
    </w:p>
    <w:p>
      <w:pPr>
        <w:pStyle w:val="Compact"/>
        <w:numPr>
          <w:ilvl w:val="0"/>
          <w:numId w:val="1001"/>
        </w:numPr>
      </w:pPr>
      <w:r>
        <w:t xml:space="preserve">No key, no auth. Verified live: 33,883 records, ~15 MB, served with proper</w:t>
      </w:r>
      <w:r>
        <w:t xml:space="preserve"> </w:t>
      </w:r>
      <w:r>
        <w:rPr>
          <w:rStyle w:val="VerbatimChar"/>
        </w:rPr>
        <w:t xml:space="preserve">ETag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Last-Modified</w:t>
      </w:r>
      <w:r>
        <w:t xml:space="preserve"> </w:t>
      </w:r>
      <w:r>
        <w:t xml:space="preserve">headers.</w:t>
      </w:r>
    </w:p>
    <w:p>
      <w:pPr>
        <w:pStyle w:val="Compact"/>
        <w:numPr>
          <w:ilvl w:val="0"/>
          <w:numId w:val="1001"/>
        </w:numPr>
      </w:pPr>
      <w:r>
        <w:t xml:space="preserve">Fields:</w:t>
      </w:r>
      <w:r>
        <w:t xml:space="preserve"> </w:t>
      </w:r>
      <w:r>
        <w:rPr>
          <w:rStyle w:val="VerbatimChar"/>
        </w:rPr>
        <w:t xml:space="preserve">NID, Title, URL, Organization, Product, Issue, "What you should do", Category, "Recall class", "Last updated", Archived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Relevant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CFIA</w:t>
      </w:r>
      <w:r>
        <w:t xml:space="preserve"> </w:t>
      </w:r>
      <w:r>
        <w:t xml:space="preserve">(food),</w:t>
      </w:r>
      <w:r>
        <w:t xml:space="preserve"> </w:t>
      </w:r>
      <w:r>
        <w:rPr>
          <w:rStyle w:val="VerbatimChar"/>
        </w:rPr>
        <w:t xml:space="preserve">Consumer product safety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Medical 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Drugs and health products</w:t>
      </w:r>
      <w:r>
        <w:t xml:space="preserve">. (</w:t>
      </w:r>
      <w:r>
        <w:rPr>
          <w:rStyle w:val="VerbatimChar"/>
        </w:rPr>
        <w:t xml:space="preserve">TC</w:t>
      </w:r>
      <w:r>
        <w:t xml:space="preserve"> </w:t>
      </w:r>
      <w:r>
        <w:t xml:space="preserve">= vehicles, excluded from scope.)</w:t>
      </w:r>
    </w:p>
    <w:p>
      <w:pPr>
        <w:pStyle w:val="Compact"/>
        <w:numPr>
          <w:ilvl w:val="0"/>
          <w:numId w:val="1001"/>
        </w:numPr>
      </w:pPr>
      <w:r>
        <w:t xml:space="preserve">Realistic volume excluding vehicles: roughly 40–50 new or updated records per month across</w:t>
      </w:r>
      <w:r>
        <w:t xml:space="preserve"> </w:t>
      </w:r>
      <w:r>
        <w:t xml:space="preserve">all four in-scope organizations combined. This is a small, pollable dataset — not a firehose.</w:t>
      </w:r>
    </w:p>
    <w:p>
      <w:pPr>
        <w:pStyle w:val="FirstParagraph"/>
      </w:pPr>
      <w:r>
        <w:rPr>
          <w:b/>
          <w:bCs/>
        </w:rPr>
        <w:t xml:space="preserve">Why bulk feed over RSS as the primary source:</w:t>
      </w:r>
      <w:r>
        <w:t xml:space="preserve"> </w:t>
      </w:r>
      <w:r>
        <w:t xml:space="preserve">the RSS feeds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https://recalls-rappels.canada.ca/en/feed/cfia-alerts-recalls</w:t>
      </w:r>
      <w:r>
        <w:t xml:space="preserve">, confirmed live, valid</w:t>
      </w:r>
      <w:r>
        <w:t xml:space="preserve"> </w:t>
      </w:r>
      <w:r>
        <w:t xml:space="preserve">RSS 2.0) only return the ~3 most recent items per category. That’s fine as a fast</w:t>
      </w:r>
      <w:r>
        <w:t xml:space="preserve"> </w:t>
      </w:r>
      <w:r>
        <w:t xml:space="preserve">“did-anything-just-happen”</w:t>
      </w:r>
      <w:r>
        <w:t xml:space="preserve"> </w:t>
      </w:r>
      <w:r>
        <w:t xml:space="preserve">signal, but it cannot be relied on for completeness — if the poller</w:t>
      </w:r>
      <w:r>
        <w:t xml:space="preserve"> </w:t>
      </w:r>
      <w:r>
        <w:t xml:space="preserve">misses one run, an item can roll off the RSS feed before it’s ever seen. The bulk feed is the</w:t>
      </w:r>
      <w:r>
        <w:t xml:space="preserve"> </w:t>
      </w:r>
      <w:r>
        <w:t xml:space="preserve">system of record; RSS is a nice-to-have low-latency nudge on top of it, not a replacement.</w:t>
      </w:r>
    </w:p>
    <w:bookmarkEnd w:id="10"/>
    <w:bookmarkStart w:id="11" w:name="X150bcdce851c0bd72f45ad2778172e3a4b55bf1"/>
    <w:p>
      <w:pPr>
        <w:pStyle w:val="Heading3"/>
      </w:pPr>
      <w:r>
        <w:t xml:space="preserve">Per-recall detail pages (secondary source, fetched selectively)</w:t>
      </w:r>
    </w:p>
    <w:p>
      <w:pPr>
        <w:pStyle w:val="FirstParagraph"/>
      </w:pPr>
      <w:r>
        <w:t xml:space="preserve">The bulk feed’s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field is free text with no structured identifiers — no UPC, no lot</w:t>
      </w:r>
      <w:r>
        <w:t xml:space="preserve"> </w:t>
      </w:r>
      <w:r>
        <w:t xml:space="preserve">number. Those live only on each recall’s individual detail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https://recalls-rappels.canada.ca/en/alert-recall/&lt;slug&gt;</w:t>
      </w:r>
      <w:r>
        <w:t xml:space="preserve">), inside an HTML table. Confirmed</w:t>
      </w:r>
      <w:r>
        <w:t xml:space="preserve"> </w:t>
      </w:r>
      <w:r>
        <w:t xml:space="preserve">live, and confirmed</w:t>
      </w:r>
      <w:r>
        <w:t xml:space="preserve"> </w:t>
      </w:r>
      <w:r>
        <w:rPr>
          <w:b/>
          <w:bCs/>
        </w:rPr>
        <w:t xml:space="preserve">the table schema is not consistent across categories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Table columns (verified)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(CFIA)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 \| Product \| Size \| UPC \|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 \| Product Name \| Market Authorization \| Dosage Form \| Strength \| Lot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Affected products \| Lot or serial number \| Model or catalogue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products</w:t>
            </w:r>
          </w:p>
        </w:tc>
        <w:tc>
          <w:tcPr/>
          <w:p>
            <w:pPr>
              <w:pStyle w:val="Compact"/>
            </w:pPr>
            <w:r>
              <w:t xml:space="preserve">Often</w:t>
            </w:r>
            <w:r>
              <w:t xml:space="preserve"> </w:t>
            </w:r>
            <w:r>
              <w:rPr>
                <w:b/>
                <w:bCs/>
              </w:rPr>
              <w:t xml:space="preserve">no table at all</w:t>
            </w:r>
            <w:r>
              <w:t xml:space="preserve"> </w:t>
            </w:r>
            <w:r>
              <w:t xml:space="preserve">— just prose (e.g. </w:t>
            </w:r>
            <w:r>
              <w:t xml:space="preserve">“This recall involves Ultra Big Blue Automatic Toilet Bowl Cleaner (255 g / 9 oz)”</w:t>
            </w:r>
            <w:r>
              <w:t xml:space="preserve">), no UPC, no lot code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consequence:</w:t>
      </w:r>
      <w:r>
        <w:t xml:space="preserve"> </w:t>
      </w:r>
      <w:r>
        <w:t xml:space="preserve">detail-page fetching is per-category-aware, not one generic parser.</w:t>
      </w:r>
      <w:r>
        <w:t xml:space="preserve"> </w:t>
      </w:r>
      <w:r>
        <w:t xml:space="preserve">Food and drug recalls get precise, structured matching (UPC/lot). Medical device recalls get</w:t>
      </w:r>
      <w:r>
        <w:t xml:space="preserve"> </w:t>
      </w:r>
      <w:r>
        <w:t xml:space="preserve">serial/model matching. Consumer product recalls frequently degrade to brand + product-name</w:t>
      </w:r>
      <w:r>
        <w:t xml:space="preserve"> </w:t>
      </w:r>
      <w:r>
        <w:t xml:space="preserve">matching only, because that’s all the source data provides — no amount of clever parsing</w:t>
      </w:r>
      <w:r>
        <w:t xml:space="preserve"> </w:t>
      </w:r>
      <w:r>
        <w:t xml:space="preserve">invents a UPC that was never published. The system should say</w:t>
      </w:r>
      <w:r>
        <w:t xml:space="preserve"> </w:t>
      </w:r>
      <w:r>
        <w:t xml:space="preserve">“no structured identifier</w:t>
      </w:r>
      <w:r>
        <w:t xml:space="preserve"> </w:t>
      </w:r>
      <w:r>
        <w:t xml:space="preserve">available for this recall”</w:t>
      </w:r>
      <w:r>
        <w:t xml:space="preserve"> </w:t>
      </w:r>
      <w:r>
        <w:t xml:space="preserve">rather than pretend otherwise.</w:t>
      </w:r>
    </w:p>
    <w:p>
      <w:pPr>
        <w:pStyle w:val="BodyText"/>
      </w:pPr>
      <w:r>
        <w:t xml:space="preserve">Detail pages are only fetched for</w:t>
      </w:r>
      <w:r>
        <w:t xml:space="preserve"> </w:t>
      </w:r>
      <w:r>
        <w:rPr>
          <w:i/>
          <w:iCs/>
        </w:rPr>
        <w:t xml:space="preserve">new or updated</w:t>
      </w:r>
      <w:r>
        <w:t xml:space="preserve"> </w:t>
      </w:r>
      <w:r>
        <w:t xml:space="preserve">NIDs, not on every poll — at ~40–50/month</w:t>
      </w:r>
      <w:r>
        <w:t xml:space="preserve"> </w:t>
      </w:r>
      <w:r>
        <w:t xml:space="preserve">that’s a handful of extra requests per week, not meaningful scraping load.</w:t>
      </w:r>
    </w:p>
    <w:bookmarkEnd w:id="11"/>
    <w:bookmarkStart w:id="12" w:name="X3ae8299b9ce46493ba9a61021d7fe1210e34600"/>
    <w:p>
      <w:pPr>
        <w:pStyle w:val="Heading3"/>
      </w:pPr>
      <w:r>
        <w:t xml:space="preserve">Reference/lookup sources for building inventory</w:t>
      </w:r>
    </w:p>
    <w:p>
      <w:pPr>
        <w:pStyle w:val="FirstParagraph"/>
      </w:pPr>
      <w:r>
        <w:t xml:space="preserve">Different product categories use fundamentally different identification systems in Canada, so</w:t>
      </w:r>
      <w:r>
        <w:t xml:space="preserve"> </w:t>
      </w:r>
      <w:r>
        <w:t xml:space="preserve">inventory lookup is category-aware rather than one barcode API for everything: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Medications</w:t>
      </w:r>
      <w:r>
        <w:t xml:space="preserve"> </w:t>
      </w:r>
      <w:r>
        <w:t xml:space="preserve">→ Health Canada’s own Drug Product Database (DPD) REST API,</w:t>
      </w:r>
      <w:r>
        <w:t xml:space="preserve"> </w:t>
      </w:r>
      <w:r>
        <w:rPr>
          <w:rStyle w:val="VerbatimChar"/>
        </w:rPr>
        <w:t xml:space="preserve">https://health-products.canada.ca/api/drug/drugproduct/</w:t>
      </w:r>
      <w:r>
        <w:t xml:space="preserve">. Free, official, no key. Verified</w:t>
      </w:r>
      <w:r>
        <w:t xml:space="preserve"> </w:t>
      </w:r>
      <w:r>
        <w:t xml:space="preserve">live: supports lookup by DIN (Drug Identification Number) and by brand-name search (e.g.</w:t>
      </w:r>
      <w:r>
        <w:t xml:space="preserve"> </w:t>
      </w:r>
      <w:r>
        <w:t xml:space="preserve">searching</w:t>
      </w:r>
      <w:r>
        <w:t xml:space="preserve"> </w:t>
      </w:r>
      <w:r>
        <w:t xml:space="preserve">“tylenol”</w:t>
      </w:r>
      <w:r>
        <w:t xml:space="preserve"> </w:t>
      </w:r>
      <w:r>
        <w:t xml:space="preserve">returns every registered Tylenol product with its DIN). Canadian drugs</w:t>
      </w:r>
      <w:r>
        <w:t xml:space="preserve"> </w:t>
      </w:r>
      <w:r>
        <w:t xml:space="preserve">are identified by DIN, not UPC — this is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identifier for this category, not a</w:t>
      </w:r>
      <w:r>
        <w:t xml:space="preserve"> </w:t>
      </w:r>
      <w:r>
        <w:t xml:space="preserve">workaround.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Food</w:t>
      </w:r>
      <w:r>
        <w:t xml:space="preserve"> </w:t>
      </w:r>
      <w:r>
        <w:t xml:space="preserve">→ Open Food Facts (</w:t>
      </w:r>
      <w:r>
        <w:rPr>
          <w:rStyle w:val="VerbatimChar"/>
        </w:rPr>
        <w:t xml:space="preserve">world.openfoodfacts.org</w:t>
      </w:r>
      <w:r>
        <w:t xml:space="preserve">), free, keyless, worldwide. Verified</w:t>
      </w:r>
      <w:r>
        <w:t xml:space="preserve"> </w:t>
      </w:r>
      <w:r>
        <w:t xml:space="preserve">live: works well for major brands (a Nutella UPC returned full product name, brand,</w:t>
      </w:r>
      <w:r>
        <w:t xml:space="preserve"> </w:t>
      </w:r>
      <w:r>
        <w:t xml:space="preserve">categories, allergens). It’s crowdsourced, so coverage is uneven — the actual Coaticook cheese</w:t>
      </w:r>
      <w:r>
        <w:t xml:space="preserve"> </w:t>
      </w:r>
      <w:r>
        <w:t xml:space="preserve">UPC from a real current recall returned</w:t>
      </w:r>
      <w:r>
        <w:t xml:space="preserve"> </w:t>
      </w:r>
      <w:r>
        <w:t xml:space="preserve">“product not found.”</w:t>
      </w:r>
      <w:r>
        <w:t xml:space="preserve"> </w:t>
      </w:r>
      <w:r>
        <w:t xml:space="preserve">Barcode lookup is the fast path</w:t>
      </w:r>
      <w:r>
        <w:t xml:space="preserve"> </w:t>
      </w:r>
      <w:r>
        <w:t xml:space="preserve">when it hits; typed brand + product name is the fallback, and it will be needed often.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Household/consumer products</w:t>
      </w:r>
      <w:r>
        <w:t xml:space="preserve"> </w:t>
      </w:r>
      <w:r>
        <w:t xml:space="preserve">→ no free, trustworthy barcode source was found. A live test</w:t>
      </w:r>
      <w:r>
        <w:t xml:space="preserve"> </w:t>
      </w:r>
      <w:r>
        <w:t xml:space="preserve">of UPCitemdb’s keyless tier returned completely mismatched data for a real barcode (asked for</w:t>
      </w:r>
      <w:r>
        <w:t xml:space="preserve"> </w:t>
      </w:r>
      <w:r>
        <w:t xml:space="preserve">a bike pump, got a cat grooming kit). This category is manual entry only for the MVP — brand</w:t>
      </w:r>
    </w:p>
    <w:p>
      <w:pPr>
        <w:pStyle w:val="Compact"/>
        <w:numPr>
          <w:ilvl w:val="1"/>
          <w:numId w:val="1003"/>
        </w:numPr>
      </w:pPr>
      <w:r>
        <w:t xml:space="preserve">product name + category, typed by the user.</w:t>
      </w:r>
    </w:p>
    <w:bookmarkEnd w:id="12"/>
    <w:bookmarkStart w:id="13" w:name="notifications"/>
    <w:p>
      <w:pPr>
        <w:pStyle w:val="Heading3"/>
      </w:pPr>
      <w:r>
        <w:t xml:space="preserve">Notifications</w:t>
      </w:r>
    </w:p>
    <w:p>
      <w:pPr>
        <w:pStyle w:val="FirstParagraph"/>
      </w:pPr>
      <w:r>
        <w:t xml:space="preserve">Email via Resend (</w:t>
      </w:r>
      <w:r>
        <w:rPr>
          <w:rStyle w:val="VerbatimChar"/>
        </w:rPr>
        <w:t xml:space="preserve">resend.com</w:t>
      </w:r>
      <w:r>
        <w:t xml:space="preserve">). Free tier: 3,000 emails/month, 100/day cap, official Python</w:t>
      </w:r>
      <w:r>
        <w:t xml:space="preserve"> </w:t>
      </w:r>
      <w:r>
        <w:t xml:space="preserve">SDK, and — confirmed — sending works out of the box from a sandbox address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onboarding@resend.dev</w:t>
      </w:r>
      <w:r>
        <w:t xml:space="preserve">) with no domain ownership required to start. Good fit for an MVP that</w:t>
      </w:r>
      <w:r>
        <w:t xml:space="preserve"> </w:t>
      </w:r>
      <w:r>
        <w:t xml:space="preserve">shouldn’t need you to buy and verify a domain before the first alert can be sent.</w:t>
      </w:r>
    </w:p>
    <w:bookmarkEnd w:id="13"/>
    <w:bookmarkStart w:id="14" w:name="infra"/>
    <w:p>
      <w:pPr>
        <w:pStyle w:val="Heading3"/>
      </w:pPr>
      <w:r>
        <w:t xml:space="preserve">Infra</w:t>
      </w:r>
    </w:p>
    <w:p>
      <w:pPr>
        <w:pStyle w:val="FirstParagraph"/>
      </w:pPr>
      <w:r>
        <w:t xml:space="preserve">Local Python script + SQLite, run on a schedule (cron or equivalent). No hosting cost, fastest</w:t>
      </w:r>
      <w:r>
        <w:t xml:space="preserve"> </w:t>
      </w:r>
      <w:r>
        <w:t xml:space="preserve">to build and demo, easy to explain end-to-end in an interview. The tradeoff, stated plainly: it</w:t>
      </w:r>
      <w:r>
        <w:t xml:space="preserve"> </w:t>
      </w:r>
      <w:r>
        <w:t xml:space="preserve">only runs when triggered, so it’s not</w:t>
      </w:r>
      <w:r>
        <w:t xml:space="preserve"> </w:t>
      </w:r>
      <w:r>
        <w:t xml:space="preserve">“always on”</w:t>
      </w:r>
      <w:r>
        <w:t xml:space="preserve"> </w:t>
      </w:r>
      <w:r>
        <w:t xml:space="preserve">unless the machine running it is. That’s an</w:t>
      </w:r>
      <w:r>
        <w:t xml:space="preserve"> </w:t>
      </w:r>
      <w:r>
        <w:t xml:space="preserve">acceptable tradeoff for an MVP/portfolio project and can be revisited later without changing the</w:t>
      </w:r>
      <w:r>
        <w:t xml:space="preserve"> </w:t>
      </w:r>
      <w:r>
        <w:t xml:space="preserve">data model.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Xd77c5a10d9fae6901a353589298d82d6317e9b3"/>
    <w:p>
      <w:pPr>
        <w:pStyle w:val="Heading2"/>
      </w:pPr>
      <w:r>
        <w:t xml:space="preserve">The core agentic loop, step by step, with reasoning</w:t>
      </w:r>
    </w:p>
    <w:bookmarkStart w:id="16" w:name="scheduled-check-for-newupdated-recalls"/>
    <w:p>
      <w:pPr>
        <w:pStyle w:val="Heading3"/>
      </w:pPr>
      <w:r>
        <w:t xml:space="preserve">1. Scheduled check for new/updated recalls</w:t>
      </w:r>
    </w:p>
    <w:p>
      <w:pPr>
        <w:pStyle w:val="FirstParagraph"/>
      </w:pPr>
      <w:r>
        <w:t xml:space="preserve">Poll the bulk JSON feed on a schedule (e.g. daily). Use the</w:t>
      </w:r>
      <w:r>
        <w:t xml:space="preserve"> </w:t>
      </w:r>
      <w:r>
        <w:rPr>
          <w:rStyle w:val="VerbatimChar"/>
        </w:rPr>
        <w:t xml:space="preserve">ETag</w:t>
      </w:r>
      <w:r>
        <w:t xml:space="preserve">/</w:t>
      </w:r>
      <w:r>
        <w:rPr>
          <w:rStyle w:val="VerbatimChar"/>
        </w:rPr>
        <w:t xml:space="preserve">Last-Modified</w:t>
      </w:r>
      <w:r>
        <w:t xml:space="preserve"> </w:t>
      </w:r>
      <w:r>
        <w:t xml:space="preserve">response</w:t>
      </w:r>
      <w:r>
        <w:t xml:space="preserve"> </w:t>
      </w:r>
      <w:r>
        <w:t xml:space="preserve">headers to skip reprocessing when the file hasn’t changed since the last run — cheap and</w:t>
      </w:r>
      <w:r>
        <w:t xml:space="preserve"> </w:t>
      </w:r>
      <w:r>
        <w:t xml:space="preserve">reliable, confirmed the server sends both headers correctly. Optionally poll the relevant RSS</w:t>
      </w:r>
      <w:r>
        <w:t xml:space="preserve"> </w:t>
      </w:r>
      <w:r>
        <w:t xml:space="preserve">feeds more frequently as a low-latency signal, but always reconcile against the bulk feed so</w:t>
      </w:r>
      <w:r>
        <w:t xml:space="preserve"> </w:t>
      </w:r>
      <w:r>
        <w:t xml:space="preserve">nothing is missed if an item rolls off the RSS window.</w:t>
      </w:r>
    </w:p>
    <w:p>
      <w:pPr>
        <w:pStyle w:val="BodyText"/>
      </w:pPr>
      <w:r>
        <w:rPr>
          <w:b/>
          <w:bCs/>
        </w:rPr>
        <w:t xml:space="preserve">Why this design:</w:t>
      </w:r>
      <w:r>
        <w:t xml:space="preserve"> </w:t>
      </w:r>
      <w:r>
        <w:t xml:space="preserve">the bulk feed is complete and stable; RSS is fast but lossy. Using both,</w:t>
      </w:r>
      <w:r>
        <w:t xml:space="preserve"> </w:t>
      </w:r>
      <w:r>
        <w:t xml:space="preserve">with the bulk feed as ground truth, gets low latency without sacrificing completeness.</w:t>
      </w:r>
    </w:p>
    <w:bookmarkEnd w:id="16"/>
    <w:bookmarkStart w:id="17" w:name="collect-standardize-and-store"/>
    <w:p>
      <w:pPr>
        <w:pStyle w:val="Heading3"/>
      </w:pPr>
      <w:r>
        <w:t xml:space="preserve">2. Collect, standardize, and store</w:t>
      </w:r>
    </w:p>
    <w:p>
      <w:pPr>
        <w:pStyle w:val="FirstParagraph"/>
      </w:pPr>
      <w:r>
        <w:t xml:space="preserve">For each record from the bulk feed, store the fields as-is (</w:t>
      </w:r>
      <w:r>
        <w:rPr>
          <w:rStyle w:val="VerbatimChar"/>
        </w:rPr>
        <w:t xml:space="preserve">NID</w:t>
      </w:r>
      <w:r>
        <w:t xml:space="preserve"> </w:t>
      </w:r>
      <w:r>
        <w:t xml:space="preserve">as primary key), and only</w:t>
      </w:r>
      <w:r>
        <w:t xml:space="preserve"> </w:t>
      </w:r>
      <w:r>
        <w:t xml:space="preserve">fetch + parse the detail-page product table for records that are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(</w:t>
      </w:r>
      <w:r>
        <w:rPr>
          <w:rStyle w:val="VerbatimChar"/>
        </w:rPr>
        <w:t xml:space="preserve">NID</w:t>
      </w:r>
      <w:r>
        <w:t xml:space="preserve"> </w:t>
      </w:r>
      <w:r>
        <w:t xml:space="preserve">not seen before)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updated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Last updated</w:t>
      </w:r>
      <w:r>
        <w:t xml:space="preserve"> </w:t>
      </w:r>
      <w:r>
        <w:t xml:space="preserve">changed since last stored). Store parsed product-level identifiers</w:t>
      </w:r>
      <w:r>
        <w:t xml:space="preserve"> </w:t>
      </w:r>
      <w:r>
        <w:t xml:space="preserve">(UPC, lot number, brand, size) in a separate table linked by</w:t>
      </w:r>
      <w:r>
        <w:t xml:space="preserve"> </w:t>
      </w:r>
      <w:r>
        <w:rPr>
          <w:rStyle w:val="VerbatimChar"/>
        </w:rPr>
        <w:t xml:space="preserve">NID</w:t>
      </w:r>
      <w:r>
        <w:t xml:space="preserve">, since not every recall will</w:t>
      </w:r>
      <w:r>
        <w:t xml:space="preserve"> </w:t>
      </w:r>
      <w:r>
        <w:t xml:space="preserve">have them, and the schema of what’s available differs by category (see table above).</w:t>
      </w:r>
    </w:p>
    <w:p>
      <w:pPr>
        <w:pStyle w:val="BodyText"/>
      </w:pPr>
      <w:r>
        <w:rPr>
          <w:b/>
          <w:bCs/>
        </w:rPr>
        <w:t xml:space="preserve">Why separate tables:</w:t>
      </w:r>
      <w:r>
        <w:t xml:space="preserve"> </w:t>
      </w:r>
      <w:r>
        <w:t xml:space="preserve">a recall and its affected-product list are a one-to-many relationship</w:t>
      </w:r>
      <w:r>
        <w:t xml:space="preserve"> </w:t>
      </w:r>
      <w:r>
        <w:t xml:space="preserve">(one recall, up to dozens of UPCs/sizes/lots), and roughly a third of consumer-product recalls</w:t>
      </w:r>
      <w:r>
        <w:t xml:space="preserve"> </w:t>
      </w:r>
      <w:r>
        <w:t xml:space="preserve">have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structured products — forcing that into flat columns on the recall row would mean a</w:t>
      </w:r>
      <w:r>
        <w:t xml:space="preserve"> </w:t>
      </w:r>
      <w:r>
        <w:t xml:space="preserve">lot of nullable, category-specific columns that don’t apply to most rows.</w:t>
      </w:r>
    </w:p>
    <w:bookmarkEnd w:id="17"/>
    <w:bookmarkStart w:id="18" w:name="detect-and-merge-duplicate-notices"/>
    <w:p>
      <w:pPr>
        <w:pStyle w:val="Heading3"/>
      </w:pPr>
      <w:r>
        <w:t xml:space="preserve">3. Detect and merge duplicate notices</w:t>
      </w:r>
    </w:p>
    <w:p>
      <w:pPr>
        <w:pStyle w:val="FirstParagraph"/>
      </w:pPr>
      <w:r>
        <w:t xml:space="preserve">This is real, necessary work, not a formality. Confirmed live: when a recall is updated or</w:t>
      </w:r>
      <w:r>
        <w:t xml:space="preserve"> </w:t>
      </w:r>
      <w:r>
        <w:t xml:space="preserve">expanded, the government publishes it as a</w:t>
      </w:r>
      <w:r>
        <w:t xml:space="preserve"> </w:t>
      </w:r>
      <w:r>
        <w:rPr>
          <w:b/>
          <w:bCs/>
        </w:rPr>
        <w:t xml:space="preserve">brand-new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NID</w:t>
      </w:r>
      <w:r>
        <w:t xml:space="preserve"> </w:t>
      </w:r>
      <w:r>
        <w:t xml:space="preserve">— e.g. </w:t>
      </w:r>
      <w:r>
        <w:t xml:space="preserve">“Update: Great White North</w:t>
      </w:r>
      <w:r>
        <w:t xml:space="preserve"> </w:t>
      </w:r>
      <w:r>
        <w:t xml:space="preserve">Growers Inc. recalls…”</w:t>
      </w:r>
      <w:r>
        <w:t xml:space="preserve"> </w:t>
      </w:r>
      <w:r>
        <w:t xml:space="preserve">and</w:t>
      </w:r>
      <w:r>
        <w:t xml:space="preserve"> </w:t>
      </w:r>
      <w:r>
        <w:t xml:space="preserve">“Expanded recall: U Kids We Love Cozy 2-piece Pajamas Sets…”</w:t>
      </w:r>
      <w:r>
        <w:t xml:space="preserve"> </w:t>
      </w:r>
      <w:r>
        <w:t xml:space="preserve">are</w:t>
      </w:r>
      <w:r>
        <w:t xml:space="preserve"> </w:t>
      </w:r>
      <w:r>
        <w:t xml:space="preserve">separate records from their originals, with</w:t>
      </w:r>
      <w:r>
        <w:t xml:space="preserve"> </w:t>
      </w:r>
      <w:r>
        <w:rPr>
          <w:b/>
          <w:bCs/>
        </w:rPr>
        <w:t xml:space="preserve">no field linking them back</w:t>
      </w:r>
      <w:r>
        <w:t xml:space="preserve">. Every NID in the</w:t>
      </w:r>
      <w:r>
        <w:t xml:space="preserve"> </w:t>
      </w:r>
      <w:r>
        <w:t xml:space="preserve">current 33,883-record dump is unique — there is no in-place revision to detect via a simple key</w:t>
      </w:r>
      <w:r>
        <w:t xml:space="preserve"> </w:t>
      </w:r>
      <w:r>
        <w:t xml:space="preserve">lookup.</w:t>
      </w:r>
    </w:p>
    <w:p>
      <w:pPr>
        <w:pStyle w:val="BodyText"/>
      </w:pPr>
      <w:r>
        <w:t xml:space="preserve">Practical approach: when a new record’s title contains a pattern like</w:t>
      </w:r>
      <w:r>
        <w:t xml:space="preserve"> </w:t>
      </w:r>
      <w:r>
        <w:rPr>
          <w:rStyle w:val="VerbatimChar"/>
        </w:rPr>
        <w:t xml:space="preserve">Update: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Expanded recall:</w:t>
      </w:r>
      <w:r>
        <w:t xml:space="preserve">, extract the core product/brand phrase and fuzzy-match it (see step 5’s matching logic)</w:t>
      </w:r>
      <w:r>
        <w:t xml:space="preserve"> </w:t>
      </w:r>
      <w:r>
        <w:t xml:space="preserve">against recent existing recalls in the same category. Above a high-confidence threshold, link</w:t>
      </w:r>
      <w:r>
        <w:t xml:space="preserve"> </w:t>
      </w:r>
      <w:r>
        <w:t xml:space="preserve">the new record to the original as a revision rather than treating it as an unrelated recall —</w:t>
      </w:r>
      <w:r>
        <w:t xml:space="preserve"> </w:t>
      </w:r>
      <w:r>
        <w:t xml:space="preserve">this prevents alerting a user twice for what is, from their perspective, the same recall.</w:t>
      </w:r>
    </w:p>
    <w:p>
      <w:pPr>
        <w:pStyle w:val="BodyText"/>
      </w:pPr>
      <w:r>
        <w:rPr>
          <w:b/>
          <w:bCs/>
        </w:rPr>
        <w:t xml:space="preserve">Why this can’t be a simple string-equals check:</w:t>
      </w:r>
      <w:r>
        <w:t xml:space="preserve"> </w:t>
      </w:r>
      <w:r>
        <w:t xml:space="preserve">government recall titles are not</w:t>
      </w:r>
      <w:r>
        <w:t xml:space="preserve"> </w:t>
      </w:r>
      <w:r>
        <w:t xml:space="preserve">standardized enough for exact matching to be reliable, and the</w:t>
      </w:r>
      <w:r>
        <w:t xml:space="preserve"> </w:t>
      </w:r>
      <w:r>
        <w:t xml:space="preserve">“Update:”</w:t>
      </w:r>
      <w:r>
        <w:t xml:space="preserve">/</w:t>
      </w:r>
      <w:r>
        <w:t xml:space="preserve">“Expanded recall:”</w:t>
      </w:r>
      <w:r>
        <w:t xml:space="preserve"> </w:t>
      </w:r>
      <w:r>
        <w:t xml:space="preserve">prefix pattern itself isn’t universal — some updates are titled differently. This step will</w:t>
      </w:r>
      <w:r>
        <w:t xml:space="preserve"> </w:t>
      </w:r>
      <w:r>
        <w:t xml:space="preserve">have false negatives (missed links) more often than false positives, which is the safer failure</w:t>
      </w:r>
      <w:r>
        <w:t xml:space="preserve"> </w:t>
      </w:r>
      <w:r>
        <w:t xml:space="preserve">direction for a safety app: worst case is a rare duplicate alert, not a missed one.</w:t>
      </w:r>
    </w:p>
    <w:bookmarkEnd w:id="18"/>
    <w:bookmarkStart w:id="19" w:name="Xcfeb11a447bc9554c239ae5932581a1416f7d5a"/>
    <w:p>
      <w:pPr>
        <w:pStyle w:val="Heading3"/>
      </w:pPr>
      <w:r>
        <w:t xml:space="preserve">4. Compare recall against each user’s saved inventory</w:t>
      </w:r>
    </w:p>
    <w:p>
      <w:pPr>
        <w:pStyle w:val="FirstParagraph"/>
      </w:pPr>
      <w:r>
        <w:t xml:space="preserve">Match on whatever identifiers are actually available for that recall’s category: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Food/drugs with UPC or lot data</w:t>
      </w:r>
      <w:r>
        <w:t xml:space="preserve">: exact match on UPC first (cheap, unambiguous). If no UPC</w:t>
      </w:r>
      <w:r>
        <w:t xml:space="preserve"> </w:t>
      </w:r>
      <w:r>
        <w:t xml:space="preserve">match, fall back to brand + product-name fuzzy match.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Medical devices</w:t>
      </w:r>
      <w:r>
        <w:t xml:space="preserve">: match on serial/model/lot number if the user recorded one, else brand +</w:t>
      </w:r>
      <w:r>
        <w:t xml:space="preserve"> </w:t>
      </w:r>
      <w:r>
        <w:t xml:space="preserve">product name.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Consumer products without any structured table</w:t>
      </w:r>
      <w:r>
        <w:t xml:space="preserve">: brand + product-name fuzzy match only —</w:t>
      </w:r>
      <w:r>
        <w:t xml:space="preserve"> </w:t>
      </w:r>
      <w:r>
        <w:t xml:space="preserve">there is nothing more precise to match against, and pretending otherwise would be dishonest</w:t>
      </w:r>
      <w:r>
        <w:t xml:space="preserve"> </w:t>
      </w:r>
      <w:r>
        <w:t xml:space="preserve">about what the source data contains.</w:t>
      </w:r>
    </w:p>
    <w:p>
      <w:pPr>
        <w:pStyle w:val="FirstParagraph"/>
      </w:pPr>
      <w:r>
        <w:t xml:space="preserve">Confirmed live with</w:t>
      </w:r>
      <w:r>
        <w:t xml:space="preserve"> </w:t>
      </w:r>
      <w:r>
        <w:rPr>
          <w:rStyle w:val="VerbatimChar"/>
        </w:rPr>
        <w:t xml:space="preserve">rapidfuzz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demos/03_fuzzy_match.py</w:t>
      </w:r>
      <w:r>
        <w:t xml:space="preserve">): genuine near-matches</w:t>
      </w:r>
      <w:r>
        <w:t xml:space="preserve"> </w:t>
      </w:r>
      <w:r>
        <w:t xml:space="preserve">(</w:t>
      </w:r>
      <w:r>
        <w:t xml:space="preserve">“Coaticook White Cheddar Cheese Curds”</w:t>
      </w:r>
      <w:r>
        <w:t xml:space="preserve"> </w:t>
      </w:r>
      <w:r>
        <w:t xml:space="preserve">vs. </w:t>
      </w:r>
      <w:r>
        <w:t xml:space="preserve">“Coaticook cheddar curds - white”</w:t>
      </w:r>
      <w:r>
        <w:t xml:space="preserve">) score in the</w:t>
      </w:r>
      <w:r>
        <w:t xml:space="preserve"> </w:t>
      </w:r>
      <w:r>
        <w:t xml:space="preserve">60–90 range depending on the scoring function, and — critically —</w:t>
      </w:r>
      <w:r>
        <w:t xml:space="preserve"> </w:t>
      </w:r>
      <w:r>
        <w:rPr>
          <w:b/>
          <w:bCs/>
        </w:rPr>
        <w:t xml:space="preserve">so do some clearly unrelated</w:t>
      </w:r>
      <w:r>
        <w:rPr>
          <w:b/>
          <w:bCs/>
        </w:rPr>
        <w:t xml:space="preserve"> </w:t>
      </w:r>
      <w:r>
        <w:rPr>
          <w:b/>
          <w:bCs/>
        </w:rPr>
        <w:t xml:space="preserve">products</w:t>
      </w:r>
      <w:r>
        <w:t xml:space="preserve"> </w:t>
      </w:r>
      <w:r>
        <w:t xml:space="preserve">(</w:t>
      </w:r>
      <w:r>
        <w:t xml:space="preserve">“Tylenol Extra Strength Caplets”</w:t>
      </w:r>
      <w:r>
        <w:t xml:space="preserve"> </w:t>
      </w:r>
      <w:r>
        <w:t xml:space="preserve">vs. </w:t>
      </w:r>
      <w:r>
        <w:t xml:space="preserve">“Advil Extra Strength Tablets”</w:t>
      </w:r>
      <w:r>
        <w:t xml:space="preserve"> </w:t>
      </w:r>
      <w:r>
        <w:t xml:space="preserve">scored 75.9 on</w:t>
      </w:r>
      <w:r>
        <w:t xml:space="preserve"> </w:t>
      </w:r>
      <w:r>
        <w:rPr>
          <w:rStyle w:val="VerbatimChar"/>
        </w:rPr>
        <w:t xml:space="preserve">WRatio</w:t>
      </w:r>
      <w:r>
        <w:t xml:space="preserve">, nearly the same range as genuine matches). This is the concrete evidence behind step 5:</w:t>
      </w:r>
      <w:r>
        <w:t xml:space="preserve"> </w:t>
      </w:r>
      <w:r>
        <w:t xml:space="preserve">a fuzzy score alone is not sufficient to trigger a safety alert. It’s a candidate filter —</w:t>
      </w:r>
      <w:r>
        <w:t xml:space="preserve"> </w:t>
      </w:r>
      <w:r>
        <w:t xml:space="preserve">“is</w:t>
      </w:r>
      <w:r>
        <w:t xml:space="preserve"> </w:t>
      </w:r>
      <w:r>
        <w:t xml:space="preserve">this worth a closer look”</w:t>
      </w:r>
      <w:r>
        <w:t xml:space="preserve"> </w:t>
      </w:r>
      <w:r>
        <w:t xml:space="preserve">— not a verdict.</w:t>
      </w:r>
    </w:p>
    <w:bookmarkEnd w:id="19"/>
    <w:bookmarkStart w:id="20" w:name="Xe9aa4b7dea0445ba165b6b6faf394e9ea403124"/>
    <w:p>
      <w:pPr>
        <w:pStyle w:val="Heading3"/>
      </w:pPr>
      <w:r>
        <w:t xml:space="preserve">5. Claude examines uncertain matches and explains its reasoning</w:t>
      </w:r>
    </w:p>
    <w:p>
      <w:pPr>
        <w:pStyle w:val="FirstParagraph"/>
      </w:pPr>
      <w:r>
        <w:t xml:space="preserve">For matches that clear a low bar (candidate threshold) but don’t clear a high bar (auto-confirm</w:t>
      </w:r>
      <w:r>
        <w:t xml:space="preserve"> </w:t>
      </w:r>
      <w:r>
        <w:t xml:space="preserve">threshold), send the recall’s full text (title, product, issue, category) and the user’s saved</w:t>
      </w:r>
      <w:r>
        <w:t xml:space="preserve"> </w:t>
      </w:r>
      <w:r>
        <w:t xml:space="preserve">item to Claude, and ask for a structured judgment: is this likely the same product, and why.</w:t>
      </w:r>
      <w:r>
        <w:t xml:space="preserve"> </w:t>
      </w:r>
      <w:r>
        <w:t xml:space="preserve">This mirrors the same pattern already proven out in GlutenGuard — structured output via</w:t>
      </w:r>
      <w:r>
        <w:t xml:space="preserve"> </w:t>
      </w:r>
      <w:r>
        <w:rPr>
          <w:rStyle w:val="VerbatimChar"/>
        </w:rPr>
        <w:t xml:space="preserve">output_format</w:t>
      </w:r>
      <w:r>
        <w:t xml:space="preserve">, conservative-by-default reasoning, and a plain explanation a non-technical user</w:t>
      </w:r>
      <w:r>
        <w:t xml:space="preserve"> </w:t>
      </w:r>
      <w:r>
        <w:t xml:space="preserve">can read.</w:t>
      </w:r>
    </w:p>
    <w:p>
      <w:pPr>
        <w:pStyle w:val="BodyText"/>
      </w:pPr>
      <w:r>
        <w:rPr>
          <w:b/>
          <w:bCs/>
        </w:rPr>
        <w:t xml:space="preserve">Why this step exists and isn’t optional:</w:t>
      </w:r>
      <w:r>
        <w:t xml:space="preserve"> </w:t>
      </w:r>
      <w:r>
        <w:t xml:space="preserve">the Tylenol/Advil example above is not a contrived</w:t>
      </w:r>
      <w:r>
        <w:t xml:space="preserve"> </w:t>
      </w:r>
      <w:r>
        <w:t xml:space="preserve">edge case — it’s representative of exactly the kind of near-miss that plain string similarity</w:t>
      </w:r>
      <w:r>
        <w:t xml:space="preserve"> </w:t>
      </w:r>
      <w:r>
        <w:t xml:space="preserve">cannot resolve, because both are</w:t>
      </w:r>
      <w:r>
        <w:t xml:space="preserve"> </w:t>
      </w:r>
      <w:r>
        <w:t xml:space="preserve">“[Brand] [Descriptor] [Form]”</w:t>
      </w:r>
      <w:r>
        <w:t xml:space="preserve"> </w:t>
      </w:r>
      <w:r>
        <w:t xml:space="preserve">in the same shape. A model that</w:t>
      </w:r>
      <w:r>
        <w:t xml:space="preserve"> </w:t>
      </w:r>
      <w:r>
        <w:t xml:space="preserve">can read</w:t>
      </w:r>
      <w:r>
        <w:t xml:space="preserve"> </w:t>
      </w:r>
      <w:r>
        <w:t xml:space="preserve">“Tylenol”</w:t>
      </w:r>
      <w:r>
        <w:t xml:space="preserve"> </w:t>
      </w:r>
      <w:r>
        <w:t xml:space="preserve">and</w:t>
      </w:r>
      <w:r>
        <w:t xml:space="preserve"> </w:t>
      </w:r>
      <w:r>
        <w:t xml:space="preserve">“Advil”</w:t>
      </w:r>
      <w:r>
        <w:t xml:space="preserve"> </w:t>
      </w:r>
      <w:r>
        <w:t xml:space="preserve">and know they are different active ingredients closes a gap that</w:t>
      </w:r>
      <w:r>
        <w:t xml:space="preserve"> </w:t>
      </w:r>
      <w:r>
        <w:t xml:space="preserve">no amount of string-distance tuning can.</w:t>
      </w:r>
    </w:p>
    <w:bookmarkEnd w:id="20"/>
    <w:bookmarkStart w:id="21" w:name="X548e4b3df8a494cc8bf0bd06ee522e71f4c3521"/>
    <w:p>
      <w:pPr>
        <w:pStyle w:val="Heading3"/>
      </w:pPr>
      <w:r>
        <w:t xml:space="preserve">6. Assign priority from severity and match confidence</w:t>
      </w:r>
    </w:p>
    <w:p>
      <w:pPr>
        <w:pStyle w:val="FirstParagraph"/>
      </w:pPr>
      <w:r>
        <w:t xml:space="preserve">The data already carries a severity signal —</w:t>
      </w:r>
      <w:r>
        <w:t xml:space="preserve"> </w:t>
      </w:r>
      <w:r>
        <w:rPr>
          <w:rStyle w:val="VerbatimChar"/>
        </w:rPr>
        <w:t xml:space="preserve">Recall class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Class 1/2/3</w:t>
      </w:r>
      <w:r>
        <w:t xml:space="preserve"> </w:t>
      </w:r>
      <w:r>
        <w:t xml:space="preserve">for food and</w:t>
      </w:r>
      <w:r>
        <w:t xml:space="preserve"> </w:t>
      </w:r>
      <w:r>
        <w:t xml:space="preserve">consumer products,</w:t>
      </w:r>
      <w:r>
        <w:t xml:space="preserve"> </w:t>
      </w:r>
      <w:r>
        <w:rPr>
          <w:rStyle w:val="VerbatimChar"/>
        </w:rPr>
        <w:t xml:space="preserve">Type I/II/III</w:t>
      </w:r>
      <w:r>
        <w:t xml:space="preserve"> </w:t>
      </w:r>
      <w:r>
        <w:t xml:space="preserve">for drugs and medical devices (Class 1 / Type I being most</w:t>
      </w:r>
      <w:r>
        <w:t xml:space="preserve"> </w:t>
      </w:r>
      <w:r>
        <w:t xml:space="preserve">severe). Confirmed live that this field is present but</w:t>
      </w:r>
      <w:r>
        <w:t xml:space="preserve"> </w:t>
      </w:r>
      <w:r>
        <w:rPr>
          <w:b/>
          <w:bCs/>
        </w:rPr>
        <w:t xml:space="preserve">not always populated</w:t>
      </w:r>
      <w:r>
        <w:t xml:space="preserve"> </w:t>
      </w:r>
      <w:r>
        <w:t xml:space="preserve">— roughly a</w:t>
      </w:r>
      <w:r>
        <w:t xml:space="preserve"> </w:t>
      </w:r>
      <w:r>
        <w:t xml:space="preserve">third of CFIA/consumer-product records have it blank or</w:t>
      </w:r>
      <w:r>
        <w:t xml:space="preserve"> </w:t>
      </w:r>
      <w:r>
        <w:rPr>
          <w:rStyle w:val="VerbatimChar"/>
        </w:rPr>
        <w:t xml:space="preserve">'--'</w:t>
      </w:r>
      <w:r>
        <w:t xml:space="preserve">. Priority scoring needs a defined</w:t>
      </w:r>
      <w:r>
        <w:t xml:space="preserve"> </w:t>
      </w:r>
      <w:r>
        <w:t xml:space="preserve">fallback for missing severity (e.g. treat unknown severity as medium, not low, since defaulting</w:t>
      </w:r>
      <w:r>
        <w:t xml:space="preserve"> </w:t>
      </w:r>
      <w:r>
        <w:t xml:space="preserve">low on missing safety data is the wrong direction to default).</w:t>
      </w:r>
    </w:p>
    <w:p>
      <w:pPr>
        <w:pStyle w:val="BodyText"/>
      </w:pPr>
      <w:r>
        <w:t xml:space="preserve">Combine</w:t>
      </w:r>
      <w:r>
        <w:t xml:space="preserve"> </w:t>
      </w:r>
      <w:r>
        <w:rPr>
          <w:rStyle w:val="VerbatimChar"/>
        </w:rPr>
        <w:t xml:space="preserve">Recall class</w:t>
      </w:r>
      <w:r>
        <w:t xml:space="preserve">/</w:t>
      </w:r>
      <w:r>
        <w:rPr>
          <w:rStyle w:val="VerbatimChar"/>
        </w:rPr>
        <w:t xml:space="preserve">Type</w:t>
      </w:r>
      <w:r>
        <w:t xml:space="preserve"> </w:t>
      </w:r>
      <w:r>
        <w:t xml:space="preserve">with the match confidence from steps 4–5 (exact ID match &gt;</w:t>
      </w:r>
      <w:r>
        <w:t xml:space="preserve"> </w:t>
      </w:r>
      <w:r>
        <w:t xml:space="preserve">Claude-confirmed likely match &gt; Claude-uncertain match) to produce a priority tier. This tier is</w:t>
      </w:r>
      <w:r>
        <w:t xml:space="preserve"> </w:t>
      </w:r>
      <w:r>
        <w:t xml:space="preserve">what determines whether the user gets a notification and how it’s framed — the Green/Yellow/Red</w:t>
      </w:r>
      <w:r>
        <w:t xml:space="preserve"> </w:t>
      </w:r>
      <w:r>
        <w:t xml:space="preserve">style plain-language pattern already validated in GlutenGuard is the right shape here too.</w:t>
      </w:r>
    </w:p>
    <w:bookmarkEnd w:id="21"/>
    <w:bookmarkStart w:id="22" w:name="notify-the-user"/>
    <w:p>
      <w:pPr>
        <w:pStyle w:val="Heading3"/>
      </w:pPr>
      <w:r>
        <w:t xml:space="preserve">7. Notify the user</w:t>
      </w:r>
    </w:p>
    <w:p>
      <w:pPr>
        <w:pStyle w:val="FirstParagraph"/>
      </w:pPr>
      <w:r>
        <w:t xml:space="preserve">If the match/priority passes the alert threshold, send a concise email: product name, the</w:t>
      </w:r>
      <w:r>
        <w:t xml:space="preserve"> </w:t>
      </w:r>
      <w:r>
        <w:t xml:space="preserve">specific risk, affected identifiers (UPC/lot if available, otherwise</w:t>
      </w:r>
      <w:r>
        <w:t xml:space="preserve"> </w:t>
      </w:r>
      <w:r>
        <w:t xml:space="preserve">“no lot number provided by</w:t>
      </w:r>
      <w:r>
        <w:t xml:space="preserve"> </w:t>
      </w:r>
      <w:r>
        <w:t xml:space="preserve">the manufacturer — check your product against the description below”</w:t>
      </w:r>
      <w:r>
        <w:t xml:space="preserve">), recommended action, and</w:t>
      </w:r>
      <w:r>
        <w:t xml:space="preserve"> </w:t>
      </w:r>
      <w:r>
        <w:t xml:space="preserve">a link to the official government recall page as the source of truth. Never paraphrase away the</w:t>
      </w:r>
      <w:r>
        <w:t xml:space="preserve"> </w:t>
      </w:r>
      <w:r>
        <w:t xml:space="preserve">official link — the user should always be able to verify against the primary source.</w:t>
      </w:r>
    </w:p>
    <w:bookmarkEnd w:id="22"/>
    <w:bookmarkStart w:id="23" w:name="record-the-result-so-alerts-dont-repeat"/>
    <w:p>
      <w:pPr>
        <w:pStyle w:val="Heading3"/>
      </w:pPr>
      <w:r>
        <w:t xml:space="preserve">8. Record the result so alerts don’t repeat</w:t>
      </w:r>
    </w:p>
    <w:p>
      <w:pPr>
        <w:pStyle w:val="FirstParagraph"/>
      </w:pPr>
      <w:r>
        <w:t xml:space="preserve">Store the (user, recall NID, outcome) tuple — matched or not, notified or not, and why — so a</w:t>
      </w:r>
      <w:r>
        <w:t xml:space="preserve"> </w:t>
      </w:r>
      <w:r>
        <w:t xml:space="preserve">recall that was already evaluated for a user isn’t re-evaluated and re-sent on the next poll.</w:t>
      </w:r>
      <w:r>
        <w:t xml:space="preserve"> </w:t>
      </w:r>
      <w:r>
        <w:t xml:space="preserve">This also gives an audit trail: if a user asks</w:t>
      </w:r>
      <w:r>
        <w:t xml:space="preserve"> </w:t>
      </w:r>
      <w:r>
        <w:t xml:space="preserve">“why did I get this alert”</w:t>
      </w:r>
      <w:r>
        <w:t xml:space="preserve"> </w:t>
      </w:r>
      <w:r>
        <w:t xml:space="preserve">or</w:t>
      </w:r>
      <w:r>
        <w:t xml:space="preserve"> </w:t>
      </w:r>
      <w:r>
        <w:t xml:space="preserve">“why didn’t I get</w:t>
      </w:r>
      <w:r>
        <w:t xml:space="preserve"> </w:t>
      </w:r>
      <w:r>
        <w:t xml:space="preserve">an alert for X,”</w:t>
      </w:r>
      <w:r>
        <w:t xml:space="preserve"> </w:t>
      </w:r>
      <w:r>
        <w:t xml:space="preserve">the stored reasoning (including Claude’s explanation from step 5, when</w:t>
      </w:r>
      <w:r>
        <w:t xml:space="preserve"> </w:t>
      </w:r>
      <w:r>
        <w:t xml:space="preserve">applicable) answers it directly instead of requiring a re-run.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cc6e004ed48971ac2b09f56b7f98f1c400b7c69"/>
    <w:p>
      <w:pPr>
        <w:pStyle w:val="Heading2"/>
      </w:pPr>
      <w:r>
        <w:t xml:space="preserve">Known gaps and honest limitations (for the MVP)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structured product data for most consumer-product recalls.</w:t>
      </w:r>
      <w:r>
        <w:t xml:space="preserve"> </w:t>
      </w:r>
      <w:r>
        <w:t xml:space="preserve">This isn’t a bug to fix</w:t>
      </w:r>
      <w:r>
        <w:t xml:space="preserve"> </w:t>
      </w:r>
      <w:r>
        <w:t xml:space="preserve">later — it’s a property of the source data. The system should be transparent about this in</w:t>
      </w:r>
      <w:r>
        <w:t xml:space="preserve"> </w:t>
      </w:r>
      <w:r>
        <w:t xml:space="preserve">the UI (</w:t>
      </w:r>
      <w:r>
        <w:t xml:space="preserve">“no lot number was provided for this recall”</w:t>
      </w:r>
      <w:r>
        <w:t xml:space="preserve">) rather than silently degrading.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Deduplication will have false negatives.</w:t>
      </w:r>
      <w:r>
        <w:t xml:space="preserve"> </w:t>
      </w:r>
      <w:r>
        <w:t xml:space="preserve">An</w:t>
      </w:r>
      <w:r>
        <w:t xml:space="preserve"> </w:t>
      </w:r>
      <w:r>
        <w:t xml:space="preserve">“Update:”</w:t>
      </w:r>
      <w:r>
        <w:t xml:space="preserve">/</w:t>
      </w:r>
      <w:r>
        <w:t xml:space="preserve">“Expanded recall:”</w:t>
      </w:r>
      <w:r>
        <w:t xml:space="preserve"> </w:t>
      </w:r>
      <w:r>
        <w:t xml:space="preserve">record that</w:t>
      </w:r>
      <w:r>
        <w:t xml:space="preserve"> </w:t>
      </w:r>
      <w:r>
        <w:t xml:space="preserve">doesn’t fuzzy-match its original closely enough will be treated as a new recall, meaning a</w:t>
      </w:r>
      <w:r>
        <w:t xml:space="preserve"> </w:t>
      </w:r>
      <w:r>
        <w:t xml:space="preserve">user could get two alerts for what is really one event. Rare, and the safer failure mode for a</w:t>
      </w:r>
      <w:r>
        <w:t xml:space="preserve"> </w:t>
      </w:r>
      <w:r>
        <w:t xml:space="preserve">safety app, but real.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RSS feeds only carry the last ~3 items per category</w:t>
      </w:r>
      <w:r>
        <w:t xml:space="preserve"> </w:t>
      </w:r>
      <w:r>
        <w:t xml:space="preserve">— confirmed, not assumed. They’re a</w:t>
      </w:r>
      <w:r>
        <w:t xml:space="preserve"> </w:t>
      </w:r>
      <w:r>
        <w:t xml:space="preserve">latency optimization on top of the bulk feed, never the sole source of truth.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Household product barcode lookup has no reliable free source.</w:t>
      </w:r>
      <w:r>
        <w:t xml:space="preserve"> </w:t>
      </w:r>
      <w:r>
        <w:t xml:space="preserve">Manual entry is the</w:t>
      </w:r>
      <w:r>
        <w:t xml:space="preserve"> </w:t>
      </w:r>
      <w:r>
        <w:t xml:space="preserve">answer for this category in the MVP, not a stopgap being deferred — a paid barcode API is a</w:t>
      </w:r>
      <w:r>
        <w:t xml:space="preserve"> </w:t>
      </w:r>
      <w:r>
        <w:t xml:space="preserve">cost/product decision to revisit later, not a technical blocker now.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Recall class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b/>
          <w:bCs/>
        </w:rPr>
        <w:t xml:space="preserve">is missing on a meaningful fraction of records</w:t>
      </w:r>
      <w:r>
        <w:t xml:space="preserve"> </w:t>
      </w:r>
      <w:r>
        <w:t xml:space="preserve">(roughly a third for</w:t>
      </w:r>
      <w:r>
        <w:t xml:space="preserve"> </w:t>
      </w:r>
      <w:r>
        <w:t xml:space="preserve">food/consumer products). Priority scoring must have an explicit, safety-conservative default</w:t>
      </w:r>
      <w:r>
        <w:t xml:space="preserve"> </w:t>
      </w:r>
      <w:r>
        <w:t xml:space="preserve">for</w:t>
      </w:r>
      <w:r>
        <w:t xml:space="preserve"> </w:t>
      </w:r>
      <w:r>
        <w:t xml:space="preserve">“unknown severity,”</w:t>
      </w:r>
      <w:r>
        <w:t xml:space="preserve"> </w:t>
      </w:r>
      <w:r>
        <w:t xml:space="preserve">not silently treat missing data as low priority.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Local script + SQLite is not always-on.</w:t>
      </w:r>
      <w:r>
        <w:t xml:space="preserve"> </w:t>
      </w:r>
      <w:r>
        <w:t xml:space="preserve">Fine for an MVP/demo; a production version would</w:t>
      </w:r>
      <w:r>
        <w:t xml:space="preserve"> </w:t>
      </w:r>
      <w:r>
        <w:t xml:space="preserve">need a real scheduler and possibly a hosted database, which is a deliberately deferred</w:t>
      </w:r>
      <w:r>
        <w:t xml:space="preserve"> </w:t>
      </w:r>
      <w:r>
        <w:t xml:space="preserve">decision, not an oversight.</w:t>
      </w:r>
    </w:p>
    <w:p>
      <w:r>
        <w:pict>
          <v:rect style="width:0;height:1.5pt" o:hralign="center" o:hrstd="t" o:hr="t"/>
        </w:pict>
      </w:r>
    </w:p>
    <w:bookmarkEnd w:id="25"/>
    <w:bookmarkStart w:id="26" w:name="whats-proven-not-assumed"/>
    <w:p>
      <w:pPr>
        <w:pStyle w:val="Heading2"/>
      </w:pPr>
      <w:r>
        <w:t xml:space="preserve">What’s proven, not assumed</w:t>
      </w:r>
    </w:p>
    <w:p>
      <w:pPr>
        <w:pStyle w:val="FirstParagraph"/>
      </w:pPr>
      <w:r>
        <w:t xml:space="preserve">Everything above the</w:t>
      </w:r>
      <w:r>
        <w:t xml:space="preserve"> </w:t>
      </w:r>
      <w:r>
        <w:t xml:space="preserve">“Known gaps”</w:t>
      </w:r>
      <w:r>
        <w:t xml:space="preserve"> </w:t>
      </w:r>
      <w:r>
        <w:t xml:space="preserve">section reflects data actually pulled and tested live during</w:t>
      </w:r>
      <w:r>
        <w:t xml:space="preserve"> </w:t>
      </w:r>
      <w:r>
        <w:t xml:space="preserve">design, not read from documentation and assumed to work:</w:t>
      </w:r>
    </w:p>
    <w:p>
      <w:pPr>
        <w:pStyle w:val="Compact"/>
        <w:numPr>
          <w:ilvl w:val="0"/>
          <w:numId w:val="1006"/>
        </w:numPr>
      </w:pPr>
      <w:r>
        <w:t xml:space="preserve">Bulk JSON feed: pulled the real 15 MB file, confirmed field names, confirmed 33,883 unique</w:t>
      </w:r>
      <w:r>
        <w:t xml:space="preserve"> </w:t>
      </w:r>
      <w:r>
        <w:t xml:space="preserve">NIDs, confirmed</w:t>
      </w:r>
      <w:r>
        <w:t xml:space="preserve"> </w:t>
      </w:r>
      <w:r>
        <w:rPr>
          <w:rStyle w:val="VerbatimChar"/>
        </w:rPr>
        <w:t xml:space="preserve">ETag</w:t>
      </w:r>
      <w:r>
        <w:t xml:space="preserve">/</w:t>
      </w:r>
      <w:r>
        <w:rPr>
          <w:rStyle w:val="VerbatimChar"/>
        </w:rPr>
        <w:t xml:space="preserve">Last-Modified</w:t>
      </w:r>
      <w:r>
        <w:t xml:space="preserve"> </w:t>
      </w:r>
      <w:r>
        <w:t xml:space="preserve">headers.</w:t>
      </w:r>
    </w:p>
    <w:p>
      <w:pPr>
        <w:pStyle w:val="Compact"/>
        <w:numPr>
          <w:ilvl w:val="0"/>
          <w:numId w:val="1006"/>
        </w:numPr>
      </w:pPr>
      <w:r>
        <w:t xml:space="preserve">CFIA RSS feed: pulled the real feed, confirmed valid RSS 2.0, confirmed</w:t>
      </w:r>
      <w:r>
        <w:t xml:space="preserve"> </w:t>
      </w:r>
      <w:r>
        <w:rPr>
          <w:rStyle w:val="VerbatimChar"/>
        </w:rPr>
        <w:t xml:space="preserve">guid</w:t>
      </w:r>
      <w:r>
        <w:t xml:space="preserve"> </w:t>
      </w:r>
      <w:r>
        <w:t xml:space="preserve">values match the</w:t>
      </w:r>
      <w:r>
        <w:t xml:space="preserve"> </w:t>
      </w:r>
      <w:r>
        <w:t xml:space="preserve">bulk feed’s</w:t>
      </w:r>
      <w:r>
        <w:t xml:space="preserve"> </w:t>
      </w:r>
      <w:r>
        <w:rPr>
          <w:rStyle w:val="VerbatimChar"/>
        </w:rPr>
        <w:t xml:space="preserve">NID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Per-recall detail pages: fetched real pages across four categories, confirmed table structure</w:t>
      </w:r>
      <w:r>
        <w:t xml:space="preserve"> </w:t>
      </w:r>
      <w:r>
        <w:t xml:space="preserve">for food/drugs/medical devices, confirmed the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of a table for a real consumer-product</w:t>
      </w:r>
      <w:r>
        <w:t xml:space="preserve"> </w:t>
      </w:r>
      <w:r>
        <w:t xml:space="preserve">recall.</w:t>
      </w:r>
    </w:p>
    <w:p>
      <w:pPr>
        <w:pStyle w:val="Compact"/>
        <w:numPr>
          <w:ilvl w:val="0"/>
          <w:numId w:val="1006"/>
        </w:numPr>
      </w:pPr>
      <w:r>
        <w:t xml:space="preserve">Health Canada DPD API: live DIN lookup and live brand-name search both returned real data.</w:t>
      </w:r>
    </w:p>
    <w:p>
      <w:pPr>
        <w:pStyle w:val="Compact"/>
        <w:numPr>
          <w:ilvl w:val="0"/>
          <w:numId w:val="1006"/>
        </w:numPr>
      </w:pPr>
      <w:r>
        <w:t xml:space="preserve">Open Food Facts: live UPC lookup succeeded for a major brand, live UPC lookup returned</w:t>
      </w:r>
      <w:r>
        <w:t xml:space="preserve"> </w:t>
      </w:r>
      <w:r>
        <w:t xml:space="preserve">“not</w:t>
      </w:r>
      <w:r>
        <w:t xml:space="preserve"> </w:t>
      </w:r>
      <w:r>
        <w:t xml:space="preserve">found”</w:t>
      </w:r>
      <w:r>
        <w:t xml:space="preserve"> </w:t>
      </w:r>
      <w:r>
        <w:t xml:space="preserve">for a real regional recall product — both outcomes are informative and are reflected</w:t>
      </w:r>
      <w:r>
        <w:t xml:space="preserve"> </w:t>
      </w:r>
      <w:r>
        <w:t xml:space="preserve">above.</w:t>
      </w:r>
    </w:p>
    <w:p>
      <w:pPr>
        <w:pStyle w:val="Compact"/>
        <w:numPr>
          <w:ilvl w:val="0"/>
          <w:numId w:val="1006"/>
        </w:numPr>
      </w:pPr>
      <w:r>
        <w:t xml:space="preserve">UPCitemdb free tier: live lookup returned mismatched junk data, which is why it’s excluded.</w:t>
      </w:r>
    </w:p>
    <w:p>
      <w:pPr>
        <w:pStyle w:val="Compact"/>
        <w:numPr>
          <w:ilvl w:val="0"/>
          <w:numId w:val="1006"/>
        </w:numPr>
      </w:pPr>
      <w:r>
        <w:t xml:space="preserve">rapidfuzz scoring: real product-name pairs scored and compared, including the Tylenol/Advil</w:t>
      </w:r>
      <w:r>
        <w:t xml:space="preserve"> </w:t>
      </w:r>
      <w:r>
        <w:t xml:space="preserve">near-miss that motivates step 5.</w:t>
      </w:r>
    </w:p>
    <w:p>
      <w:pPr>
        <w:pStyle w:val="Compact"/>
        <w:numPr>
          <w:ilvl w:val="0"/>
          <w:numId w:val="1006"/>
        </w:numPr>
      </w:pPr>
      <w:r>
        <w:t xml:space="preserve">Resend: confirmed sandbox sending address requires no domain ownership to start.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demos/</w:t>
      </w:r>
      <w:r>
        <w:t xml:space="preserve"> </w:t>
      </w:r>
      <w:r>
        <w:t xml:space="preserve">in this folder for the three runnable proofs referenced above (RSS parsing, SQLite</w:t>
      </w:r>
      <w:r>
        <w:t xml:space="preserve"> </w:t>
      </w:r>
      <w:r>
        <w:t xml:space="preserve">table + insert, and rapidfuzz scoring).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2026-08-05T19:47:42Z</dcterms:created>
  <dcterms:modified xsi:type="dcterms:W3CDTF">2026-08-05T19:47:42Z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