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A2DE28" w14:textId="3C5DF93B" w:rsidR="00781768" w:rsidRPr="00781768" w:rsidRDefault="00781768" w:rsidP="00781768">
      <w:pPr>
        <w:pStyle w:val="Title"/>
        <w:rPr>
          <w:rFonts w:ascii="Times New Roman" w:eastAsia="Times New Roman" w:hAnsi="Times New Roman" w:cs="Times New Roman"/>
          <w:lang w:eastAsia="en-GB"/>
        </w:rPr>
      </w:pPr>
      <w:r>
        <w:rPr>
          <w:rFonts w:ascii="Times New Roman" w:hAnsi="Times New Roman" w:cs="Times New Roman"/>
        </w:rPr>
        <w:t xml:space="preserve">           </w:t>
      </w:r>
      <w:r w:rsidRPr="00781768">
        <w:rPr>
          <w:rFonts w:ascii="Times New Roman" w:hAnsi="Times New Roman" w:cs="Times New Roman"/>
        </w:rPr>
        <w:t>Adaptive Staircase</w:t>
      </w:r>
      <w:r w:rsidRPr="00781768">
        <w:rPr>
          <w:rFonts w:ascii="Times New Roman" w:eastAsia="Times New Roman" w:hAnsi="Times New Roman" w:cs="Times New Roman"/>
          <w:lang w:eastAsia="en-GB"/>
        </w:rPr>
        <w:t xml:space="preserve"> Procedure</w:t>
      </w:r>
    </w:p>
    <w:p w14:paraId="6E319C57" w14:textId="77777777" w:rsidR="00781768" w:rsidRPr="00781768" w:rsidRDefault="00781768" w:rsidP="00781768">
      <w:pPr>
        <w:widowControl w:val="0"/>
        <w:spacing w:before="72" w:after="0" w:line="360" w:lineRule="auto"/>
        <w:jc w:val="center"/>
        <w:rPr>
          <w:rFonts w:ascii="Times New Roman" w:eastAsia="Times New Roman" w:hAnsi="Times New Roman" w:cs="Times New Roman"/>
          <w:color w:val="000000"/>
          <w:kern w:val="0"/>
          <w:sz w:val="36"/>
          <w:szCs w:val="36"/>
          <w:lang w:eastAsia="en-GB"/>
          <w14:ligatures w14:val="none"/>
        </w:rPr>
      </w:pPr>
      <w:r w:rsidRPr="00781768">
        <w:rPr>
          <w:rFonts w:ascii="Times New Roman" w:eastAsia="Times New Roman" w:hAnsi="Times New Roman" w:cs="Times New Roman"/>
          <w:color w:val="000000"/>
          <w:kern w:val="0"/>
          <w:sz w:val="36"/>
          <w:szCs w:val="36"/>
          <w:lang w:eastAsia="en-GB"/>
          <w14:ligatures w14:val="none"/>
        </w:rPr>
        <w:t>PSY310: Lab in Psychology</w:t>
      </w:r>
    </w:p>
    <w:p w14:paraId="0047A075" w14:textId="2631FDFC" w:rsidR="00781768" w:rsidRPr="00781768" w:rsidRDefault="00781768" w:rsidP="00781768">
      <w:pPr>
        <w:widowControl w:val="0"/>
        <w:spacing w:before="37" w:after="0" w:line="360" w:lineRule="auto"/>
        <w:jc w:val="center"/>
        <w:rPr>
          <w:rFonts w:ascii="Times New Roman" w:eastAsia="Times New Roman" w:hAnsi="Times New Roman" w:cs="Times New Roman"/>
          <w:color w:val="000000"/>
          <w:kern w:val="0"/>
          <w:sz w:val="36"/>
          <w:szCs w:val="36"/>
          <w:lang w:eastAsia="en-GB"/>
          <w14:ligatures w14:val="none"/>
        </w:rPr>
      </w:pPr>
      <w:r w:rsidRPr="00781768">
        <w:rPr>
          <w:rFonts w:ascii="Times New Roman" w:eastAsia="Times New Roman" w:hAnsi="Times New Roman" w:cs="Times New Roman"/>
          <w:color w:val="000000"/>
          <w:kern w:val="0"/>
          <w:sz w:val="36"/>
          <w:szCs w:val="36"/>
          <w:lang w:eastAsia="en-GB"/>
          <w14:ligatures w14:val="none"/>
        </w:rPr>
        <w:t>1</w:t>
      </w:r>
      <w:r>
        <w:rPr>
          <w:rFonts w:ascii="Times New Roman" w:eastAsia="Times New Roman" w:hAnsi="Times New Roman" w:cs="Times New Roman"/>
          <w:color w:val="000000"/>
          <w:kern w:val="0"/>
          <w:sz w:val="36"/>
          <w:szCs w:val="36"/>
          <w:lang w:eastAsia="en-GB"/>
          <w14:ligatures w14:val="none"/>
        </w:rPr>
        <w:t>2</w:t>
      </w:r>
      <w:r w:rsidRPr="00781768">
        <w:rPr>
          <w:rFonts w:ascii="Times New Roman" w:eastAsia="Times New Roman" w:hAnsi="Times New Roman" w:cs="Times New Roman"/>
          <w:color w:val="000000"/>
          <w:kern w:val="0"/>
          <w:sz w:val="36"/>
          <w:szCs w:val="36"/>
          <w:lang w:eastAsia="en-GB"/>
          <w14:ligatures w14:val="none"/>
        </w:rPr>
        <w:t>th September, 2024</w:t>
      </w:r>
    </w:p>
    <w:p w14:paraId="56E35CE1" w14:textId="419DFD53" w:rsidR="00781768" w:rsidRPr="00781768" w:rsidRDefault="00781768" w:rsidP="00781768">
      <w:pPr>
        <w:widowControl w:val="0"/>
        <w:spacing w:before="37" w:after="0" w:line="360" w:lineRule="auto"/>
        <w:jc w:val="center"/>
        <w:rPr>
          <w:rFonts w:ascii="Times New Roman" w:eastAsia="Times New Roman" w:hAnsi="Times New Roman" w:cs="Times New Roman"/>
          <w:color w:val="000000"/>
          <w:kern w:val="0"/>
          <w:sz w:val="36"/>
          <w:szCs w:val="36"/>
          <w:lang w:eastAsia="en-GB"/>
          <w14:ligatures w14:val="none"/>
        </w:rPr>
      </w:pPr>
      <w:r>
        <w:rPr>
          <w:rFonts w:ascii="Times New Roman" w:eastAsia="Times New Roman" w:hAnsi="Times New Roman" w:cs="Times New Roman"/>
          <w:color w:val="000000"/>
          <w:kern w:val="0"/>
          <w:sz w:val="36"/>
          <w:szCs w:val="36"/>
          <w:lang w:eastAsia="en-GB"/>
          <w14:ligatures w14:val="none"/>
        </w:rPr>
        <w:t>Kareena Sahani</w:t>
      </w:r>
    </w:p>
    <w:p w14:paraId="6B6EFC4D" w14:textId="4F6A6404" w:rsidR="00781768" w:rsidRPr="00781768" w:rsidRDefault="00781768" w:rsidP="00781768">
      <w:pPr>
        <w:widowControl w:val="0"/>
        <w:spacing w:before="37" w:after="0" w:line="360" w:lineRule="auto"/>
        <w:jc w:val="center"/>
        <w:rPr>
          <w:rFonts w:ascii="Times New Roman" w:eastAsia="Times New Roman" w:hAnsi="Times New Roman" w:cs="Times New Roman"/>
          <w:color w:val="000000"/>
          <w:kern w:val="0"/>
          <w:sz w:val="36"/>
          <w:szCs w:val="36"/>
          <w:lang w:eastAsia="en-GB"/>
          <w14:ligatures w14:val="none"/>
        </w:rPr>
      </w:pPr>
      <w:r w:rsidRPr="00781768">
        <w:rPr>
          <w:rFonts w:ascii="Times New Roman" w:eastAsia="Times New Roman" w:hAnsi="Times New Roman" w:cs="Times New Roman"/>
          <w:color w:val="000000"/>
          <w:kern w:val="0"/>
          <w:sz w:val="36"/>
          <w:szCs w:val="36"/>
          <w:lang w:eastAsia="en-GB"/>
          <w14:ligatures w14:val="none"/>
        </w:rPr>
        <w:t>AU22201</w:t>
      </w:r>
      <w:r>
        <w:rPr>
          <w:rFonts w:ascii="Times New Roman" w:eastAsia="Times New Roman" w:hAnsi="Times New Roman" w:cs="Times New Roman"/>
          <w:color w:val="000000"/>
          <w:kern w:val="0"/>
          <w:sz w:val="36"/>
          <w:szCs w:val="36"/>
          <w:lang w:eastAsia="en-GB"/>
          <w14:ligatures w14:val="none"/>
        </w:rPr>
        <w:t>16</w:t>
      </w:r>
    </w:p>
    <w:p w14:paraId="42CD0951" w14:textId="77777777" w:rsidR="0031043D" w:rsidRDefault="0031043D">
      <w:pPr>
        <w:rPr>
          <w:rFonts w:ascii="Times New Roman" w:hAnsi="Times New Roman" w:cs="Times New Roman"/>
          <w:sz w:val="36"/>
          <w:szCs w:val="36"/>
        </w:rPr>
      </w:pPr>
    </w:p>
    <w:p w14:paraId="70685E7D" w14:textId="77777777" w:rsidR="00781768" w:rsidRDefault="00781768">
      <w:pPr>
        <w:rPr>
          <w:rFonts w:ascii="Times New Roman" w:hAnsi="Times New Roman" w:cs="Times New Roman"/>
          <w:sz w:val="36"/>
          <w:szCs w:val="36"/>
        </w:rPr>
      </w:pPr>
    </w:p>
    <w:p w14:paraId="19C8782F" w14:textId="10A6D3EE" w:rsidR="00781768" w:rsidRPr="00781768" w:rsidRDefault="00781768">
      <w:pPr>
        <w:rPr>
          <w:rFonts w:ascii="Times New Roman" w:hAnsi="Times New Roman" w:cs="Times New Roman"/>
          <w:b/>
          <w:bCs/>
          <w:sz w:val="36"/>
          <w:szCs w:val="36"/>
        </w:rPr>
      </w:pPr>
      <w:r w:rsidRPr="00781768">
        <w:rPr>
          <w:rFonts w:ascii="Times New Roman" w:hAnsi="Times New Roman" w:cs="Times New Roman"/>
          <w:b/>
          <w:bCs/>
          <w:sz w:val="36"/>
          <w:szCs w:val="36"/>
        </w:rPr>
        <w:t>Introduction</w:t>
      </w:r>
    </w:p>
    <w:p w14:paraId="35677B99" w14:textId="198EFDFE" w:rsidR="00781768" w:rsidRDefault="00781768" w:rsidP="00120204">
      <w:pPr>
        <w:spacing w:line="240" w:lineRule="auto"/>
        <w:rPr>
          <w:rFonts w:ascii="Times New Roman" w:hAnsi="Times New Roman" w:cs="Times New Roman"/>
          <w:sz w:val="28"/>
          <w:szCs w:val="28"/>
        </w:rPr>
      </w:pPr>
      <w:r w:rsidRPr="00781768">
        <w:rPr>
          <w:rFonts w:ascii="Times New Roman" w:hAnsi="Times New Roman" w:cs="Times New Roman"/>
          <w:sz w:val="28"/>
          <w:szCs w:val="28"/>
        </w:rPr>
        <w:t xml:space="preserve">Tom Norman </w:t>
      </w:r>
      <w:proofErr w:type="spellStart"/>
      <w:r w:rsidRPr="00781768">
        <w:rPr>
          <w:rFonts w:ascii="Times New Roman" w:hAnsi="Times New Roman" w:cs="Times New Roman"/>
          <w:sz w:val="28"/>
          <w:szCs w:val="28"/>
        </w:rPr>
        <w:t>Cornsweet</w:t>
      </w:r>
      <w:proofErr w:type="spellEnd"/>
      <w:r w:rsidRPr="00781768">
        <w:rPr>
          <w:rFonts w:ascii="Times New Roman" w:hAnsi="Times New Roman" w:cs="Times New Roman"/>
          <w:sz w:val="28"/>
          <w:szCs w:val="28"/>
        </w:rPr>
        <w:t xml:space="preserve"> invented the adaptive staircase approach in 1962, which transformed the process of measuring sensory thresholds by making them faster and more precise. When we try to locate the exact moment when a light is little visible or a sound is hardly audible. Rather than exposing you to a long sequence of stimuli at constant intensities, this approach dynamically modifies the level in response to your responses. The process increases the intensity when you miss the stimulus but decreases significantly if you recognize it properly. Finding the precise moment where you can perceive the stimulus 50% of the time is made easier with the help of this back-and-forth adjustment. This method improves precision while also expediting the testing procedure, making</w:t>
      </w:r>
      <w:r>
        <w:rPr>
          <w:rFonts w:ascii="Times New Roman" w:hAnsi="Times New Roman" w:cs="Times New Roman"/>
          <w:sz w:val="28"/>
          <w:szCs w:val="28"/>
        </w:rPr>
        <w:t xml:space="preserve"> </w:t>
      </w:r>
      <w:r w:rsidRPr="00781768">
        <w:rPr>
          <w:rFonts w:ascii="Times New Roman" w:hAnsi="Times New Roman" w:cs="Times New Roman"/>
          <w:sz w:val="28"/>
          <w:szCs w:val="28"/>
        </w:rPr>
        <w:t xml:space="preserve">a </w:t>
      </w:r>
      <w:r>
        <w:rPr>
          <w:rFonts w:ascii="Times New Roman" w:hAnsi="Times New Roman" w:cs="Times New Roman"/>
          <w:sz w:val="28"/>
          <w:szCs w:val="28"/>
        </w:rPr>
        <w:t>grave</w:t>
      </w:r>
      <w:r w:rsidRPr="00781768">
        <w:rPr>
          <w:rFonts w:ascii="Times New Roman" w:hAnsi="Times New Roman" w:cs="Times New Roman"/>
          <w:sz w:val="28"/>
          <w:szCs w:val="28"/>
        </w:rPr>
        <w:t xml:space="preserve"> improvement over older and more cumbersome methods.</w:t>
      </w:r>
    </w:p>
    <w:p w14:paraId="6CD8F98E" w14:textId="77777777" w:rsidR="00781768" w:rsidRDefault="00781768" w:rsidP="00120204">
      <w:pPr>
        <w:spacing w:line="240" w:lineRule="auto"/>
        <w:rPr>
          <w:rFonts w:ascii="Times New Roman" w:hAnsi="Times New Roman" w:cs="Times New Roman"/>
          <w:sz w:val="28"/>
          <w:szCs w:val="28"/>
        </w:rPr>
      </w:pPr>
    </w:p>
    <w:p w14:paraId="777F43FA" w14:textId="77777777" w:rsidR="00781768" w:rsidRDefault="00781768" w:rsidP="00781768">
      <w:pPr>
        <w:rPr>
          <w:rFonts w:ascii="Times New Roman" w:hAnsi="Times New Roman" w:cs="Times New Roman"/>
          <w:sz w:val="28"/>
          <w:szCs w:val="28"/>
        </w:rPr>
      </w:pPr>
    </w:p>
    <w:p w14:paraId="3B4D91EF" w14:textId="77777777" w:rsidR="00781768" w:rsidRDefault="00781768" w:rsidP="00781768">
      <w:pPr>
        <w:rPr>
          <w:rFonts w:ascii="Times New Roman" w:hAnsi="Times New Roman" w:cs="Times New Roman"/>
          <w:sz w:val="28"/>
          <w:szCs w:val="28"/>
        </w:rPr>
      </w:pPr>
    </w:p>
    <w:p w14:paraId="37C78925" w14:textId="77777777" w:rsidR="00781768" w:rsidRDefault="00781768" w:rsidP="00781768">
      <w:pPr>
        <w:rPr>
          <w:rFonts w:ascii="Times New Roman" w:hAnsi="Times New Roman" w:cs="Times New Roman"/>
          <w:sz w:val="28"/>
          <w:szCs w:val="28"/>
        </w:rPr>
      </w:pPr>
    </w:p>
    <w:p w14:paraId="7FFB2DA9" w14:textId="77777777" w:rsidR="00781768" w:rsidRDefault="00781768" w:rsidP="00781768">
      <w:pPr>
        <w:rPr>
          <w:rFonts w:ascii="Times New Roman" w:hAnsi="Times New Roman" w:cs="Times New Roman"/>
          <w:sz w:val="28"/>
          <w:szCs w:val="28"/>
        </w:rPr>
      </w:pPr>
    </w:p>
    <w:p w14:paraId="254D584D" w14:textId="77777777" w:rsidR="00781768" w:rsidRDefault="00781768" w:rsidP="00781768">
      <w:pPr>
        <w:rPr>
          <w:rFonts w:ascii="Times New Roman" w:hAnsi="Times New Roman" w:cs="Times New Roman"/>
          <w:sz w:val="28"/>
          <w:szCs w:val="28"/>
        </w:rPr>
      </w:pPr>
    </w:p>
    <w:p w14:paraId="19025F10" w14:textId="77777777" w:rsidR="00781768" w:rsidRDefault="00781768" w:rsidP="00781768">
      <w:pPr>
        <w:rPr>
          <w:rFonts w:ascii="Times New Roman" w:hAnsi="Times New Roman" w:cs="Times New Roman"/>
          <w:sz w:val="28"/>
          <w:szCs w:val="28"/>
        </w:rPr>
      </w:pPr>
    </w:p>
    <w:p w14:paraId="727766F9" w14:textId="77777777" w:rsidR="00781768" w:rsidRDefault="00781768" w:rsidP="00781768">
      <w:pPr>
        <w:rPr>
          <w:rFonts w:ascii="Times New Roman" w:hAnsi="Times New Roman" w:cs="Times New Roman"/>
          <w:sz w:val="28"/>
          <w:szCs w:val="28"/>
        </w:rPr>
      </w:pPr>
    </w:p>
    <w:p w14:paraId="12ADFE7D" w14:textId="77777777" w:rsidR="00781768" w:rsidRDefault="00781768" w:rsidP="00781768">
      <w:pPr>
        <w:rPr>
          <w:rFonts w:ascii="Times New Roman" w:hAnsi="Times New Roman" w:cs="Times New Roman"/>
          <w:sz w:val="28"/>
          <w:szCs w:val="28"/>
        </w:rPr>
      </w:pPr>
    </w:p>
    <w:p w14:paraId="78A8D2E7" w14:textId="75296CEC" w:rsidR="00781768" w:rsidRPr="00781768" w:rsidRDefault="00781768" w:rsidP="00781768">
      <w:pPr>
        <w:rPr>
          <w:rFonts w:ascii="Times New Roman" w:hAnsi="Times New Roman" w:cs="Times New Roman"/>
          <w:b/>
          <w:bCs/>
          <w:sz w:val="36"/>
          <w:szCs w:val="36"/>
        </w:rPr>
      </w:pPr>
      <w:r w:rsidRPr="00781768">
        <w:rPr>
          <w:rFonts w:ascii="Times New Roman" w:hAnsi="Times New Roman" w:cs="Times New Roman"/>
          <w:b/>
          <w:bCs/>
          <w:sz w:val="36"/>
          <w:szCs w:val="36"/>
        </w:rPr>
        <w:lastRenderedPageBreak/>
        <w:t>Method</w:t>
      </w:r>
    </w:p>
    <w:p w14:paraId="070A7E74" w14:textId="463811E6" w:rsidR="003B0916" w:rsidRPr="00120204" w:rsidRDefault="003B0916" w:rsidP="00120204">
      <w:pPr>
        <w:widowControl w:val="0"/>
        <w:pBdr>
          <w:top w:val="nil"/>
          <w:left w:val="nil"/>
          <w:bottom w:val="nil"/>
          <w:right w:val="nil"/>
          <w:between w:val="nil"/>
        </w:pBdr>
        <w:spacing w:before="354" w:line="240" w:lineRule="auto"/>
        <w:ind w:left="12"/>
        <w:rPr>
          <w:rFonts w:ascii="Times New Roman" w:eastAsia="Times New Roman" w:hAnsi="Times New Roman" w:cs="Times New Roman"/>
          <w:b/>
          <w:color w:val="000000"/>
          <w:sz w:val="28"/>
          <w:szCs w:val="28"/>
        </w:rPr>
      </w:pPr>
      <w:r w:rsidRPr="00120204">
        <w:rPr>
          <w:rFonts w:ascii="Times New Roman" w:eastAsia="Times New Roman" w:hAnsi="Times New Roman" w:cs="Times New Roman"/>
          <w:bCs/>
          <w:iCs/>
          <w:color w:val="000000"/>
          <w:sz w:val="28"/>
          <w:szCs w:val="28"/>
        </w:rPr>
        <w:t xml:space="preserve">A 33-year-old working </w:t>
      </w:r>
      <w:r w:rsidRPr="00120204">
        <w:rPr>
          <w:rFonts w:ascii="Times New Roman" w:eastAsia="Times New Roman" w:hAnsi="Times New Roman" w:cs="Times New Roman"/>
          <w:bCs/>
          <w:iCs/>
          <w:color w:val="000000"/>
          <w:sz w:val="28"/>
          <w:szCs w:val="28"/>
        </w:rPr>
        <w:t>woman</w:t>
      </w:r>
      <w:r w:rsidRPr="00120204">
        <w:rPr>
          <w:rFonts w:ascii="Times New Roman" w:eastAsia="Times New Roman" w:hAnsi="Times New Roman" w:cs="Times New Roman"/>
          <w:bCs/>
          <w:iCs/>
          <w:color w:val="000000"/>
          <w:sz w:val="28"/>
          <w:szCs w:val="28"/>
        </w:rPr>
        <w:t xml:space="preserve"> who is a young entrepreneur participated in this experiment. The participant was informed about the study, </w:t>
      </w:r>
      <w:r w:rsidRPr="00120204">
        <w:rPr>
          <w:rFonts w:ascii="Times New Roman" w:eastAsia="Times New Roman" w:hAnsi="Times New Roman" w:cs="Times New Roman"/>
          <w:bCs/>
          <w:iCs/>
          <w:color w:val="000000"/>
          <w:sz w:val="28"/>
          <w:szCs w:val="28"/>
        </w:rPr>
        <w:t>obtained</w:t>
      </w:r>
      <w:r w:rsidRPr="00120204">
        <w:rPr>
          <w:rFonts w:ascii="Times New Roman" w:eastAsia="Times New Roman" w:hAnsi="Times New Roman" w:cs="Times New Roman"/>
          <w:bCs/>
          <w:iCs/>
          <w:color w:val="000000"/>
          <w:sz w:val="28"/>
          <w:szCs w:val="28"/>
        </w:rPr>
        <w:t xml:space="preserve"> consent for all the data that was to be gathered and collected</w:t>
      </w:r>
      <w:r w:rsidRPr="00120204">
        <w:rPr>
          <w:rFonts w:ascii="Times New Roman" w:eastAsia="Times New Roman" w:hAnsi="Times New Roman" w:cs="Times New Roman"/>
          <w:bCs/>
          <w:iCs/>
          <w:color w:val="000000"/>
          <w:sz w:val="28"/>
          <w:szCs w:val="28"/>
        </w:rPr>
        <w:t>,</w:t>
      </w:r>
      <w:r w:rsidRPr="00120204">
        <w:rPr>
          <w:rFonts w:ascii="Times New Roman" w:eastAsia="Times New Roman" w:hAnsi="Times New Roman" w:cs="Times New Roman"/>
          <w:bCs/>
          <w:iCs/>
          <w:color w:val="000000"/>
          <w:sz w:val="28"/>
          <w:szCs w:val="28"/>
        </w:rPr>
        <w:t xml:space="preserve"> and was informed before the experiment began. The </w:t>
      </w:r>
      <w:r w:rsidRPr="00120204">
        <w:rPr>
          <w:rFonts w:ascii="Times New Roman" w:eastAsia="Times New Roman" w:hAnsi="Times New Roman" w:cs="Times New Roman"/>
          <w:bCs/>
          <w:iCs/>
          <w:color w:val="000000"/>
          <w:sz w:val="28"/>
          <w:szCs w:val="28"/>
        </w:rPr>
        <w:t>experiment</w:t>
      </w:r>
      <w:r w:rsidRPr="00120204">
        <w:rPr>
          <w:rFonts w:ascii="Times New Roman" w:eastAsia="Times New Roman" w:hAnsi="Times New Roman" w:cs="Times New Roman"/>
          <w:bCs/>
          <w:iCs/>
          <w:color w:val="000000"/>
          <w:sz w:val="28"/>
          <w:szCs w:val="28"/>
        </w:rPr>
        <w:t xml:space="preserve"> was setup along with a laptop in which we used the </w:t>
      </w:r>
      <w:proofErr w:type="spellStart"/>
      <w:r w:rsidRPr="00120204">
        <w:rPr>
          <w:rFonts w:ascii="Times New Roman" w:eastAsia="Times New Roman" w:hAnsi="Times New Roman" w:cs="Times New Roman"/>
          <w:bCs/>
          <w:iCs/>
          <w:color w:val="000000"/>
          <w:sz w:val="28"/>
          <w:szCs w:val="28"/>
        </w:rPr>
        <w:t>PsychoPy</w:t>
      </w:r>
      <w:proofErr w:type="spellEnd"/>
      <w:r w:rsidRPr="00120204">
        <w:rPr>
          <w:rFonts w:ascii="Times New Roman" w:eastAsia="Times New Roman" w:hAnsi="Times New Roman" w:cs="Times New Roman"/>
          <w:bCs/>
          <w:iCs/>
          <w:color w:val="000000"/>
          <w:sz w:val="28"/>
          <w:szCs w:val="28"/>
        </w:rPr>
        <w:t xml:space="preserve"> v2024.1.5 (Peirce et al., 2019) tool for collecting data and </w:t>
      </w:r>
      <w:proofErr w:type="spellStart"/>
      <w:r w:rsidRPr="00120204">
        <w:rPr>
          <w:rFonts w:ascii="Times New Roman" w:eastAsia="Times New Roman" w:hAnsi="Times New Roman" w:cs="Times New Roman"/>
          <w:bCs/>
          <w:iCs/>
          <w:color w:val="000000"/>
          <w:sz w:val="28"/>
          <w:szCs w:val="28"/>
        </w:rPr>
        <w:t>analyzing</w:t>
      </w:r>
      <w:proofErr w:type="spellEnd"/>
      <w:r w:rsidRPr="00120204">
        <w:rPr>
          <w:rFonts w:ascii="Times New Roman" w:eastAsia="Times New Roman" w:hAnsi="Times New Roman" w:cs="Times New Roman"/>
          <w:bCs/>
          <w:iCs/>
          <w:color w:val="000000"/>
          <w:sz w:val="28"/>
          <w:szCs w:val="28"/>
        </w:rPr>
        <w:t xml:space="preserve"> the experiment using Python. I </w:t>
      </w:r>
      <w:r w:rsidR="003E309B" w:rsidRPr="00120204">
        <w:rPr>
          <w:rFonts w:ascii="Times New Roman" w:eastAsia="Times New Roman" w:hAnsi="Times New Roman" w:cs="Times New Roman"/>
          <w:bCs/>
          <w:iCs/>
          <w:color w:val="000000"/>
          <w:sz w:val="28"/>
          <w:szCs w:val="28"/>
        </w:rPr>
        <w:t>experimented with</w:t>
      </w:r>
      <w:r w:rsidRPr="00120204">
        <w:rPr>
          <w:rFonts w:ascii="Times New Roman" w:eastAsia="Times New Roman" w:hAnsi="Times New Roman" w:cs="Times New Roman"/>
          <w:bCs/>
          <w:iCs/>
          <w:color w:val="000000"/>
          <w:sz w:val="28"/>
          <w:szCs w:val="28"/>
        </w:rPr>
        <w:t xml:space="preserve"> a 15.5” screen monitor with 1000 x 600 pixels. </w:t>
      </w:r>
      <w:r w:rsidRPr="00120204">
        <w:rPr>
          <w:rFonts w:ascii="Times New Roman" w:eastAsia="Times New Roman" w:hAnsi="Times New Roman" w:cs="Times New Roman"/>
          <w:bCs/>
          <w:iCs/>
          <w:color w:val="000000"/>
          <w:sz w:val="28"/>
          <w:szCs w:val="28"/>
        </w:rPr>
        <w:t>through</w:t>
      </w:r>
      <w:r w:rsidRPr="00120204">
        <w:rPr>
          <w:rFonts w:ascii="Times New Roman" w:eastAsia="Times New Roman" w:hAnsi="Times New Roman" w:cs="Times New Roman"/>
          <w:bCs/>
          <w:iCs/>
          <w:color w:val="000000"/>
          <w:sz w:val="28"/>
          <w:szCs w:val="28"/>
        </w:rPr>
        <w:t xml:space="preserve"> the window from which the experiment was conducted.</w:t>
      </w:r>
    </w:p>
    <w:p w14:paraId="38A1DD57" w14:textId="4E47AE3E" w:rsidR="003B0916" w:rsidRPr="00120204" w:rsidRDefault="003B0916" w:rsidP="00120204">
      <w:pPr>
        <w:widowControl w:val="0"/>
        <w:pBdr>
          <w:top w:val="nil"/>
          <w:left w:val="nil"/>
          <w:bottom w:val="nil"/>
          <w:right w:val="nil"/>
          <w:between w:val="nil"/>
        </w:pBdr>
        <w:spacing w:before="330" w:line="240" w:lineRule="auto"/>
        <w:rPr>
          <w:rFonts w:ascii="Times New Roman" w:eastAsia="Times New Roman" w:hAnsi="Times New Roman" w:cs="Times New Roman"/>
          <w:bCs/>
          <w:iCs/>
          <w:color w:val="000000"/>
          <w:sz w:val="28"/>
          <w:szCs w:val="28"/>
        </w:rPr>
      </w:pPr>
      <w:r w:rsidRPr="00120204">
        <w:rPr>
          <w:rFonts w:ascii="Times New Roman" w:eastAsia="Times New Roman" w:hAnsi="Times New Roman" w:cs="Times New Roman"/>
          <w:bCs/>
          <w:iCs/>
          <w:color w:val="000000"/>
          <w:sz w:val="28"/>
          <w:szCs w:val="28"/>
        </w:rPr>
        <w:t xml:space="preserve">The experiment was about orientation discrimination, where, after the fixation point, a sinusoidal pattern with a Gaussian mask and varying tilt intensities (Figure 1) was presented on the screen for 300ms with a spatial frequency of 8 and </w:t>
      </w:r>
      <w:r w:rsidR="003E309B" w:rsidRPr="00120204">
        <w:rPr>
          <w:rFonts w:ascii="Times New Roman" w:eastAsia="Times New Roman" w:hAnsi="Times New Roman" w:cs="Times New Roman"/>
          <w:bCs/>
          <w:iCs/>
          <w:color w:val="000000"/>
          <w:sz w:val="28"/>
          <w:szCs w:val="28"/>
        </w:rPr>
        <w:t xml:space="preserve">a </w:t>
      </w:r>
      <w:r w:rsidRPr="00120204">
        <w:rPr>
          <w:rFonts w:ascii="Times New Roman" w:eastAsia="Times New Roman" w:hAnsi="Times New Roman" w:cs="Times New Roman"/>
          <w:bCs/>
          <w:iCs/>
          <w:color w:val="000000"/>
          <w:sz w:val="28"/>
          <w:szCs w:val="28"/>
        </w:rPr>
        <w:t>contrast of 0.3. Now, I asked the participant to tell me whether the figure was tilted to the left or the right using the key symbols “left” and “right” (arrows). The final orientation was set at 10 degrees which was predisposed at random, titled left or right, with a minimum orientation of 1% and 20% maximum.</w:t>
      </w:r>
    </w:p>
    <w:p w14:paraId="1B30E4CF" w14:textId="34B52B19" w:rsidR="00781768" w:rsidRPr="00120204" w:rsidRDefault="003B0916" w:rsidP="00120204">
      <w:pPr>
        <w:spacing w:line="240" w:lineRule="auto"/>
        <w:rPr>
          <w:rFonts w:ascii="Times New Roman" w:hAnsi="Times New Roman" w:cs="Times New Roman"/>
          <w:sz w:val="28"/>
          <w:szCs w:val="28"/>
        </w:rPr>
      </w:pPr>
      <w:r w:rsidRPr="00120204">
        <w:rPr>
          <w:rFonts w:ascii="Times New Roman" w:eastAsia="Times New Roman" w:hAnsi="Times New Roman" w:cs="Times New Roman"/>
          <w:bCs/>
          <w:iCs/>
          <w:color w:val="000000"/>
          <w:sz w:val="28"/>
          <w:szCs w:val="28"/>
        </w:rPr>
        <w:t xml:space="preserve">In Figure 2 of this experiment, I did the one-up, three-down staircase procedure which is shown in Figure 2, with step sizes of 2, 1.5, 1, and 0.5, with linear step types. With every trial I concluded by realising that once the participant made multiple or one key response, the data was exported as a CSV file and later extracted into Microsoft Excel to </w:t>
      </w:r>
      <w:proofErr w:type="spellStart"/>
      <w:r w:rsidRPr="00120204">
        <w:rPr>
          <w:rFonts w:ascii="Times New Roman" w:eastAsia="Times New Roman" w:hAnsi="Times New Roman" w:cs="Times New Roman"/>
          <w:bCs/>
          <w:iCs/>
          <w:color w:val="000000"/>
          <w:sz w:val="28"/>
          <w:szCs w:val="28"/>
        </w:rPr>
        <w:t>analyze</w:t>
      </w:r>
      <w:proofErr w:type="spellEnd"/>
      <w:r w:rsidRPr="00120204">
        <w:rPr>
          <w:rFonts w:ascii="Times New Roman" w:eastAsia="Times New Roman" w:hAnsi="Times New Roman" w:cs="Times New Roman"/>
          <w:bCs/>
          <w:iCs/>
          <w:color w:val="000000"/>
          <w:sz w:val="28"/>
          <w:szCs w:val="28"/>
        </w:rPr>
        <w:t xml:space="preserve"> the participant’s absolute threshold, response accuracy, and tilt intensity degree per trial.</w:t>
      </w:r>
    </w:p>
    <w:p w14:paraId="7CCED8DE" w14:textId="77777777" w:rsidR="005B61FE" w:rsidRPr="005B61FE" w:rsidRDefault="005B61FE" w:rsidP="005B61FE">
      <w:pPr>
        <w:rPr>
          <w:rFonts w:ascii="Times New Roman" w:hAnsi="Times New Roman" w:cs="Times New Roman"/>
          <w:sz w:val="36"/>
          <w:szCs w:val="36"/>
        </w:rPr>
      </w:pPr>
    </w:p>
    <w:p w14:paraId="1EC8DB2C" w14:textId="28EDA0AB" w:rsidR="005B61FE" w:rsidRDefault="00172A57" w:rsidP="00172A57">
      <w:pPr>
        <w:jc w:val="center"/>
        <w:rPr>
          <w:rFonts w:ascii="Times New Roman" w:hAnsi="Times New Roman" w:cs="Times New Roman"/>
          <w:sz w:val="36"/>
          <w:szCs w:val="36"/>
        </w:rPr>
      </w:pPr>
      <w:r>
        <w:rPr>
          <w:rFonts w:ascii="Times New Roman" w:eastAsia="Times New Roman" w:hAnsi="Times New Roman" w:cs="Times New Roman"/>
          <w:bCs/>
          <w:iCs/>
          <w:noProof/>
          <w:color w:val="000000"/>
          <w:sz w:val="24"/>
          <w:szCs w:val="24"/>
        </w:rPr>
        <w:drawing>
          <wp:inline distT="0" distB="0" distL="0" distR="0" wp14:anchorId="7D7EA76D" wp14:editId="7EEA0764">
            <wp:extent cx="1720850" cy="1720850"/>
            <wp:effectExtent l="0" t="0" r="6350" b="6350"/>
            <wp:docPr id="141918375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9183756" name="Picture 1419183756"/>
                    <pic:cNvPicPr/>
                  </pic:nvPicPr>
                  <pic:blipFill rotWithShape="1">
                    <a:blip r:embed="rId4" cstate="print">
                      <a:extLst>
                        <a:ext uri="{28A0092B-C50C-407E-A947-70E740481C1C}">
                          <a14:useLocalDpi xmlns:a14="http://schemas.microsoft.com/office/drawing/2010/main" val="0"/>
                        </a:ext>
                      </a:extLst>
                    </a:blip>
                    <a:srcRect l="5440" t="13804" r="11972" b="11841"/>
                    <a:stretch/>
                  </pic:blipFill>
                  <pic:spPr bwMode="auto">
                    <a:xfrm>
                      <a:off x="0" y="0"/>
                      <a:ext cx="1730131" cy="1730131"/>
                    </a:xfrm>
                    <a:prstGeom prst="rect">
                      <a:avLst/>
                    </a:prstGeom>
                    <a:ln>
                      <a:noFill/>
                    </a:ln>
                    <a:extLst>
                      <a:ext uri="{53640926-AAD7-44D8-BBD7-CCE9431645EC}">
                        <a14:shadowObscured xmlns:a14="http://schemas.microsoft.com/office/drawing/2010/main"/>
                      </a:ext>
                    </a:extLst>
                  </pic:spPr>
                </pic:pic>
              </a:graphicData>
            </a:graphic>
          </wp:inline>
        </w:drawing>
      </w:r>
    </w:p>
    <w:p w14:paraId="7BA91DDB" w14:textId="126ECD91" w:rsidR="005B61FE" w:rsidRDefault="005B61FE" w:rsidP="005B61FE">
      <w:pPr>
        <w:tabs>
          <w:tab w:val="left" w:pos="5448"/>
        </w:tabs>
        <w:rPr>
          <w:rFonts w:ascii="Times New Roman" w:eastAsia="Times New Roman" w:hAnsi="Times New Roman" w:cs="Times New Roman"/>
          <w:bCs/>
          <w:i/>
          <w:color w:val="404040" w:themeColor="text1" w:themeTint="BF"/>
          <w:sz w:val="24"/>
          <w:szCs w:val="24"/>
        </w:rPr>
      </w:pPr>
      <w:r w:rsidRPr="005B61FE">
        <w:rPr>
          <w:rFonts w:ascii="Times New Roman" w:eastAsia="Times New Roman" w:hAnsi="Times New Roman" w:cs="Times New Roman"/>
          <w:bCs/>
          <w:i/>
          <w:color w:val="404040" w:themeColor="text1" w:themeTint="BF"/>
          <w:sz w:val="24"/>
          <w:szCs w:val="24"/>
        </w:rPr>
        <w:t>Figure 1: Image of stimulus - a Sinusoid over a Gaussian mask tilted slightly towards the left</w:t>
      </w:r>
    </w:p>
    <w:p w14:paraId="4FE9AAAE" w14:textId="77777777" w:rsidR="005B61FE" w:rsidRDefault="005B61FE" w:rsidP="005B61FE">
      <w:pPr>
        <w:tabs>
          <w:tab w:val="left" w:pos="5448"/>
        </w:tabs>
        <w:rPr>
          <w:rFonts w:ascii="Times New Roman" w:eastAsia="Times New Roman" w:hAnsi="Times New Roman" w:cs="Times New Roman"/>
          <w:bCs/>
          <w:i/>
          <w:color w:val="404040" w:themeColor="text1" w:themeTint="BF"/>
          <w:sz w:val="24"/>
          <w:szCs w:val="24"/>
        </w:rPr>
      </w:pPr>
    </w:p>
    <w:p w14:paraId="7DAB092E" w14:textId="4F3A578C" w:rsidR="005B61FE" w:rsidRDefault="005B61FE" w:rsidP="005B61FE">
      <w:pPr>
        <w:tabs>
          <w:tab w:val="left" w:pos="5448"/>
        </w:tabs>
        <w:rPr>
          <w:rFonts w:ascii="Times New Roman" w:hAnsi="Times New Roman" w:cs="Times New Roman"/>
          <w:i/>
          <w:sz w:val="24"/>
          <w:szCs w:val="24"/>
        </w:rPr>
      </w:pPr>
      <w:r>
        <w:rPr>
          <w:noProof/>
        </w:rPr>
        <w:lastRenderedPageBreak/>
        <w:drawing>
          <wp:inline distT="0" distB="0" distL="0" distR="0" wp14:anchorId="0C3D6A15" wp14:editId="38F464B7">
            <wp:extent cx="5428284" cy="2729552"/>
            <wp:effectExtent l="0" t="0" r="1270" b="13970"/>
            <wp:docPr id="1361562999" name="Chart 1">
              <a:extLst xmlns:a="http://schemas.openxmlformats.org/drawingml/2006/main">
                <a:ext uri="{FF2B5EF4-FFF2-40B4-BE49-F238E27FC236}">
                  <a16:creationId xmlns:a16="http://schemas.microsoft.com/office/drawing/2014/main" id="{54072A7B-7F88-C338-4348-1339DBB4D62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542F28F" w14:textId="441EC0B5" w:rsidR="005B61FE" w:rsidRDefault="005B61FE" w:rsidP="005B61FE">
      <w:pPr>
        <w:tabs>
          <w:tab w:val="left" w:pos="5448"/>
        </w:tabs>
        <w:rPr>
          <w:rFonts w:ascii="Times New Roman" w:eastAsia="Times New Roman" w:hAnsi="Times New Roman" w:cs="Times New Roman"/>
          <w:bCs/>
          <w:i/>
          <w:color w:val="404040" w:themeColor="text1" w:themeTint="BF"/>
          <w:sz w:val="24"/>
          <w:szCs w:val="24"/>
        </w:rPr>
      </w:pPr>
      <w:r w:rsidRPr="005B61FE">
        <w:rPr>
          <w:rFonts w:ascii="Times New Roman" w:eastAsia="Times New Roman" w:hAnsi="Times New Roman" w:cs="Times New Roman"/>
          <w:bCs/>
          <w:i/>
          <w:color w:val="404040" w:themeColor="text1" w:themeTint="BF"/>
          <w:sz w:val="24"/>
          <w:szCs w:val="24"/>
        </w:rPr>
        <w:t>Figure 2: Line graph representing the one-up and three-down procedure in the tilt in the stimuli over the duration of the experiment (i.e. number of trials/100</w:t>
      </w:r>
      <w:r w:rsidRPr="005B61FE">
        <w:rPr>
          <w:rFonts w:ascii="Times New Roman" w:eastAsia="Times New Roman" w:hAnsi="Times New Roman" w:cs="Times New Roman"/>
          <w:bCs/>
          <w:i/>
          <w:color w:val="404040" w:themeColor="text1" w:themeTint="BF"/>
          <w:sz w:val="24"/>
          <w:szCs w:val="24"/>
        </w:rPr>
        <w:t>)</w:t>
      </w:r>
    </w:p>
    <w:p w14:paraId="49B3E99F" w14:textId="15DA2A28" w:rsidR="005B61FE" w:rsidRPr="00F43FC2" w:rsidRDefault="00F43FC2" w:rsidP="00F43FC2">
      <w:pPr>
        <w:widowControl w:val="0"/>
        <w:pBdr>
          <w:top w:val="nil"/>
          <w:left w:val="nil"/>
          <w:bottom w:val="nil"/>
          <w:right w:val="nil"/>
          <w:between w:val="nil"/>
        </w:pBdr>
        <w:spacing w:before="330" w:line="360" w:lineRule="auto"/>
        <w:ind w:left="12"/>
        <w:rPr>
          <w:rFonts w:ascii="Times New Roman" w:eastAsia="Times New Roman" w:hAnsi="Times New Roman" w:cs="Times New Roman"/>
          <w:b/>
          <w:color w:val="000000"/>
          <w:sz w:val="36"/>
          <w:szCs w:val="36"/>
        </w:rPr>
      </w:pPr>
      <w:r w:rsidRPr="00F43FC2">
        <w:rPr>
          <w:rFonts w:ascii="Times New Roman" w:eastAsia="Times New Roman" w:hAnsi="Times New Roman" w:cs="Times New Roman"/>
          <w:b/>
          <w:color w:val="000000"/>
          <w:sz w:val="36"/>
          <w:szCs w:val="36"/>
        </w:rPr>
        <w:t xml:space="preserve">Results </w:t>
      </w:r>
    </w:p>
    <w:p w14:paraId="05C1C3B6" w14:textId="28582209" w:rsidR="005B61FE" w:rsidRDefault="005B61FE" w:rsidP="005B61FE">
      <w:pPr>
        <w:tabs>
          <w:tab w:val="left" w:pos="5448"/>
        </w:tabs>
        <w:rPr>
          <w:rFonts w:ascii="Times New Roman" w:hAnsi="Times New Roman" w:cs="Times New Roman"/>
          <w:i/>
          <w:sz w:val="24"/>
          <w:szCs w:val="24"/>
        </w:rPr>
      </w:pPr>
      <w:r>
        <w:rPr>
          <w:noProof/>
        </w:rPr>
        <w:drawing>
          <wp:inline distT="0" distB="0" distL="0" distR="0" wp14:anchorId="581E8085" wp14:editId="12C89C32">
            <wp:extent cx="5413044" cy="2729552"/>
            <wp:effectExtent l="0" t="0" r="16510" b="13970"/>
            <wp:docPr id="1716734659" name="Chart 1">
              <a:extLst xmlns:a="http://schemas.openxmlformats.org/drawingml/2006/main">
                <a:ext uri="{FF2B5EF4-FFF2-40B4-BE49-F238E27FC236}">
                  <a16:creationId xmlns:a16="http://schemas.microsoft.com/office/drawing/2014/main" id="{686D1757-66E2-0FFB-5367-18D87481D3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5CD31D9" w14:textId="2D050CEA" w:rsidR="005B61FE" w:rsidRPr="00C14091" w:rsidRDefault="005B61FE" w:rsidP="00C14091">
      <w:pPr>
        <w:widowControl w:val="0"/>
        <w:pBdr>
          <w:top w:val="nil"/>
          <w:left w:val="nil"/>
          <w:bottom w:val="nil"/>
          <w:right w:val="nil"/>
          <w:between w:val="nil"/>
        </w:pBdr>
        <w:spacing w:before="330" w:line="360" w:lineRule="auto"/>
        <w:ind w:left="12"/>
        <w:rPr>
          <w:rFonts w:ascii="Times New Roman" w:eastAsia="Times New Roman" w:hAnsi="Times New Roman" w:cs="Times New Roman"/>
          <w:bCs/>
          <w:i/>
          <w:iCs/>
          <w:color w:val="404040" w:themeColor="text1" w:themeTint="BF"/>
          <w:sz w:val="24"/>
          <w:szCs w:val="24"/>
        </w:rPr>
      </w:pPr>
      <w:r w:rsidRPr="005B61FE">
        <w:rPr>
          <w:rFonts w:ascii="Times New Roman" w:eastAsia="Times New Roman" w:hAnsi="Times New Roman" w:cs="Times New Roman"/>
          <w:bCs/>
          <w:i/>
          <w:iCs/>
          <w:color w:val="404040" w:themeColor="text1" w:themeTint="BF"/>
          <w:sz w:val="24"/>
          <w:szCs w:val="24"/>
        </w:rPr>
        <w:t xml:space="preserve">Figure 3. A graph representing </w:t>
      </w:r>
      <w:r>
        <w:rPr>
          <w:rFonts w:ascii="Times New Roman" w:eastAsia="Times New Roman" w:hAnsi="Times New Roman" w:cs="Times New Roman"/>
          <w:bCs/>
          <w:i/>
          <w:iCs/>
          <w:color w:val="404040" w:themeColor="text1" w:themeTint="BF"/>
          <w:sz w:val="24"/>
          <w:szCs w:val="24"/>
        </w:rPr>
        <w:t>my</w:t>
      </w:r>
      <w:r w:rsidRPr="005B61FE">
        <w:rPr>
          <w:rFonts w:ascii="Times New Roman" w:eastAsia="Times New Roman" w:hAnsi="Times New Roman" w:cs="Times New Roman"/>
          <w:bCs/>
          <w:i/>
          <w:iCs/>
          <w:color w:val="404040" w:themeColor="text1" w:themeTint="BF"/>
          <w:sz w:val="24"/>
          <w:szCs w:val="24"/>
        </w:rPr>
        <w:t xml:space="preserve"> participant's responses to the stimuli over 100 trials on </w:t>
      </w:r>
      <w:r>
        <w:rPr>
          <w:rFonts w:ascii="Times New Roman" w:eastAsia="Times New Roman" w:hAnsi="Times New Roman" w:cs="Times New Roman"/>
          <w:bCs/>
          <w:i/>
          <w:iCs/>
          <w:color w:val="404040" w:themeColor="text1" w:themeTint="BF"/>
          <w:sz w:val="24"/>
          <w:szCs w:val="24"/>
        </w:rPr>
        <w:t xml:space="preserve">the </w:t>
      </w:r>
      <w:r w:rsidRPr="005B61FE">
        <w:rPr>
          <w:rFonts w:ascii="Times New Roman" w:eastAsia="Times New Roman" w:hAnsi="Times New Roman" w:cs="Times New Roman"/>
          <w:bCs/>
          <w:i/>
          <w:iCs/>
          <w:color w:val="404040" w:themeColor="text1" w:themeTint="BF"/>
          <w:sz w:val="24"/>
          <w:szCs w:val="24"/>
        </w:rPr>
        <w:t xml:space="preserve">scale, where 0 indicates an incorrect response and 1 indicates a correct response. The accuracy in discriminating the tilt of the stimuli was </w:t>
      </w:r>
      <w:r>
        <w:rPr>
          <w:rFonts w:ascii="Times New Roman" w:eastAsia="Times New Roman" w:hAnsi="Times New Roman" w:cs="Times New Roman"/>
          <w:bCs/>
          <w:i/>
          <w:iCs/>
          <w:color w:val="404040" w:themeColor="text1" w:themeTint="BF"/>
          <w:sz w:val="24"/>
          <w:szCs w:val="24"/>
        </w:rPr>
        <w:t>47</w:t>
      </w:r>
      <w:r w:rsidRPr="005B61FE">
        <w:rPr>
          <w:rFonts w:ascii="Times New Roman" w:eastAsia="Times New Roman" w:hAnsi="Times New Roman" w:cs="Times New Roman"/>
          <w:bCs/>
          <w:i/>
          <w:iCs/>
          <w:color w:val="404040" w:themeColor="text1" w:themeTint="BF"/>
          <w:sz w:val="24"/>
          <w:szCs w:val="24"/>
        </w:rPr>
        <w:t>%</w:t>
      </w:r>
      <w:r w:rsidR="00340D64">
        <w:rPr>
          <w:rFonts w:ascii="Times New Roman" w:eastAsia="Times New Roman" w:hAnsi="Times New Roman" w:cs="Times New Roman"/>
          <w:bCs/>
          <w:i/>
          <w:iCs/>
          <w:color w:val="404040" w:themeColor="text1" w:themeTint="BF"/>
          <w:sz w:val="24"/>
          <w:szCs w:val="24"/>
        </w:rPr>
        <w:t>.</w:t>
      </w:r>
    </w:p>
    <w:p w14:paraId="4E87EDE7" w14:textId="2B47834F" w:rsidR="005B61FE" w:rsidRPr="00985D8E" w:rsidRDefault="00F43FC2" w:rsidP="00985D8E">
      <w:pPr>
        <w:tabs>
          <w:tab w:val="left" w:pos="5448"/>
        </w:tabs>
        <w:spacing w:line="240" w:lineRule="auto"/>
        <w:rPr>
          <w:rFonts w:ascii="Times New Roman" w:hAnsi="Times New Roman" w:cs="Times New Roman"/>
          <w:i/>
          <w:iCs/>
          <w:sz w:val="28"/>
          <w:szCs w:val="28"/>
        </w:rPr>
      </w:pPr>
      <w:r w:rsidRPr="00985D8E">
        <w:rPr>
          <w:rFonts w:ascii="Times New Roman" w:eastAsia="Times New Roman" w:hAnsi="Times New Roman" w:cs="Times New Roman"/>
          <w:bCs/>
          <w:color w:val="000000"/>
          <w:sz w:val="28"/>
          <w:szCs w:val="28"/>
        </w:rPr>
        <w:t>As a result, t</w:t>
      </w:r>
      <w:r w:rsidRPr="00985D8E">
        <w:rPr>
          <w:rFonts w:ascii="Times New Roman" w:eastAsia="Times New Roman" w:hAnsi="Times New Roman" w:cs="Times New Roman"/>
          <w:bCs/>
          <w:color w:val="000000"/>
          <w:sz w:val="28"/>
          <w:szCs w:val="28"/>
        </w:rPr>
        <w:t xml:space="preserve">he participant responded with </w:t>
      </w:r>
      <w:r w:rsidRPr="00985D8E">
        <w:rPr>
          <w:rFonts w:ascii="Times New Roman" w:eastAsia="Times New Roman" w:hAnsi="Times New Roman" w:cs="Times New Roman"/>
          <w:bCs/>
          <w:color w:val="000000"/>
          <w:sz w:val="28"/>
          <w:szCs w:val="28"/>
        </w:rPr>
        <w:t>47</w:t>
      </w:r>
      <w:r w:rsidRPr="00985D8E">
        <w:rPr>
          <w:rFonts w:ascii="Times New Roman" w:eastAsia="Times New Roman" w:hAnsi="Times New Roman" w:cs="Times New Roman"/>
          <w:bCs/>
          <w:color w:val="000000"/>
          <w:sz w:val="28"/>
          <w:szCs w:val="28"/>
        </w:rPr>
        <w:t xml:space="preserve">% accuracy in 100 trials </w:t>
      </w:r>
      <w:r w:rsidRPr="00985D8E">
        <w:rPr>
          <w:rFonts w:ascii="Times New Roman" w:eastAsia="Times New Roman" w:hAnsi="Times New Roman" w:cs="Times New Roman"/>
          <w:bCs/>
          <w:color w:val="000000"/>
          <w:sz w:val="28"/>
          <w:szCs w:val="28"/>
        </w:rPr>
        <w:t xml:space="preserve">of the experiment </w:t>
      </w:r>
      <w:r w:rsidRPr="00985D8E">
        <w:rPr>
          <w:rFonts w:ascii="Times New Roman" w:eastAsia="Times New Roman" w:hAnsi="Times New Roman" w:cs="Times New Roman"/>
          <w:bCs/>
          <w:color w:val="000000"/>
          <w:sz w:val="28"/>
          <w:szCs w:val="28"/>
        </w:rPr>
        <w:t>(Figure 3.).</w:t>
      </w:r>
    </w:p>
    <w:p w14:paraId="2E28F3F0" w14:textId="59F1F137" w:rsidR="005B61FE" w:rsidRPr="00985D8E" w:rsidRDefault="008E6443" w:rsidP="00985D8E">
      <w:pPr>
        <w:spacing w:after="0" w:line="240" w:lineRule="auto"/>
        <w:rPr>
          <w:rFonts w:ascii="Times New Roman" w:eastAsia="Times New Roman" w:hAnsi="Times New Roman" w:cs="Times New Roman"/>
          <w:kern w:val="0"/>
          <w:sz w:val="28"/>
          <w:szCs w:val="28"/>
          <w:lang w:eastAsia="en-IN"/>
          <w14:ligatures w14:val="none"/>
        </w:rPr>
      </w:pPr>
      <w:r w:rsidRPr="008E6443">
        <w:rPr>
          <w:rFonts w:ascii="Times New Roman" w:eastAsia="Times New Roman" w:hAnsi="Times New Roman" w:cs="Times New Roman"/>
          <w:kern w:val="0"/>
          <w:sz w:val="28"/>
          <w:szCs w:val="28"/>
          <w:lang w:eastAsia="en-IN"/>
          <w14:ligatures w14:val="none"/>
        </w:rPr>
        <w:t xml:space="preserve">Reversals are described as instances in which participants' answers change from being right to being wrong. We estimated the average orientation of the </w:t>
      </w:r>
      <w:r w:rsidRPr="008E6443">
        <w:rPr>
          <w:rFonts w:ascii="Times New Roman" w:eastAsia="Times New Roman" w:hAnsi="Times New Roman" w:cs="Times New Roman"/>
          <w:kern w:val="0"/>
          <w:sz w:val="28"/>
          <w:szCs w:val="28"/>
          <w:lang w:eastAsia="en-IN"/>
          <w14:ligatures w14:val="none"/>
        </w:rPr>
        <w:lastRenderedPageBreak/>
        <w:t xml:space="preserve">previous five reversals in order to get the difference threshold. On trials </w:t>
      </w:r>
      <w:r w:rsidR="00D17CA6" w:rsidRPr="00D17CA6">
        <w:rPr>
          <w:rFonts w:ascii="Times New Roman" w:eastAsia="Times New Roman" w:hAnsi="Times New Roman" w:cs="Times New Roman"/>
          <w:kern w:val="0"/>
          <w:sz w:val="28"/>
          <w:szCs w:val="28"/>
          <w:lang w:eastAsia="en-IN"/>
          <w14:ligatures w14:val="none"/>
        </w:rPr>
        <w:t>20,19.5,18,17.5</w:t>
      </w:r>
      <w:r w:rsidR="00D17CA6">
        <w:rPr>
          <w:rFonts w:ascii="Times New Roman" w:eastAsia="Times New Roman" w:hAnsi="Times New Roman" w:cs="Times New Roman"/>
          <w:kern w:val="0"/>
          <w:sz w:val="28"/>
          <w:szCs w:val="28"/>
          <w:lang w:eastAsia="en-IN"/>
          <w14:ligatures w14:val="none"/>
        </w:rPr>
        <w:t xml:space="preserve"> and</w:t>
      </w:r>
      <w:r w:rsidR="00D17CA6" w:rsidRPr="00D17CA6">
        <w:rPr>
          <w:rFonts w:ascii="Times New Roman" w:eastAsia="Times New Roman" w:hAnsi="Times New Roman" w:cs="Times New Roman"/>
          <w:kern w:val="0"/>
          <w:sz w:val="28"/>
          <w:szCs w:val="28"/>
          <w:lang w:eastAsia="en-IN"/>
          <w14:ligatures w14:val="none"/>
        </w:rPr>
        <w:t>19</w:t>
      </w:r>
      <w:r w:rsidRPr="008E6443">
        <w:rPr>
          <w:rFonts w:ascii="Times New Roman" w:eastAsia="Times New Roman" w:hAnsi="Times New Roman" w:cs="Times New Roman"/>
          <w:kern w:val="0"/>
          <w:sz w:val="28"/>
          <w:szCs w:val="28"/>
          <w:lang w:eastAsia="en-IN"/>
          <w14:ligatures w14:val="none"/>
        </w:rPr>
        <w:t>, for example, these reversals occurred, and the average orientation was found to be 18.8. Therefore, 18.8 was the difference threshold that I measured.</w:t>
      </w:r>
    </w:p>
    <w:p w14:paraId="7CC30B3C" w14:textId="05185502" w:rsidR="005B61FE" w:rsidRDefault="005B61FE" w:rsidP="005B61FE">
      <w:pPr>
        <w:tabs>
          <w:tab w:val="left" w:pos="5448"/>
        </w:tabs>
        <w:rPr>
          <w:rFonts w:ascii="Times New Roman" w:hAnsi="Times New Roman" w:cs="Times New Roman"/>
          <w:i/>
          <w:sz w:val="24"/>
          <w:szCs w:val="24"/>
        </w:rPr>
      </w:pPr>
      <w:r>
        <w:rPr>
          <w:noProof/>
        </w:rPr>
        <w:drawing>
          <wp:inline distT="0" distB="0" distL="0" distR="0" wp14:anchorId="1181DB49" wp14:editId="351CEA3B">
            <wp:extent cx="5397804" cy="2770552"/>
            <wp:effectExtent l="0" t="0" r="12700" b="10795"/>
            <wp:docPr id="1835265933" name="Chart 1">
              <a:extLst xmlns:a="http://schemas.openxmlformats.org/drawingml/2006/main">
                <a:ext uri="{FF2B5EF4-FFF2-40B4-BE49-F238E27FC236}">
                  <a16:creationId xmlns:a16="http://schemas.microsoft.com/office/drawing/2014/main" id="{31458449-F6DE-D9DE-4261-03A7A94D36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80E546B" w14:textId="08EC8F52" w:rsidR="005B61FE" w:rsidRDefault="005B61FE" w:rsidP="005B61FE">
      <w:pPr>
        <w:tabs>
          <w:tab w:val="left" w:pos="5448"/>
        </w:tabs>
        <w:rPr>
          <w:rFonts w:ascii="Times New Roman" w:hAnsi="Times New Roman" w:cs="Times New Roman"/>
          <w:i/>
          <w:sz w:val="24"/>
          <w:szCs w:val="24"/>
        </w:rPr>
      </w:pPr>
      <w:r>
        <w:rPr>
          <w:rFonts w:ascii="Times New Roman" w:hAnsi="Times New Roman" w:cs="Times New Roman"/>
          <w:i/>
          <w:sz w:val="24"/>
          <w:szCs w:val="24"/>
        </w:rPr>
        <w:t>Figure 4. A graph showing us the absolute orientation value vs trial responses.</w:t>
      </w:r>
    </w:p>
    <w:p w14:paraId="1CC2F8EC" w14:textId="32FF7F3C" w:rsidR="00510D59" w:rsidRDefault="00E122BB" w:rsidP="00510D59">
      <w:pPr>
        <w:widowControl w:val="0"/>
        <w:pBdr>
          <w:top w:val="nil"/>
          <w:left w:val="nil"/>
          <w:bottom w:val="nil"/>
          <w:right w:val="nil"/>
          <w:between w:val="nil"/>
        </w:pBdr>
        <w:spacing w:before="354" w:line="360" w:lineRule="auto"/>
        <w:rPr>
          <w:rFonts w:ascii="Times New Roman" w:eastAsia="Times New Roman" w:hAnsi="Times New Roman" w:cs="Times New Roman"/>
          <w:b/>
          <w:color w:val="000000"/>
          <w:sz w:val="36"/>
          <w:szCs w:val="36"/>
        </w:rPr>
      </w:pPr>
      <w:r w:rsidRPr="00E122BB">
        <w:rPr>
          <w:rFonts w:ascii="Times New Roman" w:eastAsia="Times New Roman" w:hAnsi="Times New Roman" w:cs="Times New Roman"/>
          <w:b/>
          <w:color w:val="000000"/>
          <w:sz w:val="36"/>
          <w:szCs w:val="36"/>
        </w:rPr>
        <w:t xml:space="preserve">Discussion </w:t>
      </w:r>
    </w:p>
    <w:p w14:paraId="0ED0445B" w14:textId="5C2CA60D" w:rsidR="00474FED" w:rsidRPr="00474FED" w:rsidRDefault="00510D59" w:rsidP="00985D8E">
      <w:pPr>
        <w:widowControl w:val="0"/>
        <w:pBdr>
          <w:top w:val="nil"/>
          <w:left w:val="nil"/>
          <w:bottom w:val="nil"/>
          <w:right w:val="nil"/>
          <w:between w:val="nil"/>
        </w:pBdr>
        <w:spacing w:before="354" w:line="240" w:lineRule="auto"/>
        <w:rPr>
          <w:rFonts w:ascii="Times New Roman" w:eastAsia="Times New Roman" w:hAnsi="Times New Roman" w:cs="Times New Roman"/>
          <w:bCs/>
          <w:color w:val="000000"/>
          <w:sz w:val="28"/>
          <w:szCs w:val="28"/>
          <w:lang w:val="en-GB"/>
        </w:rPr>
      </w:pPr>
      <w:r w:rsidRPr="00985D8E">
        <w:rPr>
          <w:rFonts w:ascii="Times New Roman" w:eastAsia="Times New Roman" w:hAnsi="Times New Roman" w:cs="Times New Roman"/>
          <w:bCs/>
          <w:color w:val="000000"/>
          <w:sz w:val="28"/>
          <w:szCs w:val="28"/>
        </w:rPr>
        <w:t xml:space="preserve">From the results of the experiment, we concluded </w:t>
      </w:r>
      <w:r w:rsidRPr="00985D8E">
        <w:rPr>
          <w:rFonts w:ascii="Times New Roman" w:eastAsia="Times New Roman" w:hAnsi="Times New Roman" w:cs="Times New Roman"/>
          <w:bCs/>
          <w:color w:val="000000"/>
          <w:sz w:val="28"/>
          <w:szCs w:val="28"/>
          <w:lang w:val="en-GB"/>
        </w:rPr>
        <w:t xml:space="preserve">the participant’s threshold for </w:t>
      </w:r>
      <w:r w:rsidRPr="00985D8E">
        <w:rPr>
          <w:rFonts w:ascii="Times New Roman" w:eastAsia="Times New Roman" w:hAnsi="Times New Roman" w:cs="Times New Roman"/>
          <w:bCs/>
          <w:color w:val="000000"/>
          <w:sz w:val="28"/>
          <w:szCs w:val="28"/>
          <w:lang w:val="en-GB"/>
        </w:rPr>
        <w:t>identifying</w:t>
      </w:r>
      <w:r w:rsidRPr="00985D8E">
        <w:rPr>
          <w:rFonts w:ascii="Times New Roman" w:eastAsia="Times New Roman" w:hAnsi="Times New Roman" w:cs="Times New Roman"/>
          <w:bCs/>
          <w:color w:val="000000"/>
          <w:sz w:val="28"/>
          <w:szCs w:val="28"/>
          <w:lang w:val="en-GB"/>
        </w:rPr>
        <w:t xml:space="preserve"> tilt was </w:t>
      </w:r>
      <w:r w:rsidRPr="00985D8E">
        <w:rPr>
          <w:rFonts w:ascii="Times New Roman" w:eastAsia="Times New Roman" w:hAnsi="Times New Roman" w:cs="Times New Roman"/>
          <w:bCs/>
          <w:color w:val="000000"/>
          <w:sz w:val="28"/>
          <w:szCs w:val="28"/>
          <w:lang w:val="en-GB"/>
        </w:rPr>
        <w:t>18.8</w:t>
      </w:r>
      <w:r w:rsidRPr="00985D8E">
        <w:rPr>
          <w:rFonts w:ascii="Times New Roman" w:eastAsia="Times New Roman" w:hAnsi="Times New Roman" w:cs="Times New Roman"/>
          <w:bCs/>
          <w:color w:val="000000"/>
          <w:sz w:val="28"/>
          <w:szCs w:val="28"/>
          <w:lang w:val="en-GB"/>
        </w:rPr>
        <w:t xml:space="preserve"> degrees, with </w:t>
      </w:r>
      <w:r w:rsidRPr="00985D8E">
        <w:rPr>
          <w:rFonts w:ascii="Times New Roman" w:eastAsia="Times New Roman" w:hAnsi="Times New Roman" w:cs="Times New Roman"/>
          <w:bCs/>
          <w:color w:val="000000"/>
          <w:sz w:val="28"/>
          <w:szCs w:val="28"/>
          <w:lang w:val="en-GB"/>
        </w:rPr>
        <w:t>a</w:t>
      </w:r>
      <w:r w:rsidRPr="00985D8E">
        <w:rPr>
          <w:rFonts w:ascii="Times New Roman" w:eastAsia="Times New Roman" w:hAnsi="Times New Roman" w:cs="Times New Roman"/>
          <w:bCs/>
          <w:color w:val="000000"/>
          <w:sz w:val="28"/>
          <w:szCs w:val="28"/>
          <w:lang w:val="en-GB"/>
        </w:rPr>
        <w:t xml:space="preserve"> </w:t>
      </w:r>
      <w:r w:rsidRPr="00985D8E">
        <w:rPr>
          <w:rFonts w:ascii="Times New Roman" w:eastAsia="Times New Roman" w:hAnsi="Times New Roman" w:cs="Times New Roman"/>
          <w:bCs/>
          <w:color w:val="000000"/>
          <w:sz w:val="28"/>
          <w:szCs w:val="28"/>
          <w:lang w:val="en-GB"/>
        </w:rPr>
        <w:t>47</w:t>
      </w:r>
      <w:r w:rsidRPr="00985D8E">
        <w:rPr>
          <w:rFonts w:ascii="Times New Roman" w:eastAsia="Times New Roman" w:hAnsi="Times New Roman" w:cs="Times New Roman"/>
          <w:bCs/>
          <w:color w:val="000000"/>
          <w:sz w:val="28"/>
          <w:szCs w:val="28"/>
          <w:lang w:val="en-GB"/>
        </w:rPr>
        <w:t>% accuracy rate.</w:t>
      </w:r>
      <w:r w:rsidR="001C1741" w:rsidRPr="00985D8E">
        <w:rPr>
          <w:rFonts w:ascii="Times New Roman" w:eastAsia="Times New Roman" w:hAnsi="Times New Roman" w:cs="Times New Roman"/>
          <w:bCs/>
          <w:color w:val="000000"/>
          <w:sz w:val="28"/>
          <w:szCs w:val="28"/>
          <w:lang w:val="en-GB"/>
        </w:rPr>
        <w:t xml:space="preserve"> </w:t>
      </w:r>
      <w:r w:rsidR="00474FED" w:rsidRPr="00474FED">
        <w:rPr>
          <w:rFonts w:ascii="Times New Roman" w:eastAsia="Times New Roman" w:hAnsi="Times New Roman" w:cs="Times New Roman"/>
          <w:bCs/>
          <w:color w:val="000000"/>
          <w:sz w:val="28"/>
          <w:szCs w:val="28"/>
        </w:rPr>
        <w:t xml:space="preserve">The final results demonstrate how difficult it is to distinguish between the varied tilt angles of the stimuli used in the experiment. </w:t>
      </w:r>
      <w:r w:rsidR="001C1741" w:rsidRPr="00985D8E">
        <w:rPr>
          <w:rFonts w:ascii="Times New Roman" w:eastAsia="Times New Roman" w:hAnsi="Times New Roman" w:cs="Times New Roman"/>
          <w:bCs/>
          <w:color w:val="000000"/>
          <w:sz w:val="28"/>
          <w:szCs w:val="28"/>
        </w:rPr>
        <w:t>However,</w:t>
      </w:r>
      <w:r w:rsidR="00474FED" w:rsidRPr="00474FED">
        <w:rPr>
          <w:rFonts w:ascii="Times New Roman" w:eastAsia="Times New Roman" w:hAnsi="Times New Roman" w:cs="Times New Roman"/>
          <w:bCs/>
          <w:color w:val="000000"/>
          <w:sz w:val="28"/>
          <w:szCs w:val="28"/>
        </w:rPr>
        <w:t xml:space="preserve"> the adaptable staircase approach is beneficial as it works best in controlled laboratory settings. These sinusoidal patterns don't account for the </w:t>
      </w:r>
      <w:r w:rsidR="001C1741" w:rsidRPr="00985D8E">
        <w:rPr>
          <w:rFonts w:ascii="Times New Roman" w:eastAsia="Times New Roman" w:hAnsi="Times New Roman" w:cs="Times New Roman"/>
          <w:bCs/>
          <w:color w:val="000000"/>
          <w:sz w:val="28"/>
          <w:szCs w:val="28"/>
        </w:rPr>
        <w:t>number</w:t>
      </w:r>
      <w:r w:rsidR="00474FED" w:rsidRPr="00474FED">
        <w:rPr>
          <w:rFonts w:ascii="Times New Roman" w:eastAsia="Times New Roman" w:hAnsi="Times New Roman" w:cs="Times New Roman"/>
          <w:bCs/>
          <w:color w:val="000000"/>
          <w:sz w:val="28"/>
          <w:szCs w:val="28"/>
        </w:rPr>
        <w:t xml:space="preserve"> of stimuli and distractions we encounter </w:t>
      </w:r>
      <w:r w:rsidR="001C1741" w:rsidRPr="00985D8E">
        <w:rPr>
          <w:rFonts w:ascii="Times New Roman" w:eastAsia="Times New Roman" w:hAnsi="Times New Roman" w:cs="Times New Roman"/>
          <w:bCs/>
          <w:color w:val="000000"/>
          <w:sz w:val="28"/>
          <w:szCs w:val="28"/>
        </w:rPr>
        <w:t>regularly</w:t>
      </w:r>
      <w:r w:rsidR="00474FED" w:rsidRPr="00474FED">
        <w:rPr>
          <w:rFonts w:ascii="Times New Roman" w:eastAsia="Times New Roman" w:hAnsi="Times New Roman" w:cs="Times New Roman"/>
          <w:bCs/>
          <w:color w:val="000000"/>
          <w:sz w:val="28"/>
          <w:szCs w:val="28"/>
        </w:rPr>
        <w:t xml:space="preserve"> in our daily routines. The current approach falls short </w:t>
      </w:r>
      <w:r w:rsidR="001C1741" w:rsidRPr="00985D8E">
        <w:rPr>
          <w:rFonts w:ascii="Times New Roman" w:eastAsia="Times New Roman" w:hAnsi="Times New Roman" w:cs="Times New Roman"/>
          <w:bCs/>
          <w:color w:val="000000"/>
          <w:sz w:val="28"/>
          <w:szCs w:val="28"/>
        </w:rPr>
        <w:t>of</w:t>
      </w:r>
      <w:r w:rsidR="00474FED" w:rsidRPr="00474FED">
        <w:rPr>
          <w:rFonts w:ascii="Times New Roman" w:eastAsia="Times New Roman" w:hAnsi="Times New Roman" w:cs="Times New Roman"/>
          <w:bCs/>
          <w:color w:val="000000"/>
          <w:sz w:val="28"/>
          <w:szCs w:val="28"/>
        </w:rPr>
        <w:t xml:space="preserve"> capturing the critical skill of being able to focus on a target stimulus while juggling competing inputs. Future studies should take into account the inclusion of distractor stimuli </w:t>
      </w:r>
      <w:r w:rsidR="001C1741" w:rsidRPr="00985D8E">
        <w:rPr>
          <w:rFonts w:ascii="Times New Roman" w:eastAsia="Times New Roman" w:hAnsi="Times New Roman" w:cs="Times New Roman"/>
          <w:bCs/>
          <w:color w:val="000000"/>
          <w:sz w:val="28"/>
          <w:szCs w:val="28"/>
        </w:rPr>
        <w:t>to</w:t>
      </w:r>
      <w:r w:rsidR="00474FED" w:rsidRPr="00474FED">
        <w:rPr>
          <w:rFonts w:ascii="Times New Roman" w:eastAsia="Times New Roman" w:hAnsi="Times New Roman" w:cs="Times New Roman"/>
          <w:bCs/>
          <w:color w:val="000000"/>
          <w:sz w:val="28"/>
          <w:szCs w:val="28"/>
        </w:rPr>
        <w:t xml:space="preserve"> have a deeper knowledge of how humans distinguish sensory information in more realistic and congested circumstances. This would provide a more comprehensive understanding of sensory discrimination despite everyday intricacies.</w:t>
      </w:r>
    </w:p>
    <w:p w14:paraId="04D4D4B7" w14:textId="77777777" w:rsidR="00474FED" w:rsidRPr="00510D59" w:rsidRDefault="00474FED" w:rsidP="00510D59">
      <w:pPr>
        <w:widowControl w:val="0"/>
        <w:pBdr>
          <w:top w:val="nil"/>
          <w:left w:val="nil"/>
          <w:bottom w:val="nil"/>
          <w:right w:val="nil"/>
          <w:between w:val="nil"/>
        </w:pBdr>
        <w:spacing w:before="354" w:line="360" w:lineRule="auto"/>
        <w:rPr>
          <w:rFonts w:ascii="Times New Roman" w:eastAsia="Times New Roman" w:hAnsi="Times New Roman" w:cs="Times New Roman"/>
          <w:bCs/>
          <w:color w:val="000000"/>
          <w:sz w:val="24"/>
          <w:szCs w:val="24"/>
        </w:rPr>
      </w:pPr>
    </w:p>
    <w:sectPr w:rsidR="00474FED" w:rsidRPr="00510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768"/>
    <w:rsid w:val="00120204"/>
    <w:rsid w:val="00172A57"/>
    <w:rsid w:val="001C1741"/>
    <w:rsid w:val="0031043D"/>
    <w:rsid w:val="0033286D"/>
    <w:rsid w:val="00340D64"/>
    <w:rsid w:val="003621E3"/>
    <w:rsid w:val="003B0916"/>
    <w:rsid w:val="003E309B"/>
    <w:rsid w:val="00474FED"/>
    <w:rsid w:val="00510D59"/>
    <w:rsid w:val="005B61FE"/>
    <w:rsid w:val="006622E1"/>
    <w:rsid w:val="00781768"/>
    <w:rsid w:val="008363D3"/>
    <w:rsid w:val="00855419"/>
    <w:rsid w:val="008E6443"/>
    <w:rsid w:val="00985D8E"/>
    <w:rsid w:val="00BC12DC"/>
    <w:rsid w:val="00C14091"/>
    <w:rsid w:val="00D17CA6"/>
    <w:rsid w:val="00D269B4"/>
    <w:rsid w:val="00DA30AF"/>
    <w:rsid w:val="00E01B2D"/>
    <w:rsid w:val="00E122BB"/>
    <w:rsid w:val="00E611E2"/>
    <w:rsid w:val="00F43FC2"/>
    <w:rsid w:val="00FF3A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90070D"/>
  <w15:chartTrackingRefBased/>
  <w15:docId w15:val="{0A16C188-3EC5-46D6-A780-384E1CBF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81768"/>
    <w:pPr>
      <w:spacing w:after="0" w:line="240" w:lineRule="auto"/>
    </w:pPr>
  </w:style>
  <w:style w:type="paragraph" w:styleId="Title">
    <w:name w:val="Title"/>
    <w:basedOn w:val="Normal"/>
    <w:next w:val="Normal"/>
    <w:link w:val="TitleChar"/>
    <w:uiPriority w:val="10"/>
    <w:qFormat/>
    <w:rsid w:val="007817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76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668709">
      <w:bodyDiv w:val="1"/>
      <w:marLeft w:val="0"/>
      <w:marRight w:val="0"/>
      <w:marTop w:val="0"/>
      <w:marBottom w:val="0"/>
      <w:divBdr>
        <w:top w:val="none" w:sz="0" w:space="0" w:color="auto"/>
        <w:left w:val="none" w:sz="0" w:space="0" w:color="auto"/>
        <w:bottom w:val="none" w:sz="0" w:space="0" w:color="auto"/>
        <w:right w:val="none" w:sz="0" w:space="0" w:color="auto"/>
      </w:divBdr>
    </w:div>
    <w:div w:id="253514319">
      <w:bodyDiv w:val="1"/>
      <w:marLeft w:val="0"/>
      <w:marRight w:val="0"/>
      <w:marTop w:val="0"/>
      <w:marBottom w:val="0"/>
      <w:divBdr>
        <w:top w:val="none" w:sz="0" w:space="0" w:color="auto"/>
        <w:left w:val="none" w:sz="0" w:space="0" w:color="auto"/>
        <w:bottom w:val="none" w:sz="0" w:space="0" w:color="auto"/>
        <w:right w:val="none" w:sz="0" w:space="0" w:color="auto"/>
      </w:divBdr>
    </w:div>
    <w:div w:id="319627115">
      <w:bodyDiv w:val="1"/>
      <w:marLeft w:val="0"/>
      <w:marRight w:val="0"/>
      <w:marTop w:val="0"/>
      <w:marBottom w:val="0"/>
      <w:divBdr>
        <w:top w:val="none" w:sz="0" w:space="0" w:color="auto"/>
        <w:left w:val="none" w:sz="0" w:space="0" w:color="auto"/>
        <w:bottom w:val="none" w:sz="0" w:space="0" w:color="auto"/>
        <w:right w:val="none" w:sz="0" w:space="0" w:color="auto"/>
      </w:divBdr>
    </w:div>
    <w:div w:id="797338604">
      <w:bodyDiv w:val="1"/>
      <w:marLeft w:val="0"/>
      <w:marRight w:val="0"/>
      <w:marTop w:val="0"/>
      <w:marBottom w:val="0"/>
      <w:divBdr>
        <w:top w:val="none" w:sz="0" w:space="0" w:color="auto"/>
        <w:left w:val="none" w:sz="0" w:space="0" w:color="auto"/>
        <w:bottom w:val="none" w:sz="0" w:space="0" w:color="auto"/>
        <w:right w:val="none" w:sz="0" w:space="0" w:color="auto"/>
      </w:divBdr>
    </w:div>
    <w:div w:id="1309704175">
      <w:bodyDiv w:val="1"/>
      <w:marLeft w:val="0"/>
      <w:marRight w:val="0"/>
      <w:marTop w:val="0"/>
      <w:marBottom w:val="0"/>
      <w:divBdr>
        <w:top w:val="none" w:sz="0" w:space="0" w:color="auto"/>
        <w:left w:val="none" w:sz="0" w:space="0" w:color="auto"/>
        <w:bottom w:val="none" w:sz="0" w:space="0" w:color="auto"/>
        <w:right w:val="none" w:sz="0" w:space="0" w:color="auto"/>
      </w:divBdr>
    </w:div>
    <w:div w:id="1402675562">
      <w:bodyDiv w:val="1"/>
      <w:marLeft w:val="0"/>
      <w:marRight w:val="0"/>
      <w:marTop w:val="0"/>
      <w:marBottom w:val="0"/>
      <w:divBdr>
        <w:top w:val="none" w:sz="0" w:space="0" w:color="auto"/>
        <w:left w:val="none" w:sz="0" w:space="0" w:color="auto"/>
        <w:bottom w:val="none" w:sz="0" w:space="0" w:color="auto"/>
        <w:right w:val="none" w:sz="0" w:space="0" w:color="auto"/>
      </w:divBdr>
    </w:div>
    <w:div w:id="1780485994">
      <w:bodyDiv w:val="1"/>
      <w:marLeft w:val="0"/>
      <w:marRight w:val="0"/>
      <w:marTop w:val="0"/>
      <w:marBottom w:val="0"/>
      <w:divBdr>
        <w:top w:val="none" w:sz="0" w:space="0" w:color="auto"/>
        <w:left w:val="none" w:sz="0" w:space="0" w:color="auto"/>
        <w:bottom w:val="none" w:sz="0" w:space="0" w:color="auto"/>
        <w:right w:val="none" w:sz="0" w:space="0" w:color="auto"/>
      </w:divBdr>
    </w:div>
    <w:div w:id="1900168887">
      <w:bodyDiv w:val="1"/>
      <w:marLeft w:val="0"/>
      <w:marRight w:val="0"/>
      <w:marTop w:val="0"/>
      <w:marBottom w:val="0"/>
      <w:divBdr>
        <w:top w:val="none" w:sz="0" w:space="0" w:color="auto"/>
        <w:left w:val="none" w:sz="0" w:space="0" w:color="auto"/>
        <w:bottom w:val="none" w:sz="0" w:space="0" w:color="auto"/>
        <w:right w:val="none" w:sz="0" w:space="0" w:color="auto"/>
      </w:divBdr>
    </w:div>
    <w:div w:id="1958444773">
      <w:bodyDiv w:val="1"/>
      <w:marLeft w:val="0"/>
      <w:marRight w:val="0"/>
      <w:marTop w:val="0"/>
      <w:marBottom w:val="0"/>
      <w:divBdr>
        <w:top w:val="none" w:sz="0" w:space="0" w:color="auto"/>
        <w:left w:val="none" w:sz="0" w:space="0" w:color="auto"/>
        <w:bottom w:val="none" w:sz="0" w:space="0" w:color="auto"/>
        <w:right w:val="none" w:sz="0" w:space="0" w:color="auto"/>
      </w:divBdr>
    </w:div>
    <w:div w:id="20566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ln>
                  <a:solidFill>
                    <a:schemeClr val="tx1"/>
                  </a:solidFill>
                </a:ln>
                <a:solidFill>
                  <a:sysClr val="windowText" lastClr="000000">
                    <a:lumMod val="65000"/>
                    <a:lumOff val="35000"/>
                  </a:sysClr>
                </a:solidFill>
                <a:latin typeface="+mn-lt"/>
                <a:ea typeface="+mn-ea"/>
                <a:cs typeface="+mn-cs"/>
              </a:defRPr>
            </a:pPr>
            <a:r>
              <a:rPr lang="en-US">
                <a:ln>
                  <a:solidFill>
                    <a:schemeClr val="tx1"/>
                  </a:solidFill>
                </a:ln>
              </a:rPr>
              <a:t>Tilt Intensity (deg) per trial</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ln>
                <a:solidFill>
                  <a:schemeClr val="tx1"/>
                </a:solidFill>
              </a:ln>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Sheet1!$E$2:$E$101</c:f>
              <c:numCache>
                <c:formatCode>General</c:formatCode>
                <c:ptCount val="100"/>
                <c:pt idx="0">
                  <c:v>-10</c:v>
                </c:pt>
                <c:pt idx="1">
                  <c:v>12</c:v>
                </c:pt>
                <c:pt idx="2">
                  <c:v>-11</c:v>
                </c:pt>
                <c:pt idx="3">
                  <c:v>-11</c:v>
                </c:pt>
                <c:pt idx="4">
                  <c:v>12</c:v>
                </c:pt>
                <c:pt idx="5">
                  <c:v>-13</c:v>
                </c:pt>
                <c:pt idx="6">
                  <c:v>14</c:v>
                </c:pt>
                <c:pt idx="7">
                  <c:v>-14</c:v>
                </c:pt>
                <c:pt idx="8">
                  <c:v>15</c:v>
                </c:pt>
                <c:pt idx="9">
                  <c:v>16</c:v>
                </c:pt>
                <c:pt idx="10">
                  <c:v>16</c:v>
                </c:pt>
                <c:pt idx="11">
                  <c:v>16</c:v>
                </c:pt>
                <c:pt idx="12">
                  <c:v>17</c:v>
                </c:pt>
                <c:pt idx="13">
                  <c:v>-17</c:v>
                </c:pt>
                <c:pt idx="14">
                  <c:v>-17</c:v>
                </c:pt>
                <c:pt idx="15">
                  <c:v>-18</c:v>
                </c:pt>
                <c:pt idx="16">
                  <c:v>-18</c:v>
                </c:pt>
                <c:pt idx="17">
                  <c:v>18</c:v>
                </c:pt>
                <c:pt idx="18">
                  <c:v>17.5</c:v>
                </c:pt>
                <c:pt idx="19">
                  <c:v>-18</c:v>
                </c:pt>
                <c:pt idx="20">
                  <c:v>18</c:v>
                </c:pt>
                <c:pt idx="21">
                  <c:v>18</c:v>
                </c:pt>
                <c:pt idx="22">
                  <c:v>17.5</c:v>
                </c:pt>
                <c:pt idx="23">
                  <c:v>-17.5</c:v>
                </c:pt>
                <c:pt idx="24">
                  <c:v>18</c:v>
                </c:pt>
                <c:pt idx="25">
                  <c:v>-18.5</c:v>
                </c:pt>
                <c:pt idx="26">
                  <c:v>18.5</c:v>
                </c:pt>
                <c:pt idx="27">
                  <c:v>19</c:v>
                </c:pt>
                <c:pt idx="28">
                  <c:v>19.5</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19.5</c:v>
                </c:pt>
                <c:pt idx="48">
                  <c:v>19.5</c:v>
                </c:pt>
                <c:pt idx="49">
                  <c:v>-20</c:v>
                </c:pt>
                <c:pt idx="50">
                  <c:v>-10</c:v>
                </c:pt>
                <c:pt idx="51">
                  <c:v>8</c:v>
                </c:pt>
                <c:pt idx="52">
                  <c:v>-9</c:v>
                </c:pt>
                <c:pt idx="53">
                  <c:v>-10</c:v>
                </c:pt>
                <c:pt idx="54">
                  <c:v>11</c:v>
                </c:pt>
                <c:pt idx="55">
                  <c:v>12</c:v>
                </c:pt>
                <c:pt idx="56">
                  <c:v>-12</c:v>
                </c:pt>
                <c:pt idx="57">
                  <c:v>13</c:v>
                </c:pt>
                <c:pt idx="58">
                  <c:v>14</c:v>
                </c:pt>
                <c:pt idx="59">
                  <c:v>15</c:v>
                </c:pt>
                <c:pt idx="60">
                  <c:v>15</c:v>
                </c:pt>
                <c:pt idx="61">
                  <c:v>-16</c:v>
                </c:pt>
                <c:pt idx="62">
                  <c:v>-17</c:v>
                </c:pt>
                <c:pt idx="63">
                  <c:v>-18</c:v>
                </c:pt>
                <c:pt idx="64">
                  <c:v>-18</c:v>
                </c:pt>
                <c:pt idx="65">
                  <c:v>18</c:v>
                </c:pt>
                <c:pt idx="66">
                  <c:v>-19</c:v>
                </c:pt>
                <c:pt idx="67">
                  <c:v>-19</c:v>
                </c:pt>
                <c:pt idx="68">
                  <c:v>-19</c:v>
                </c:pt>
                <c:pt idx="69">
                  <c:v>18</c:v>
                </c:pt>
                <c:pt idx="70">
                  <c:v>18</c:v>
                </c:pt>
                <c:pt idx="71">
                  <c:v>18</c:v>
                </c:pt>
                <c:pt idx="72">
                  <c:v>-17</c:v>
                </c:pt>
                <c:pt idx="73">
                  <c:v>17.5</c:v>
                </c:pt>
                <c:pt idx="74">
                  <c:v>17.5</c:v>
                </c:pt>
                <c:pt idx="75">
                  <c:v>18</c:v>
                </c:pt>
                <c:pt idx="76">
                  <c:v>18</c:v>
                </c:pt>
                <c:pt idx="77">
                  <c:v>-18</c:v>
                </c:pt>
                <c:pt idx="78">
                  <c:v>18.5</c:v>
                </c:pt>
                <c:pt idx="79">
                  <c:v>19</c:v>
                </c:pt>
                <c:pt idx="80">
                  <c:v>-19.5</c:v>
                </c:pt>
                <c:pt idx="81">
                  <c:v>19.5</c:v>
                </c:pt>
                <c:pt idx="82">
                  <c:v>-20</c:v>
                </c:pt>
                <c:pt idx="83">
                  <c:v>-20</c:v>
                </c:pt>
                <c:pt idx="84">
                  <c:v>-20</c:v>
                </c:pt>
                <c:pt idx="85">
                  <c:v>20</c:v>
                </c:pt>
                <c:pt idx="86">
                  <c:v>20</c:v>
                </c:pt>
                <c:pt idx="87">
                  <c:v>20</c:v>
                </c:pt>
                <c:pt idx="88">
                  <c:v>20</c:v>
                </c:pt>
                <c:pt idx="89">
                  <c:v>19.5</c:v>
                </c:pt>
                <c:pt idx="90">
                  <c:v>19.5</c:v>
                </c:pt>
                <c:pt idx="91">
                  <c:v>20</c:v>
                </c:pt>
                <c:pt idx="92">
                  <c:v>-20</c:v>
                </c:pt>
                <c:pt idx="93">
                  <c:v>-20</c:v>
                </c:pt>
                <c:pt idx="94">
                  <c:v>20</c:v>
                </c:pt>
                <c:pt idx="95">
                  <c:v>-20</c:v>
                </c:pt>
                <c:pt idx="96">
                  <c:v>-20</c:v>
                </c:pt>
                <c:pt idx="97">
                  <c:v>-20</c:v>
                </c:pt>
                <c:pt idx="98">
                  <c:v>-20</c:v>
                </c:pt>
                <c:pt idx="99">
                  <c:v>20</c:v>
                </c:pt>
              </c:numCache>
            </c:numRef>
          </c:val>
          <c:smooth val="0"/>
          <c:extLst>
            <c:ext xmlns:c16="http://schemas.microsoft.com/office/drawing/2014/chart" uri="{C3380CC4-5D6E-409C-BE32-E72D297353CC}">
              <c16:uniqueId val="{00000000-9938-44D4-9559-A56921C93A75}"/>
            </c:ext>
          </c:extLst>
        </c:ser>
        <c:dLbls>
          <c:showLegendKey val="0"/>
          <c:showVal val="0"/>
          <c:showCatName val="0"/>
          <c:showSerName val="0"/>
          <c:showPercent val="0"/>
          <c:showBubbleSize val="0"/>
        </c:dLbls>
        <c:smooth val="0"/>
        <c:axId val="938725743"/>
        <c:axId val="938726703"/>
      </c:lineChart>
      <c:catAx>
        <c:axId val="9387257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726703"/>
        <c:crosses val="autoZero"/>
        <c:auto val="1"/>
        <c:lblAlgn val="ctr"/>
        <c:lblOffset val="100"/>
        <c:noMultiLvlLbl val="0"/>
      </c:catAx>
      <c:valAx>
        <c:axId val="93872670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8725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r>
              <a:rPr lang="en-IN" b="0">
                <a:ln>
                  <a:solidFill>
                    <a:schemeClr val="tx1"/>
                  </a:solidFill>
                </a:ln>
              </a:rPr>
              <a:t>Responses</a:t>
            </a:r>
            <a:r>
              <a:rPr lang="en-IN" b="0" baseline="0">
                <a:ln>
                  <a:solidFill>
                    <a:schemeClr val="tx1"/>
                  </a:solidFill>
                </a:ln>
              </a:rPr>
              <a:t> Per Trial</a:t>
            </a:r>
            <a:endParaRPr lang="en-IN" b="0">
              <a:ln>
                <a:solidFill>
                  <a:schemeClr val="tx1"/>
                </a:solidFill>
              </a:ln>
            </a:endParaRPr>
          </a:p>
        </c:rich>
      </c:tx>
      <c:overlay val="0"/>
      <c:spPr>
        <a:noFill/>
        <a:ln cap="flat">
          <a:solidFill>
            <a:schemeClr val="bg1"/>
          </a:solidFill>
        </a:ln>
        <a:effectLst/>
      </c:spPr>
      <c:txPr>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Sheet1!$E$2:$E$101</c:f>
              <c:numCache>
                <c:formatCode>General</c:formatCode>
                <c:ptCount val="100"/>
                <c:pt idx="0">
                  <c:v>-10</c:v>
                </c:pt>
                <c:pt idx="1">
                  <c:v>12</c:v>
                </c:pt>
                <c:pt idx="2">
                  <c:v>-11</c:v>
                </c:pt>
                <c:pt idx="3">
                  <c:v>-11</c:v>
                </c:pt>
                <c:pt idx="4">
                  <c:v>12</c:v>
                </c:pt>
                <c:pt idx="5">
                  <c:v>-13</c:v>
                </c:pt>
                <c:pt idx="6">
                  <c:v>14</c:v>
                </c:pt>
                <c:pt idx="7">
                  <c:v>-14</c:v>
                </c:pt>
                <c:pt idx="8">
                  <c:v>15</c:v>
                </c:pt>
                <c:pt idx="9">
                  <c:v>16</c:v>
                </c:pt>
                <c:pt idx="10">
                  <c:v>16</c:v>
                </c:pt>
                <c:pt idx="11">
                  <c:v>16</c:v>
                </c:pt>
                <c:pt idx="12">
                  <c:v>17</c:v>
                </c:pt>
                <c:pt idx="13">
                  <c:v>-17</c:v>
                </c:pt>
                <c:pt idx="14">
                  <c:v>-17</c:v>
                </c:pt>
                <c:pt idx="15">
                  <c:v>-18</c:v>
                </c:pt>
                <c:pt idx="16">
                  <c:v>-18</c:v>
                </c:pt>
                <c:pt idx="17">
                  <c:v>18</c:v>
                </c:pt>
                <c:pt idx="18">
                  <c:v>17.5</c:v>
                </c:pt>
                <c:pt idx="19">
                  <c:v>-18</c:v>
                </c:pt>
                <c:pt idx="20">
                  <c:v>18</c:v>
                </c:pt>
                <c:pt idx="21">
                  <c:v>18</c:v>
                </c:pt>
                <c:pt idx="22">
                  <c:v>17.5</c:v>
                </c:pt>
                <c:pt idx="23">
                  <c:v>-17.5</c:v>
                </c:pt>
                <c:pt idx="24">
                  <c:v>18</c:v>
                </c:pt>
                <c:pt idx="25">
                  <c:v>-18.5</c:v>
                </c:pt>
                <c:pt idx="26">
                  <c:v>18.5</c:v>
                </c:pt>
                <c:pt idx="27">
                  <c:v>19</c:v>
                </c:pt>
                <c:pt idx="28">
                  <c:v>19.5</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19.5</c:v>
                </c:pt>
                <c:pt idx="48">
                  <c:v>19.5</c:v>
                </c:pt>
                <c:pt idx="49">
                  <c:v>-20</c:v>
                </c:pt>
                <c:pt idx="50">
                  <c:v>-10</c:v>
                </c:pt>
                <c:pt idx="51">
                  <c:v>8</c:v>
                </c:pt>
                <c:pt idx="52">
                  <c:v>-9</c:v>
                </c:pt>
                <c:pt idx="53">
                  <c:v>-10</c:v>
                </c:pt>
                <c:pt idx="54">
                  <c:v>11</c:v>
                </c:pt>
                <c:pt idx="55">
                  <c:v>12</c:v>
                </c:pt>
                <c:pt idx="56">
                  <c:v>-12</c:v>
                </c:pt>
                <c:pt idx="57">
                  <c:v>13</c:v>
                </c:pt>
                <c:pt idx="58">
                  <c:v>14</c:v>
                </c:pt>
                <c:pt idx="59">
                  <c:v>15</c:v>
                </c:pt>
                <c:pt idx="60">
                  <c:v>15</c:v>
                </c:pt>
                <c:pt idx="61">
                  <c:v>-16</c:v>
                </c:pt>
                <c:pt idx="62">
                  <c:v>-17</c:v>
                </c:pt>
                <c:pt idx="63">
                  <c:v>-18</c:v>
                </c:pt>
                <c:pt idx="64">
                  <c:v>-18</c:v>
                </c:pt>
                <c:pt idx="65">
                  <c:v>18</c:v>
                </c:pt>
                <c:pt idx="66">
                  <c:v>-19</c:v>
                </c:pt>
                <c:pt idx="67">
                  <c:v>-19</c:v>
                </c:pt>
                <c:pt idx="68">
                  <c:v>-19</c:v>
                </c:pt>
                <c:pt idx="69">
                  <c:v>18</c:v>
                </c:pt>
                <c:pt idx="70">
                  <c:v>18</c:v>
                </c:pt>
                <c:pt idx="71">
                  <c:v>18</c:v>
                </c:pt>
                <c:pt idx="72">
                  <c:v>-17</c:v>
                </c:pt>
                <c:pt idx="73">
                  <c:v>17.5</c:v>
                </c:pt>
                <c:pt idx="74">
                  <c:v>17.5</c:v>
                </c:pt>
                <c:pt idx="75">
                  <c:v>18</c:v>
                </c:pt>
                <c:pt idx="76">
                  <c:v>18</c:v>
                </c:pt>
                <c:pt idx="77">
                  <c:v>-18</c:v>
                </c:pt>
                <c:pt idx="78">
                  <c:v>18.5</c:v>
                </c:pt>
                <c:pt idx="79">
                  <c:v>19</c:v>
                </c:pt>
                <c:pt idx="80">
                  <c:v>-19.5</c:v>
                </c:pt>
                <c:pt idx="81">
                  <c:v>19.5</c:v>
                </c:pt>
                <c:pt idx="82">
                  <c:v>-20</c:v>
                </c:pt>
                <c:pt idx="83">
                  <c:v>-20</c:v>
                </c:pt>
                <c:pt idx="84">
                  <c:v>-20</c:v>
                </c:pt>
                <c:pt idx="85">
                  <c:v>20</c:v>
                </c:pt>
                <c:pt idx="86">
                  <c:v>20</c:v>
                </c:pt>
                <c:pt idx="87">
                  <c:v>20</c:v>
                </c:pt>
                <c:pt idx="88">
                  <c:v>20</c:v>
                </c:pt>
                <c:pt idx="89">
                  <c:v>19.5</c:v>
                </c:pt>
                <c:pt idx="90">
                  <c:v>19.5</c:v>
                </c:pt>
                <c:pt idx="91">
                  <c:v>20</c:v>
                </c:pt>
                <c:pt idx="92">
                  <c:v>-20</c:v>
                </c:pt>
                <c:pt idx="93">
                  <c:v>-20</c:v>
                </c:pt>
                <c:pt idx="94">
                  <c:v>20</c:v>
                </c:pt>
                <c:pt idx="95">
                  <c:v>-20</c:v>
                </c:pt>
                <c:pt idx="96">
                  <c:v>-20</c:v>
                </c:pt>
                <c:pt idx="97">
                  <c:v>-20</c:v>
                </c:pt>
                <c:pt idx="98">
                  <c:v>-20</c:v>
                </c:pt>
                <c:pt idx="99">
                  <c:v>20</c:v>
                </c:pt>
              </c:numCache>
            </c:numRef>
          </c:val>
          <c:smooth val="0"/>
          <c:extLst>
            <c:ext xmlns:c16="http://schemas.microsoft.com/office/drawing/2014/chart" uri="{C3380CC4-5D6E-409C-BE32-E72D297353CC}">
              <c16:uniqueId val="{00000000-4B21-444B-B70F-8B7AC6B25B28}"/>
            </c:ext>
          </c:extLst>
        </c:ser>
        <c:dLbls>
          <c:showLegendKey val="0"/>
          <c:showVal val="0"/>
          <c:showCatName val="0"/>
          <c:showSerName val="0"/>
          <c:showPercent val="0"/>
          <c:showBubbleSize val="0"/>
        </c:dLbls>
        <c:smooth val="0"/>
        <c:axId val="1227176127"/>
        <c:axId val="1227187647"/>
      </c:lineChart>
      <c:catAx>
        <c:axId val="12271761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187647"/>
        <c:crosses val="autoZero"/>
        <c:auto val="1"/>
        <c:lblAlgn val="ctr"/>
        <c:lblOffset val="100"/>
        <c:noMultiLvlLbl val="0"/>
      </c:catAx>
      <c:valAx>
        <c:axId val="1227187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71761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r>
              <a:rPr lang="en-US">
                <a:ln>
                  <a:solidFill>
                    <a:schemeClr val="tx1"/>
                  </a:solidFill>
                </a:ln>
              </a:rPr>
              <a:t>Absolute</a:t>
            </a:r>
            <a:r>
              <a:rPr lang="en-US" baseline="0">
                <a:ln>
                  <a:solidFill>
                    <a:schemeClr val="tx1"/>
                  </a:solidFill>
                </a:ln>
              </a:rPr>
              <a:t> Orientation Value Vs Trial</a:t>
            </a:r>
          </a:p>
        </c:rich>
      </c:tx>
      <c:overlay val="0"/>
      <c:spPr>
        <a:noFill/>
        <a:ln>
          <a:noFill/>
        </a:ln>
        <a:effectLst/>
      </c:spPr>
      <c:txPr>
        <a:bodyPr rot="0" spcFirstLastPara="1" vertOverflow="ellipsis" vert="horz" wrap="square" anchor="ctr" anchorCtr="1"/>
        <a:lstStyle/>
        <a:p>
          <a:pPr>
            <a:defRPr sz="1400" b="0" i="0" u="none" strike="noStrike" kern="1200" spc="0" baseline="0">
              <a:ln>
                <a:solidFill>
                  <a:schemeClr val="tx1"/>
                </a:solidFill>
              </a:ln>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stair.intensity</c:v>
                </c:pt>
              </c:strCache>
            </c:strRef>
          </c:tx>
          <c:spPr>
            <a:ln w="28575" cap="rnd">
              <a:solidFill>
                <a:schemeClr val="accent1"/>
              </a:solidFill>
              <a:round/>
            </a:ln>
            <a:effectLst/>
          </c:spPr>
          <c:marker>
            <c:symbol val="none"/>
          </c:marker>
          <c:val>
            <c:numRef>
              <c:f>Sheet1!$C$2:$C$101</c:f>
              <c:numCache>
                <c:formatCode>General</c:formatCode>
                <c:ptCount val="100"/>
                <c:pt idx="0">
                  <c:v>10</c:v>
                </c:pt>
                <c:pt idx="1">
                  <c:v>12</c:v>
                </c:pt>
                <c:pt idx="2">
                  <c:v>11</c:v>
                </c:pt>
                <c:pt idx="3">
                  <c:v>11</c:v>
                </c:pt>
                <c:pt idx="4">
                  <c:v>12</c:v>
                </c:pt>
                <c:pt idx="5">
                  <c:v>13</c:v>
                </c:pt>
                <c:pt idx="6">
                  <c:v>14</c:v>
                </c:pt>
                <c:pt idx="7">
                  <c:v>14</c:v>
                </c:pt>
                <c:pt idx="8">
                  <c:v>15</c:v>
                </c:pt>
                <c:pt idx="9">
                  <c:v>16</c:v>
                </c:pt>
                <c:pt idx="10">
                  <c:v>16</c:v>
                </c:pt>
                <c:pt idx="11">
                  <c:v>16</c:v>
                </c:pt>
                <c:pt idx="12">
                  <c:v>17</c:v>
                </c:pt>
                <c:pt idx="13">
                  <c:v>17</c:v>
                </c:pt>
                <c:pt idx="14">
                  <c:v>17</c:v>
                </c:pt>
                <c:pt idx="15">
                  <c:v>18</c:v>
                </c:pt>
                <c:pt idx="16">
                  <c:v>18</c:v>
                </c:pt>
                <c:pt idx="17">
                  <c:v>18</c:v>
                </c:pt>
                <c:pt idx="18">
                  <c:v>17.5</c:v>
                </c:pt>
                <c:pt idx="19">
                  <c:v>18</c:v>
                </c:pt>
                <c:pt idx="20">
                  <c:v>18</c:v>
                </c:pt>
                <c:pt idx="21">
                  <c:v>18</c:v>
                </c:pt>
                <c:pt idx="22">
                  <c:v>17.5</c:v>
                </c:pt>
                <c:pt idx="23">
                  <c:v>17.5</c:v>
                </c:pt>
                <c:pt idx="24">
                  <c:v>18</c:v>
                </c:pt>
                <c:pt idx="25">
                  <c:v>18.5</c:v>
                </c:pt>
                <c:pt idx="26">
                  <c:v>18.5</c:v>
                </c:pt>
                <c:pt idx="27">
                  <c:v>19</c:v>
                </c:pt>
                <c:pt idx="28">
                  <c:v>19.5</c:v>
                </c:pt>
                <c:pt idx="29">
                  <c:v>20</c:v>
                </c:pt>
                <c:pt idx="30">
                  <c:v>20</c:v>
                </c:pt>
                <c:pt idx="31">
                  <c:v>20</c:v>
                </c:pt>
                <c:pt idx="32">
                  <c:v>20</c:v>
                </c:pt>
                <c:pt idx="33">
                  <c:v>20</c:v>
                </c:pt>
                <c:pt idx="34">
                  <c:v>20</c:v>
                </c:pt>
                <c:pt idx="35">
                  <c:v>20</c:v>
                </c:pt>
                <c:pt idx="36">
                  <c:v>20</c:v>
                </c:pt>
                <c:pt idx="37">
                  <c:v>20</c:v>
                </c:pt>
                <c:pt idx="38">
                  <c:v>20</c:v>
                </c:pt>
                <c:pt idx="39">
                  <c:v>20</c:v>
                </c:pt>
                <c:pt idx="40">
                  <c:v>20</c:v>
                </c:pt>
                <c:pt idx="41">
                  <c:v>20</c:v>
                </c:pt>
                <c:pt idx="42">
                  <c:v>20</c:v>
                </c:pt>
                <c:pt idx="43">
                  <c:v>20</c:v>
                </c:pt>
                <c:pt idx="44">
                  <c:v>20</c:v>
                </c:pt>
                <c:pt idx="45">
                  <c:v>20</c:v>
                </c:pt>
                <c:pt idx="46">
                  <c:v>20</c:v>
                </c:pt>
                <c:pt idx="47">
                  <c:v>19.5</c:v>
                </c:pt>
                <c:pt idx="48">
                  <c:v>19.5</c:v>
                </c:pt>
                <c:pt idx="49">
                  <c:v>20</c:v>
                </c:pt>
                <c:pt idx="50">
                  <c:v>10</c:v>
                </c:pt>
                <c:pt idx="51">
                  <c:v>8</c:v>
                </c:pt>
                <c:pt idx="52">
                  <c:v>9</c:v>
                </c:pt>
                <c:pt idx="53">
                  <c:v>10</c:v>
                </c:pt>
                <c:pt idx="54">
                  <c:v>11</c:v>
                </c:pt>
                <c:pt idx="55">
                  <c:v>12</c:v>
                </c:pt>
                <c:pt idx="56">
                  <c:v>12</c:v>
                </c:pt>
                <c:pt idx="57">
                  <c:v>13</c:v>
                </c:pt>
                <c:pt idx="58">
                  <c:v>14</c:v>
                </c:pt>
                <c:pt idx="59">
                  <c:v>15</c:v>
                </c:pt>
                <c:pt idx="60">
                  <c:v>15</c:v>
                </c:pt>
                <c:pt idx="61">
                  <c:v>16</c:v>
                </c:pt>
                <c:pt idx="62">
                  <c:v>17</c:v>
                </c:pt>
                <c:pt idx="63">
                  <c:v>18</c:v>
                </c:pt>
                <c:pt idx="64">
                  <c:v>18</c:v>
                </c:pt>
                <c:pt idx="65">
                  <c:v>18</c:v>
                </c:pt>
                <c:pt idx="66">
                  <c:v>19</c:v>
                </c:pt>
                <c:pt idx="67">
                  <c:v>19</c:v>
                </c:pt>
                <c:pt idx="68">
                  <c:v>19</c:v>
                </c:pt>
                <c:pt idx="69">
                  <c:v>18</c:v>
                </c:pt>
                <c:pt idx="70">
                  <c:v>18</c:v>
                </c:pt>
                <c:pt idx="71">
                  <c:v>18</c:v>
                </c:pt>
                <c:pt idx="72">
                  <c:v>17</c:v>
                </c:pt>
                <c:pt idx="73">
                  <c:v>17.5</c:v>
                </c:pt>
                <c:pt idx="74">
                  <c:v>17.5</c:v>
                </c:pt>
                <c:pt idx="75">
                  <c:v>18</c:v>
                </c:pt>
                <c:pt idx="76">
                  <c:v>18</c:v>
                </c:pt>
                <c:pt idx="77">
                  <c:v>18</c:v>
                </c:pt>
                <c:pt idx="78">
                  <c:v>18.5</c:v>
                </c:pt>
                <c:pt idx="79">
                  <c:v>19</c:v>
                </c:pt>
                <c:pt idx="80">
                  <c:v>19.5</c:v>
                </c:pt>
                <c:pt idx="81">
                  <c:v>19.5</c:v>
                </c:pt>
                <c:pt idx="82">
                  <c:v>20</c:v>
                </c:pt>
                <c:pt idx="83">
                  <c:v>20</c:v>
                </c:pt>
                <c:pt idx="84">
                  <c:v>20</c:v>
                </c:pt>
                <c:pt idx="85">
                  <c:v>20</c:v>
                </c:pt>
                <c:pt idx="86">
                  <c:v>20</c:v>
                </c:pt>
                <c:pt idx="87">
                  <c:v>20</c:v>
                </c:pt>
                <c:pt idx="88">
                  <c:v>20</c:v>
                </c:pt>
                <c:pt idx="89">
                  <c:v>19.5</c:v>
                </c:pt>
                <c:pt idx="90">
                  <c:v>19.5</c:v>
                </c:pt>
                <c:pt idx="91">
                  <c:v>20</c:v>
                </c:pt>
                <c:pt idx="92">
                  <c:v>20</c:v>
                </c:pt>
                <c:pt idx="93">
                  <c:v>20</c:v>
                </c:pt>
                <c:pt idx="94">
                  <c:v>20</c:v>
                </c:pt>
                <c:pt idx="95">
                  <c:v>20</c:v>
                </c:pt>
                <c:pt idx="96">
                  <c:v>20</c:v>
                </c:pt>
                <c:pt idx="97">
                  <c:v>20</c:v>
                </c:pt>
                <c:pt idx="98">
                  <c:v>20</c:v>
                </c:pt>
                <c:pt idx="99">
                  <c:v>20</c:v>
                </c:pt>
              </c:numCache>
            </c:numRef>
          </c:val>
          <c:smooth val="0"/>
          <c:extLst>
            <c:ext xmlns:c16="http://schemas.microsoft.com/office/drawing/2014/chart" uri="{C3380CC4-5D6E-409C-BE32-E72D297353CC}">
              <c16:uniqueId val="{00000000-AEB3-4139-A4AD-2D1793F5931B}"/>
            </c:ext>
          </c:extLst>
        </c:ser>
        <c:dLbls>
          <c:showLegendKey val="0"/>
          <c:showVal val="0"/>
          <c:showCatName val="0"/>
          <c:showSerName val="0"/>
          <c:showPercent val="0"/>
          <c:showBubbleSize val="0"/>
        </c:dLbls>
        <c:smooth val="0"/>
        <c:axId val="1218812063"/>
        <c:axId val="1218814463"/>
      </c:lineChart>
      <c:catAx>
        <c:axId val="12188120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814463"/>
        <c:crosses val="autoZero"/>
        <c:auto val="1"/>
        <c:lblAlgn val="ctr"/>
        <c:lblOffset val="100"/>
        <c:noMultiLvlLbl val="0"/>
      </c:catAx>
      <c:valAx>
        <c:axId val="12188144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88120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725</Words>
  <Characters>3863</Characters>
  <Application>Microsoft Office Word</Application>
  <DocSecurity>0</DocSecurity>
  <Lines>88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kareena kashyap</dc:creator>
  <cp:keywords/>
  <dc:description/>
  <cp:lastModifiedBy>kareena kashyap</cp:lastModifiedBy>
  <cp:revision>23</cp:revision>
  <dcterms:created xsi:type="dcterms:W3CDTF">2024-09-12T16:25:00Z</dcterms:created>
  <dcterms:modified xsi:type="dcterms:W3CDTF">2024-09-12T18:25:00Z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bf3013f3-72e9-46e0-8e8e-f1be2c1550a7</vt:lpwstr>
  </property>
</Properties>
</file>