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30DFD369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0C16A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E913A36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>learn independently about an important topic</w:t>
      </w:r>
    </w:p>
    <w:p w14:paraId="68FBA267" w14:textId="34D59156" w:rsidR="00480FDF" w:rsidRPr="00500964" w:rsidRDefault="00480FDF" w:rsidP="00850C90">
      <w:pPr>
        <w:pStyle w:val="AUBullets"/>
      </w:pPr>
      <w:r w:rsidRPr="00500964">
        <w:t xml:space="preserve">to </w:t>
      </w:r>
      <w:r w:rsidR="008512D6">
        <w:t>answer questions about the independently studied topic</w:t>
      </w:r>
    </w:p>
    <w:p w14:paraId="19F828C7" w14:textId="45D1C360" w:rsidR="00480FDF" w:rsidRPr="00500964" w:rsidRDefault="00480FDF" w:rsidP="00976CE4">
      <w:pPr>
        <w:pStyle w:val="AUBullets"/>
      </w:pPr>
      <w:r w:rsidRPr="00500964">
        <w:t xml:space="preserve">to </w:t>
      </w:r>
      <w:r w:rsidR="008512D6">
        <w:t>empower you: you can learn any networking topic on your own</w:t>
      </w:r>
    </w:p>
    <w:p w14:paraId="6B436472" w14:textId="13A89DD3" w:rsidR="00480FDF" w:rsidRPr="00500964" w:rsidRDefault="00480FDF" w:rsidP="00850C90">
      <w:pPr>
        <w:pStyle w:val="AUBullets"/>
      </w:pPr>
      <w:r w:rsidRPr="00500964">
        <w:t xml:space="preserve">to learn </w:t>
      </w:r>
      <w:r w:rsidR="001C5C7B">
        <w:t>independently</w:t>
      </w:r>
      <w:r w:rsidRPr="00500964">
        <w:t xml:space="preserve">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D4CE03" w14:textId="1F7B24D6" w:rsidR="008040CB" w:rsidRDefault="008040CB" w:rsidP="003B6377">
      <w:pPr>
        <w:pStyle w:val="AUH4"/>
        <w:rPr>
          <w:color w:val="FF0000"/>
        </w:rPr>
      </w:pPr>
      <w:r w:rsidRPr="008040CB">
        <w:rPr>
          <w:color w:val="FF0000"/>
        </w:rPr>
        <w:lastRenderedPageBreak/>
        <w:t>KEEP THE GRADING GUIDELINES ABOVE TO REMEMBER THE DIRECTIONS AND HOW THE HOMEWORK IS GRADED.</w:t>
      </w:r>
    </w:p>
    <w:p w14:paraId="5240DE76" w14:textId="77777777" w:rsidR="008040CB" w:rsidRPr="008040CB" w:rsidRDefault="008040CB" w:rsidP="003B6377">
      <w:pPr>
        <w:pStyle w:val="AUH4"/>
        <w:rPr>
          <w:color w:val="FF0000"/>
        </w:rPr>
      </w:pPr>
    </w:p>
    <w:p w14:paraId="24847F17" w14:textId="31828ED8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t xml:space="preserve">Objective: </w:t>
      </w:r>
      <w:r>
        <w:rPr>
          <w:b w:val="0"/>
          <w:color w:val="7F7F7F" w:themeColor="text1" w:themeTint="80"/>
        </w:rPr>
        <w:t xml:space="preserve">The objective of this assignment is </w:t>
      </w:r>
      <w:r w:rsidR="00912B2D">
        <w:rPr>
          <w:b w:val="0"/>
          <w:color w:val="7F7F7F" w:themeColor="text1" w:themeTint="80"/>
        </w:rPr>
        <w:t xml:space="preserve">to </w:t>
      </w:r>
      <w:r w:rsidR="005C7544">
        <w:rPr>
          <w:b w:val="0"/>
          <w:color w:val="7F7F7F" w:themeColor="text1" w:themeTint="80"/>
        </w:rPr>
        <w:t>explore</w:t>
      </w:r>
      <w:r w:rsidR="005306B9">
        <w:rPr>
          <w:b w:val="0"/>
          <w:color w:val="7F7F7F" w:themeColor="text1" w:themeTint="80"/>
        </w:rPr>
        <w:t xml:space="preserve"> the impact of favoring some flows over others and discuss </w:t>
      </w:r>
      <w:r w:rsidR="00CF120C" w:rsidRPr="00CF120C">
        <w:rPr>
          <w:b w:val="0"/>
          <w:i/>
          <w:color w:val="7F7F7F" w:themeColor="text1" w:themeTint="80"/>
        </w:rPr>
        <w:t>N</w:t>
      </w:r>
      <w:r w:rsidR="005306B9" w:rsidRPr="00CF120C">
        <w:rPr>
          <w:b w:val="0"/>
          <w:i/>
          <w:color w:val="7F7F7F" w:themeColor="text1" w:themeTint="80"/>
        </w:rPr>
        <w:t xml:space="preserve">et(work) </w:t>
      </w:r>
      <w:r w:rsidR="00CF120C" w:rsidRPr="00CF120C">
        <w:rPr>
          <w:b w:val="0"/>
          <w:i/>
          <w:color w:val="7F7F7F" w:themeColor="text1" w:themeTint="80"/>
        </w:rPr>
        <w:t>N</w:t>
      </w:r>
      <w:r w:rsidR="005306B9" w:rsidRPr="00CF120C">
        <w:rPr>
          <w:b w:val="0"/>
          <w:i/>
          <w:color w:val="7F7F7F" w:themeColor="text1" w:themeTint="80"/>
        </w:rPr>
        <w:t>eutrality</w:t>
      </w:r>
      <w:r w:rsidR="005306B9">
        <w:rPr>
          <w:b w:val="0"/>
          <w:color w:val="7F7F7F" w:themeColor="text1" w:themeTint="80"/>
        </w:rPr>
        <w:t>.</w:t>
      </w:r>
      <w:r w:rsidR="007A5786">
        <w:rPr>
          <w:b w:val="0"/>
          <w:color w:val="7F7F7F" w:themeColor="text1" w:themeTint="80"/>
        </w:rPr>
        <w:t xml:space="preserve"> The assignment is based on the </w:t>
      </w:r>
      <w:r w:rsidR="007A5786" w:rsidRPr="00CF120C">
        <w:rPr>
          <w:b w:val="0"/>
          <w:i/>
          <w:color w:val="7F7F7F" w:themeColor="text1" w:themeTint="80"/>
        </w:rPr>
        <w:t>Conservation Law</w:t>
      </w:r>
      <w:r w:rsidR="00912B2D">
        <w:rPr>
          <w:b w:val="0"/>
          <w:color w:val="7F7F7F" w:themeColor="text1" w:themeTint="80"/>
        </w:rPr>
        <w:t xml:space="preserve"> that states that if a scheduler is work-conservative (i.e., the resource is idle only if the queue is empty), then:</w:t>
      </w:r>
    </w:p>
    <w:p w14:paraId="14D0ABA3" w14:textId="536814ED" w:rsidR="00912B2D" w:rsidRDefault="00912B2D" w:rsidP="003B6377">
      <w:pPr>
        <w:pStyle w:val="AUH4"/>
        <w:rPr>
          <w:b w:val="0"/>
          <w:color w:val="7F7F7F" w:themeColor="text1" w:themeTint="8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i=1</m:t>
              </m:r>
            </m:sub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=K (a constant)</m:t>
              </m:r>
            </m:e>
          </m:nary>
        </m:oMath>
      </m:oMathPara>
    </w:p>
    <w:p w14:paraId="1A7861AD" w14:textId="3D27481A" w:rsidR="00912B2D" w:rsidRDefault="00912B2D" w:rsidP="00912B2D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where:</w:t>
      </w:r>
    </w:p>
    <w:p w14:paraId="2705E57D" w14:textId="2D5688C6" w:rsidR="00912B2D" w:rsidRDefault="00912B2D" w:rsidP="00912B2D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ab/>
        <w:t xml:space="preserve">-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λ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</m:oMath>
      <w:r>
        <w:rPr>
          <w:b w:val="0"/>
          <w:color w:val="7F7F7F" w:themeColor="text1" w:themeTint="80"/>
        </w:rPr>
        <w:t xml:space="preserve"> is the mean arrival rate for the </w:t>
      </w:r>
      <w:proofErr w:type="spellStart"/>
      <w:r>
        <w:rPr>
          <w:b w:val="0"/>
          <w:color w:val="7F7F7F" w:themeColor="text1" w:themeTint="80"/>
        </w:rPr>
        <w:t>i</w:t>
      </w:r>
      <w:r w:rsidRPr="00912B2D">
        <w:rPr>
          <w:b w:val="0"/>
          <w:color w:val="7F7F7F" w:themeColor="text1" w:themeTint="80"/>
          <w:vertAlign w:val="superscript"/>
        </w:rPr>
        <w:t>th</w:t>
      </w:r>
      <w:proofErr w:type="spellEnd"/>
      <w:r>
        <w:rPr>
          <w:b w:val="0"/>
          <w:color w:val="7F7F7F" w:themeColor="text1" w:themeTint="80"/>
        </w:rPr>
        <w:t xml:space="preserve"> flow</w:t>
      </w:r>
    </w:p>
    <w:p w14:paraId="16D03300" w14:textId="77777777" w:rsidR="00912B2D" w:rsidRDefault="00912B2D" w:rsidP="00912B2D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ab/>
      </w:r>
      <w:r>
        <w:rPr>
          <w:b w:val="0"/>
          <w:color w:val="7F7F7F" w:themeColor="text1" w:themeTint="80"/>
        </w:rPr>
        <w:t xml:space="preserve">-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</m:oMath>
      <w:r>
        <w:rPr>
          <w:b w:val="0"/>
          <w:color w:val="7F7F7F" w:themeColor="text1" w:themeTint="80"/>
        </w:rPr>
        <w:t xml:space="preserve"> </w:t>
      </w:r>
      <w:r>
        <w:rPr>
          <w:b w:val="0"/>
          <w:color w:val="7F7F7F" w:themeColor="text1" w:themeTint="80"/>
        </w:rPr>
        <w:t xml:space="preserve">is the mean </w:t>
      </w:r>
      <w:r>
        <w:rPr>
          <w:b w:val="0"/>
          <w:color w:val="7F7F7F" w:themeColor="text1" w:themeTint="80"/>
        </w:rPr>
        <w:t>service time</w:t>
      </w:r>
      <w:r>
        <w:rPr>
          <w:b w:val="0"/>
          <w:color w:val="7F7F7F" w:themeColor="text1" w:themeTint="80"/>
        </w:rPr>
        <w:t xml:space="preserve"> for the </w:t>
      </w:r>
      <w:proofErr w:type="spellStart"/>
      <w:r>
        <w:rPr>
          <w:b w:val="0"/>
          <w:color w:val="7F7F7F" w:themeColor="text1" w:themeTint="80"/>
        </w:rPr>
        <w:t>i</w:t>
      </w:r>
      <w:r w:rsidRPr="00912B2D">
        <w:rPr>
          <w:b w:val="0"/>
          <w:color w:val="7F7F7F" w:themeColor="text1" w:themeTint="80"/>
          <w:vertAlign w:val="superscript"/>
        </w:rPr>
        <w:t>th</w:t>
      </w:r>
      <w:proofErr w:type="spellEnd"/>
      <w:r>
        <w:rPr>
          <w:b w:val="0"/>
          <w:color w:val="7F7F7F" w:themeColor="text1" w:themeTint="80"/>
        </w:rPr>
        <w:t xml:space="preserve"> flow</w:t>
      </w:r>
    </w:p>
    <w:p w14:paraId="4C415048" w14:textId="79747A69" w:rsidR="00912B2D" w:rsidRDefault="00912B2D" w:rsidP="00912B2D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ab/>
        <w:t xml:space="preserve">-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q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</m:oMath>
      <w:r>
        <w:rPr>
          <w:b w:val="0"/>
          <w:color w:val="7F7F7F" w:themeColor="text1" w:themeTint="80"/>
        </w:rPr>
        <w:t xml:space="preserve"> is the mean </w:t>
      </w:r>
      <w:r>
        <w:rPr>
          <w:b w:val="0"/>
          <w:color w:val="7F7F7F" w:themeColor="text1" w:themeTint="80"/>
        </w:rPr>
        <w:t>queueing</w:t>
      </w:r>
      <w:r w:rsidR="00EA4A56">
        <w:rPr>
          <w:b w:val="0"/>
          <w:color w:val="7F7F7F" w:themeColor="text1" w:themeTint="80"/>
        </w:rPr>
        <w:t xml:space="preserve"> (waiting)</w:t>
      </w:r>
      <w:r>
        <w:rPr>
          <w:b w:val="0"/>
          <w:color w:val="7F7F7F" w:themeColor="text1" w:themeTint="80"/>
        </w:rPr>
        <w:t xml:space="preserve"> time for the </w:t>
      </w:r>
      <w:proofErr w:type="spellStart"/>
      <w:r>
        <w:rPr>
          <w:b w:val="0"/>
          <w:color w:val="7F7F7F" w:themeColor="text1" w:themeTint="80"/>
        </w:rPr>
        <w:t>i</w:t>
      </w:r>
      <w:r w:rsidRPr="00912B2D">
        <w:rPr>
          <w:b w:val="0"/>
          <w:color w:val="7F7F7F" w:themeColor="text1" w:themeTint="80"/>
          <w:vertAlign w:val="superscript"/>
        </w:rPr>
        <w:t>th</w:t>
      </w:r>
      <w:proofErr w:type="spellEnd"/>
      <w:r>
        <w:rPr>
          <w:b w:val="0"/>
          <w:color w:val="7F7F7F" w:themeColor="text1" w:themeTint="80"/>
        </w:rPr>
        <w:t xml:space="preserve"> flow</w:t>
      </w:r>
    </w:p>
    <w:p w14:paraId="048906C8" w14:textId="6DBF4510" w:rsidR="00EA4A56" w:rsidRDefault="00EA4A56" w:rsidP="00912B2D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ab/>
        <w:t>- K is a constant independent of the scheduling policy.</w:t>
      </w:r>
    </w:p>
    <w:p w14:paraId="29AC8CA5" w14:textId="5B9C50AF" w:rsidR="00912B2D" w:rsidRDefault="00912B2D" w:rsidP="00912B2D">
      <w:pPr>
        <w:pStyle w:val="AUH4"/>
        <w:spacing w:before="0" w:after="0"/>
        <w:rPr>
          <w:b w:val="0"/>
          <w:color w:val="7F7F7F" w:themeColor="text1" w:themeTint="80"/>
        </w:rPr>
      </w:pPr>
    </w:p>
    <w:p w14:paraId="427C672D" w14:textId="77777777" w:rsidR="00912B2D" w:rsidRDefault="00912B2D" w:rsidP="00912B2D">
      <w:pPr>
        <w:pStyle w:val="AUH4"/>
        <w:spacing w:before="0" w:after="0"/>
        <w:rPr>
          <w:b w:val="0"/>
          <w:color w:val="7F7F7F" w:themeColor="text1" w:themeTint="80"/>
        </w:rPr>
      </w:pP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6EB1139A" w14:textId="6332B9DF" w:rsidR="00F66D60" w:rsidRPr="005C7544" w:rsidRDefault="005306B9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/>
          <w:b/>
          <w:color w:val="7F7F7F" w:themeColor="text1" w:themeTint="80"/>
        </w:rPr>
        <w:t>Internet</w:t>
      </w:r>
    </w:p>
    <w:p w14:paraId="2A0D1CEB" w14:textId="2B6A7919" w:rsidR="00745DF5" w:rsidRPr="005C7544" w:rsidRDefault="005306B9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This module slides, videos, and SSQs.</w:t>
      </w:r>
    </w:p>
    <w:p w14:paraId="1F5BE5D1" w14:textId="238C45B0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75A44B5" w14:textId="77777777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7D8C0DB" w14:textId="77777777" w:rsidR="005C7544" w:rsidRPr="005C7544" w:rsidRDefault="005C7544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7F7F7F" w:themeColor="text1" w:themeTint="80"/>
          <w:sz w:val="28"/>
          <w:szCs w:val="28"/>
        </w:rPr>
      </w:pPr>
      <w:r w:rsidRPr="005C7544">
        <w:rPr>
          <w:rFonts w:ascii="Gill Sans MT" w:eastAsia="Times New Roman" w:hAnsi="Gill Sans MT" w:cs="Times New Roman"/>
          <w:b/>
          <w:color w:val="7F7F7F" w:themeColor="text1" w:themeTint="80"/>
          <w:sz w:val="28"/>
          <w:szCs w:val="28"/>
        </w:rPr>
        <w:t>Exercise</w:t>
      </w:r>
    </w:p>
    <w:p w14:paraId="5F819AE2" w14:textId="5A887CDF" w:rsidR="00C70E6C" w:rsidRDefault="005C7544" w:rsidP="0058217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FF0000"/>
          <w:sz w:val="24"/>
          <w:szCs w:val="24"/>
        </w:rPr>
        <w:tab/>
      </w:r>
      <w:r w:rsidR="0058217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Consider </w:t>
      </w:r>
      <w:r w:rsidR="005352D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two flows A and B with arrival rates 10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Mbps</w:t>
      </w:r>
      <w:proofErr w:type="spellEnd"/>
      <w:r w:rsidR="005352D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and 25 </w:t>
      </w:r>
      <w:proofErr w:type="spellStart"/>
      <w:r w:rsidR="005352D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Mbps</w:t>
      </w:r>
      <w:proofErr w:type="spellEnd"/>
      <w:r w:rsidR="005352D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that share an OC3 (150 </w:t>
      </w:r>
      <w:proofErr w:type="spellStart"/>
      <w:r w:rsidR="005352D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Mbps</w:t>
      </w:r>
      <w:proofErr w:type="spellEnd"/>
      <w:r w:rsidR="005352D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). The packet size can be any size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7F7F7F" w:themeColor="text1" w:themeTint="8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7F7F7F" w:themeColor="text1" w:themeTint="80"/>
                <w:sz w:val="24"/>
                <w:szCs w:val="24"/>
              </w:rPr>
              <m:t>S</m:t>
            </m:r>
          </m:sub>
        </m:sSub>
      </m:oMath>
      <w:r w:rsidR="00A7700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3C105A04" w14:textId="0891D587" w:rsidR="00E645B3" w:rsidRDefault="00E645B3" w:rsidP="0058217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eastAsia="Times New Roman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5DB94FAB" wp14:editId="05D10116">
            <wp:extent cx="53975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rvationLawExamp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E36B" w14:textId="39670349" w:rsidR="00A77001" w:rsidRDefault="00A77001" w:rsidP="0058217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3FF5CA35" w14:textId="412B68FA" w:rsidR="00E645B3" w:rsidRDefault="00E645B3" w:rsidP="0058217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lastRenderedPageBreak/>
        <w:tab/>
        <w:t xml:space="preserve">When using </w:t>
      </w:r>
      <w:r w:rsidRPr="004F4898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First Come First Serve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(FCFS) as the packet scheduling policy, we observe that the mean queueing delays for Flows A and B are 0.5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ms.</w:t>
      </w:r>
      <w:proofErr w:type="spellEnd"/>
    </w:p>
    <w:p w14:paraId="69A6E6C5" w14:textId="53B59C3A" w:rsidR="00E645B3" w:rsidRDefault="00E645B3" w:rsidP="00E645B3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When using a new packet scheduling policy,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mean queueing delays for Flows A and B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become </w:t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x</m:t>
        </m:r>
      </m:oMath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y</m:t>
        </m:r>
      </m:oMath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247E40F2" w14:textId="0977774D" w:rsidR="00E645B3" w:rsidRPr="00C70E6C" w:rsidRDefault="00E645B3" w:rsidP="0058217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0E2A487A" w14:textId="72B0FF74" w:rsidR="00C70E6C" w:rsidRDefault="00C70E6C" w:rsidP="00C70E6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C70E6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(a) 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30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Using the </w:t>
      </w:r>
      <w:r w:rsidR="00EA4A56" w:rsidRPr="004F4898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Conservation Law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the information about </w:t>
      </w:r>
      <w:r w:rsidR="00EA4A56" w:rsidRPr="004F4898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FCFS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express the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mean queueing delay </w:t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y</m:t>
        </m:r>
      </m:oMath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for Flow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B as a function of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mean queueing delay </w:t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x</m:t>
        </m:r>
      </m:oMath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for Flow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A.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</w:t>
      </w:r>
      <w:r w:rsidR="004F4898" w:rsidRPr="004F489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Hint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: See Slide about how I related queueing delays of FCFS with those of a different scheduling policy))</w:t>
      </w:r>
    </w:p>
    <w:p w14:paraId="0A1FC90A" w14:textId="67E9DE3B" w:rsidR="00C70E6C" w:rsidRDefault="00C70E6C" w:rsidP="00C70E6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(b) 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20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EA4A56" w:rsidRPr="004F4898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Plot</w:t>
      </w:r>
      <w:r w:rsidR="00EA4A56" w:rsidRPr="004F4898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mean queueing delay </w:t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y</m:t>
        </m:r>
      </m:oMath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for Flow B as a function of the mean queueing delay </w:t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x</m:t>
        </m:r>
      </m:oMath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for Flow A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E645B3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1A01A7C4" w14:textId="63D8B298" w:rsidR="00C70E6C" w:rsidRDefault="00C70E6C" w:rsidP="00C70E6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(c) 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(1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0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 researcher claims that he designed a packet scheduling policy that would perform better than FCFS: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with the new </w:t>
      </w:r>
      <w:proofErr w:type="gramStart"/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policy,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A4A56" w:rsidRPr="00EA4A56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both</w:t>
      </w:r>
      <w:proofErr w:type="gramEnd"/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the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mean queueing delays for Flows A and B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would </w:t>
      </w:r>
      <w:r w:rsidR="00EA4A56" w:rsidRPr="00EA4A56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decrease</w:t>
      </w:r>
      <w:r w:rsidR="00EA4A56" w:rsidRPr="00EA4A56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(i.e., be 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both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less than 0.5 </w:t>
      </w:r>
      <w:proofErr w:type="spellStart"/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ms</w:t>
      </w:r>
      <w:proofErr w:type="spellEnd"/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). Using the plot, explain whether such 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 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claim is possible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or not</w:t>
      </w:r>
      <w:r w:rsidR="00EA4A5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586B41A8" w14:textId="522C861D" w:rsidR="00C70E6C" w:rsidRDefault="00C70E6C" w:rsidP="00C70E6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(d) 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20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If we want to decrease </w:t>
      </w:r>
      <w:r w:rsidR="00CF120C" w:rsidRPr="00EA4A56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both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the mean queueing delays for Flows A and B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what 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must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be changed: the packet scheduling policy, the mean arrival rate, the packet size, and/or switch output line rate? 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(Discuss separately the different parameters: do not combine the effects of two parameters (for example policy and mean arrival rate).</w:t>
      </w:r>
    </w:p>
    <w:p w14:paraId="31336117" w14:textId="68973F5A" w:rsidR="004A1808" w:rsidRDefault="00C70E6C" w:rsidP="00CF120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C70E6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e</w:t>
      </w:r>
      <w:r w:rsidRPr="00C70E6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 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20</w:t>
      </w:r>
      <w:r w:rsidR="006E2AB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This question is about of </w:t>
      </w:r>
      <w:r w:rsidR="00CF120C" w:rsidRPr="00CF120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Net Neutrality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Explain what </w:t>
      </w:r>
      <w:r w:rsidR="004F4898" w:rsidRPr="00CF120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Net Neutrality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F120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is and discuss it:</w:t>
      </w:r>
    </w:p>
    <w:p w14:paraId="133C060F" w14:textId="4954DD07" w:rsidR="00CF120C" w:rsidRDefault="00CF120C" w:rsidP="00CF120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 what is </w:t>
      </w:r>
      <w:r w:rsidRPr="00CF120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Net Neutrality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?</w:t>
      </w:r>
    </w:p>
    <w:p w14:paraId="085F8A92" w14:textId="55392AD2" w:rsidR="00CF120C" w:rsidRDefault="00CF120C" w:rsidP="00CF120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ii) Is </w:t>
      </w:r>
      <w:r w:rsidRPr="00CF120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Net Neutrality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e</w:t>
      </w:r>
      <w:bookmarkStart w:id="0" w:name="_GoBack"/>
      <w:bookmarkEnd w:id="0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nforced in the US? If, yes/no, who decides about 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enforce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it in the US? Discuss </w:t>
      </w:r>
      <w:r w:rsidR="004F4898" w:rsidRPr="00CF120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Net Neutrality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in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last 4</w:t>
      </w:r>
      <w:r w:rsidR="004F489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-5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years.</w:t>
      </w:r>
    </w:p>
    <w:p w14:paraId="55CDC943" w14:textId="76CC4F50" w:rsidR="00CF120C" w:rsidRDefault="00CF120C" w:rsidP="00CF120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iii) In light of the </w:t>
      </w:r>
      <w:r w:rsidRPr="00CF120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Conservation Law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discuss the pros and cons of </w:t>
      </w:r>
      <w:r w:rsidRPr="00CF120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Net Neutrality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?</w:t>
      </w:r>
    </w:p>
    <w:p w14:paraId="170BABFF" w14:textId="35D219E6" w:rsidR="00CF120C" w:rsidRPr="005C7544" w:rsidRDefault="00CF120C" w:rsidP="00CF120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30F8E8C4" w14:textId="60539CFC" w:rsidR="008040CB" w:rsidRPr="005C7544" w:rsidRDefault="008040C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E7E8F5C" w14:textId="77777777" w:rsidR="00EB06C1" w:rsidRPr="005C7544" w:rsidRDefault="00EB06C1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5C754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br w:type="page"/>
      </w: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7A6B4" w14:textId="77777777" w:rsidR="000F7C13" w:rsidRDefault="000F7C13" w:rsidP="002A0533">
      <w:r>
        <w:separator/>
      </w:r>
    </w:p>
  </w:endnote>
  <w:endnote w:type="continuationSeparator" w:id="0">
    <w:p w14:paraId="258C2DCF" w14:textId="77777777" w:rsidR="000F7C13" w:rsidRDefault="000F7C13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33DF6" w14:textId="77777777" w:rsidR="000F7C13" w:rsidRDefault="000F7C13" w:rsidP="002A0533">
      <w:r>
        <w:separator/>
      </w:r>
    </w:p>
  </w:footnote>
  <w:footnote w:type="continuationSeparator" w:id="0">
    <w:p w14:paraId="77C8B610" w14:textId="77777777" w:rsidR="000F7C13" w:rsidRDefault="000F7C13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A4B9B21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5C7544">
                            <w:t>1</w:t>
                          </w:r>
                          <w:r w:rsidR="005306B9">
                            <w:t>5</w:t>
                          </w:r>
                          <w:r w:rsidR="00340B14">
                            <w:t>-</w:t>
                          </w:r>
                          <w:r w:rsidR="00955F00">
                            <w:t>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4A4B9B21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5C7544">
                      <w:t>1</w:t>
                    </w:r>
                    <w:r w:rsidR="005306B9">
                      <w:t>5</w:t>
                    </w:r>
                    <w:r w:rsidR="00340B14">
                      <w:t>-</w:t>
                    </w:r>
                    <w:r w:rsidR="00955F00">
                      <w:t>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30"/>
  </w:num>
  <w:num w:numId="16">
    <w:abstractNumId w:val="14"/>
  </w:num>
  <w:num w:numId="17">
    <w:abstractNumId w:val="28"/>
  </w:num>
  <w:num w:numId="18">
    <w:abstractNumId w:val="40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7"/>
  </w:num>
  <w:num w:numId="26">
    <w:abstractNumId w:val="25"/>
  </w:num>
  <w:num w:numId="27">
    <w:abstractNumId w:val="16"/>
  </w:num>
  <w:num w:numId="28">
    <w:abstractNumId w:val="33"/>
  </w:num>
  <w:num w:numId="29">
    <w:abstractNumId w:val="24"/>
  </w:num>
  <w:num w:numId="30">
    <w:abstractNumId w:val="2"/>
  </w:num>
  <w:num w:numId="31">
    <w:abstractNumId w:val="38"/>
  </w:num>
  <w:num w:numId="32">
    <w:abstractNumId w:val="19"/>
  </w:num>
  <w:num w:numId="33">
    <w:abstractNumId w:val="26"/>
  </w:num>
  <w:num w:numId="34">
    <w:abstractNumId w:val="29"/>
  </w:num>
  <w:num w:numId="35">
    <w:abstractNumId w:val="13"/>
  </w:num>
  <w:num w:numId="36">
    <w:abstractNumId w:val="3"/>
  </w:num>
  <w:num w:numId="37">
    <w:abstractNumId w:val="22"/>
  </w:num>
  <w:num w:numId="38">
    <w:abstractNumId w:val="4"/>
  </w:num>
  <w:num w:numId="39">
    <w:abstractNumId w:val="36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52327"/>
    <w:rsid w:val="0006152D"/>
    <w:rsid w:val="000621CF"/>
    <w:rsid w:val="000638BB"/>
    <w:rsid w:val="00064CF4"/>
    <w:rsid w:val="00070B92"/>
    <w:rsid w:val="00071299"/>
    <w:rsid w:val="00086729"/>
    <w:rsid w:val="000918D7"/>
    <w:rsid w:val="000A3742"/>
    <w:rsid w:val="000B6F22"/>
    <w:rsid w:val="000C16AC"/>
    <w:rsid w:val="000E28E4"/>
    <w:rsid w:val="000F188D"/>
    <w:rsid w:val="000F3EEC"/>
    <w:rsid w:val="000F7C13"/>
    <w:rsid w:val="000F7EE9"/>
    <w:rsid w:val="00101969"/>
    <w:rsid w:val="0011349E"/>
    <w:rsid w:val="00115A81"/>
    <w:rsid w:val="0013036D"/>
    <w:rsid w:val="00131ECE"/>
    <w:rsid w:val="00137E63"/>
    <w:rsid w:val="00140E06"/>
    <w:rsid w:val="00144CCB"/>
    <w:rsid w:val="00145D47"/>
    <w:rsid w:val="00146723"/>
    <w:rsid w:val="0017417E"/>
    <w:rsid w:val="00180797"/>
    <w:rsid w:val="00182A7A"/>
    <w:rsid w:val="00183363"/>
    <w:rsid w:val="001833EA"/>
    <w:rsid w:val="00185029"/>
    <w:rsid w:val="001862DA"/>
    <w:rsid w:val="00192711"/>
    <w:rsid w:val="00192DD8"/>
    <w:rsid w:val="001A6027"/>
    <w:rsid w:val="001A6904"/>
    <w:rsid w:val="001A7272"/>
    <w:rsid w:val="001A7878"/>
    <w:rsid w:val="001C5C7B"/>
    <w:rsid w:val="001D1C2E"/>
    <w:rsid w:val="001D708D"/>
    <w:rsid w:val="001D7B1A"/>
    <w:rsid w:val="001E5767"/>
    <w:rsid w:val="001F5006"/>
    <w:rsid w:val="002149CE"/>
    <w:rsid w:val="00224BC4"/>
    <w:rsid w:val="0022585B"/>
    <w:rsid w:val="0023095F"/>
    <w:rsid w:val="00234306"/>
    <w:rsid w:val="00254740"/>
    <w:rsid w:val="00261A8C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2F64C3"/>
    <w:rsid w:val="003063EC"/>
    <w:rsid w:val="0030723C"/>
    <w:rsid w:val="0031021F"/>
    <w:rsid w:val="00312353"/>
    <w:rsid w:val="00313057"/>
    <w:rsid w:val="00314C45"/>
    <w:rsid w:val="00324781"/>
    <w:rsid w:val="00324FA1"/>
    <w:rsid w:val="0033292F"/>
    <w:rsid w:val="003401DA"/>
    <w:rsid w:val="003404D8"/>
    <w:rsid w:val="00340B14"/>
    <w:rsid w:val="00341926"/>
    <w:rsid w:val="0034270A"/>
    <w:rsid w:val="0035384C"/>
    <w:rsid w:val="00354902"/>
    <w:rsid w:val="00355A73"/>
    <w:rsid w:val="00356381"/>
    <w:rsid w:val="00366842"/>
    <w:rsid w:val="00380B04"/>
    <w:rsid w:val="0038421C"/>
    <w:rsid w:val="003942C9"/>
    <w:rsid w:val="003A090D"/>
    <w:rsid w:val="003A1A18"/>
    <w:rsid w:val="003B6377"/>
    <w:rsid w:val="003B72FC"/>
    <w:rsid w:val="003C74FF"/>
    <w:rsid w:val="003D6342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352C3"/>
    <w:rsid w:val="00444258"/>
    <w:rsid w:val="00444EF2"/>
    <w:rsid w:val="00446F07"/>
    <w:rsid w:val="004562FB"/>
    <w:rsid w:val="004677CD"/>
    <w:rsid w:val="0047439D"/>
    <w:rsid w:val="004776D0"/>
    <w:rsid w:val="00480FDF"/>
    <w:rsid w:val="0048197B"/>
    <w:rsid w:val="0048540B"/>
    <w:rsid w:val="00490C32"/>
    <w:rsid w:val="004A1808"/>
    <w:rsid w:val="004A2426"/>
    <w:rsid w:val="004A7703"/>
    <w:rsid w:val="004A7BF1"/>
    <w:rsid w:val="004B4355"/>
    <w:rsid w:val="004C42E9"/>
    <w:rsid w:val="004D3974"/>
    <w:rsid w:val="004F42AD"/>
    <w:rsid w:val="004F474F"/>
    <w:rsid w:val="004F4898"/>
    <w:rsid w:val="00500964"/>
    <w:rsid w:val="0050733B"/>
    <w:rsid w:val="00510B5B"/>
    <w:rsid w:val="00511D58"/>
    <w:rsid w:val="005306B9"/>
    <w:rsid w:val="0053083D"/>
    <w:rsid w:val="005334EC"/>
    <w:rsid w:val="005339CF"/>
    <w:rsid w:val="00534C51"/>
    <w:rsid w:val="005352D6"/>
    <w:rsid w:val="00536832"/>
    <w:rsid w:val="00544E16"/>
    <w:rsid w:val="005472DE"/>
    <w:rsid w:val="005526C2"/>
    <w:rsid w:val="00553C02"/>
    <w:rsid w:val="00557FD9"/>
    <w:rsid w:val="005644B6"/>
    <w:rsid w:val="00570230"/>
    <w:rsid w:val="00571A33"/>
    <w:rsid w:val="00582178"/>
    <w:rsid w:val="00583BD1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C7544"/>
    <w:rsid w:val="005D16C0"/>
    <w:rsid w:val="005D2327"/>
    <w:rsid w:val="005D5062"/>
    <w:rsid w:val="005E5B47"/>
    <w:rsid w:val="005F2061"/>
    <w:rsid w:val="005F6FB2"/>
    <w:rsid w:val="00606471"/>
    <w:rsid w:val="00611418"/>
    <w:rsid w:val="00611D68"/>
    <w:rsid w:val="00612363"/>
    <w:rsid w:val="00623EFF"/>
    <w:rsid w:val="00630029"/>
    <w:rsid w:val="006411C8"/>
    <w:rsid w:val="00643E77"/>
    <w:rsid w:val="00644F0E"/>
    <w:rsid w:val="00645A75"/>
    <w:rsid w:val="006538A6"/>
    <w:rsid w:val="00663AC0"/>
    <w:rsid w:val="00666A62"/>
    <w:rsid w:val="006734AD"/>
    <w:rsid w:val="00682186"/>
    <w:rsid w:val="00691FFC"/>
    <w:rsid w:val="006A235B"/>
    <w:rsid w:val="006A3693"/>
    <w:rsid w:val="006B4628"/>
    <w:rsid w:val="006B561A"/>
    <w:rsid w:val="006C05F2"/>
    <w:rsid w:val="006C3B68"/>
    <w:rsid w:val="006D0431"/>
    <w:rsid w:val="006D3A68"/>
    <w:rsid w:val="006D50C6"/>
    <w:rsid w:val="006D512E"/>
    <w:rsid w:val="006D5A43"/>
    <w:rsid w:val="006E2AB0"/>
    <w:rsid w:val="006F5E2D"/>
    <w:rsid w:val="00704F09"/>
    <w:rsid w:val="007059BF"/>
    <w:rsid w:val="00706329"/>
    <w:rsid w:val="0072725B"/>
    <w:rsid w:val="00727900"/>
    <w:rsid w:val="00740DB9"/>
    <w:rsid w:val="00745DF5"/>
    <w:rsid w:val="00746658"/>
    <w:rsid w:val="00751203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5786"/>
    <w:rsid w:val="007A767F"/>
    <w:rsid w:val="007B2987"/>
    <w:rsid w:val="007B7A97"/>
    <w:rsid w:val="007D44F7"/>
    <w:rsid w:val="007F78FB"/>
    <w:rsid w:val="007F7A8B"/>
    <w:rsid w:val="007F7E8F"/>
    <w:rsid w:val="00801555"/>
    <w:rsid w:val="00803D0B"/>
    <w:rsid w:val="008040CB"/>
    <w:rsid w:val="0081618A"/>
    <w:rsid w:val="00822CDB"/>
    <w:rsid w:val="008411DE"/>
    <w:rsid w:val="00850C90"/>
    <w:rsid w:val="008512D6"/>
    <w:rsid w:val="00857187"/>
    <w:rsid w:val="00861BAE"/>
    <w:rsid w:val="00875FCA"/>
    <w:rsid w:val="0087651D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185C"/>
    <w:rsid w:val="00912A9B"/>
    <w:rsid w:val="00912B2D"/>
    <w:rsid w:val="0092424B"/>
    <w:rsid w:val="0093127A"/>
    <w:rsid w:val="00951E25"/>
    <w:rsid w:val="00955F00"/>
    <w:rsid w:val="009612EA"/>
    <w:rsid w:val="00963388"/>
    <w:rsid w:val="00967348"/>
    <w:rsid w:val="00975633"/>
    <w:rsid w:val="00976CE4"/>
    <w:rsid w:val="00984575"/>
    <w:rsid w:val="009A1E67"/>
    <w:rsid w:val="009A3CBC"/>
    <w:rsid w:val="009B493E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49B0"/>
    <w:rsid w:val="00A366A7"/>
    <w:rsid w:val="00A41914"/>
    <w:rsid w:val="00A54538"/>
    <w:rsid w:val="00A77001"/>
    <w:rsid w:val="00A874F9"/>
    <w:rsid w:val="00A9370B"/>
    <w:rsid w:val="00AA3A0C"/>
    <w:rsid w:val="00AA55F6"/>
    <w:rsid w:val="00AB4CC7"/>
    <w:rsid w:val="00AB5502"/>
    <w:rsid w:val="00AC0710"/>
    <w:rsid w:val="00AC46AA"/>
    <w:rsid w:val="00AD22AF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A67ED"/>
    <w:rsid w:val="00BA7B58"/>
    <w:rsid w:val="00BB3E4C"/>
    <w:rsid w:val="00BC32D7"/>
    <w:rsid w:val="00BC3888"/>
    <w:rsid w:val="00BC631C"/>
    <w:rsid w:val="00BE249B"/>
    <w:rsid w:val="00BF1591"/>
    <w:rsid w:val="00C06B4B"/>
    <w:rsid w:val="00C06E9A"/>
    <w:rsid w:val="00C14FC2"/>
    <w:rsid w:val="00C2736B"/>
    <w:rsid w:val="00C33E3C"/>
    <w:rsid w:val="00C6021C"/>
    <w:rsid w:val="00C70E6C"/>
    <w:rsid w:val="00C73265"/>
    <w:rsid w:val="00C802A6"/>
    <w:rsid w:val="00C90370"/>
    <w:rsid w:val="00C9054C"/>
    <w:rsid w:val="00C96D07"/>
    <w:rsid w:val="00CB0E64"/>
    <w:rsid w:val="00CB1364"/>
    <w:rsid w:val="00CD0953"/>
    <w:rsid w:val="00CE57B8"/>
    <w:rsid w:val="00CE5844"/>
    <w:rsid w:val="00CF120C"/>
    <w:rsid w:val="00CF4690"/>
    <w:rsid w:val="00CF4D58"/>
    <w:rsid w:val="00D04A62"/>
    <w:rsid w:val="00D154C9"/>
    <w:rsid w:val="00D17626"/>
    <w:rsid w:val="00D251BE"/>
    <w:rsid w:val="00D60960"/>
    <w:rsid w:val="00D67B6B"/>
    <w:rsid w:val="00D70074"/>
    <w:rsid w:val="00D701EA"/>
    <w:rsid w:val="00D7430C"/>
    <w:rsid w:val="00D75913"/>
    <w:rsid w:val="00D84E42"/>
    <w:rsid w:val="00D9235B"/>
    <w:rsid w:val="00D94C40"/>
    <w:rsid w:val="00DA41F2"/>
    <w:rsid w:val="00DA5AC8"/>
    <w:rsid w:val="00DB6880"/>
    <w:rsid w:val="00DD3643"/>
    <w:rsid w:val="00DD7BE1"/>
    <w:rsid w:val="00DE0814"/>
    <w:rsid w:val="00DF279D"/>
    <w:rsid w:val="00E0773C"/>
    <w:rsid w:val="00E117E4"/>
    <w:rsid w:val="00E11F3F"/>
    <w:rsid w:val="00E168A6"/>
    <w:rsid w:val="00E21DD7"/>
    <w:rsid w:val="00E246CF"/>
    <w:rsid w:val="00E30D00"/>
    <w:rsid w:val="00E32E08"/>
    <w:rsid w:val="00E3382E"/>
    <w:rsid w:val="00E351B8"/>
    <w:rsid w:val="00E557BB"/>
    <w:rsid w:val="00E645B3"/>
    <w:rsid w:val="00E708F2"/>
    <w:rsid w:val="00E73804"/>
    <w:rsid w:val="00E76D69"/>
    <w:rsid w:val="00E85696"/>
    <w:rsid w:val="00E91A3B"/>
    <w:rsid w:val="00E9432C"/>
    <w:rsid w:val="00EA2EAD"/>
    <w:rsid w:val="00EA4A56"/>
    <w:rsid w:val="00EB06C1"/>
    <w:rsid w:val="00EB18C8"/>
    <w:rsid w:val="00EB1DCE"/>
    <w:rsid w:val="00EB2E11"/>
    <w:rsid w:val="00EC0F52"/>
    <w:rsid w:val="00ED1935"/>
    <w:rsid w:val="00ED3685"/>
    <w:rsid w:val="00ED5A86"/>
    <w:rsid w:val="00EE7858"/>
    <w:rsid w:val="00F03304"/>
    <w:rsid w:val="00F14A05"/>
    <w:rsid w:val="00F15F6B"/>
    <w:rsid w:val="00F2014D"/>
    <w:rsid w:val="00F237B9"/>
    <w:rsid w:val="00F30EEB"/>
    <w:rsid w:val="00F32A13"/>
    <w:rsid w:val="00F404AD"/>
    <w:rsid w:val="00F4336C"/>
    <w:rsid w:val="00F44FEE"/>
    <w:rsid w:val="00F462A0"/>
    <w:rsid w:val="00F46354"/>
    <w:rsid w:val="00F5391C"/>
    <w:rsid w:val="00F66D60"/>
    <w:rsid w:val="00F720E6"/>
    <w:rsid w:val="00F77CFC"/>
    <w:rsid w:val="00F93B82"/>
    <w:rsid w:val="00FA610D"/>
    <w:rsid w:val="00FB0EC1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0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34812-DA96-3B4B-85B5-DF588DE4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6</cp:revision>
  <cp:lastPrinted>2019-01-25T15:28:00Z</cp:lastPrinted>
  <dcterms:created xsi:type="dcterms:W3CDTF">2019-11-13T16:40:00Z</dcterms:created>
  <dcterms:modified xsi:type="dcterms:W3CDTF">2019-11-13T20:45:00Z</dcterms:modified>
</cp:coreProperties>
</file>