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4D" w:rsidRPr="0041214D" w:rsidRDefault="0041214D" w:rsidP="0041214D">
      <w:pPr>
        <w:rPr>
          <w:lang w:val="en-US"/>
        </w:rPr>
      </w:pPr>
      <w:r w:rsidRPr="0041214D">
        <w:rPr>
          <w:lang w:val="en-US"/>
        </w:rPr>
        <w:t>http://matthieu.benoit.free.fr/205.htm</w:t>
      </w:r>
    </w:p>
    <w:p w:rsidR="00070DB4" w:rsidRDefault="00070DB4">
      <w:pPr>
        <w:rPr>
          <w:lang w:val="en-US"/>
        </w:rPr>
      </w:pPr>
      <w:r>
        <w:rPr>
          <w:lang w:val="en-US"/>
        </w:rPr>
        <w:t xml:space="preserve">Series 3501N4 </w:t>
      </w:r>
    </w:p>
    <w:p w:rsidR="00070DB4" w:rsidRDefault="00070DB4">
      <w:pPr>
        <w:rPr>
          <w:lang w:val="en-US"/>
        </w:rPr>
      </w:pPr>
      <w:r>
        <w:rPr>
          <w:lang w:val="en-US"/>
        </w:rPr>
        <w:t>FCC ID: CNT75MDACN4</w:t>
      </w:r>
    </w:p>
    <w:p w:rsidR="00070DB4" w:rsidRDefault="00070DB4">
      <w:pPr>
        <w:rPr>
          <w:lang w:val="en-US"/>
        </w:rPr>
      </w:pPr>
      <w:r w:rsidRPr="00070DB4">
        <w:rPr>
          <w:lang w:val="en-US"/>
        </w:rPr>
        <w:t>This device complies with part 15 of the fcc rules. Operation is subject to the following two conditions: 1) this device may not cause harmful interference,</w:t>
      </w:r>
    </w:p>
    <w:p w:rsidR="00070DB4" w:rsidRPr="0041214D" w:rsidRDefault="00070DB4">
      <w:r w:rsidRPr="00070DB4">
        <w:t xml:space="preserve">Это устройство соответствует части 15 правил </w:t>
      </w:r>
      <w:r w:rsidRPr="00070DB4">
        <w:rPr>
          <w:lang w:val="en-US"/>
        </w:rPr>
        <w:t>fcc</w:t>
      </w:r>
      <w:r w:rsidRPr="00070DB4">
        <w:t xml:space="preserve">. </w:t>
      </w:r>
      <w:r w:rsidR="006857E6" w:rsidRPr="00070DB4">
        <w:t xml:space="preserve">Эксплуатация осуществляется при соблюдении следующих двух условий: 1) данное устройство не </w:t>
      </w:r>
      <w:r w:rsidR="006857E6">
        <w:t>должно создавать вредных помех.</w:t>
      </w:r>
    </w:p>
    <w:p w:rsidR="00A067A5" w:rsidRPr="0041214D" w:rsidRDefault="00A067A5">
      <w:r w:rsidRPr="0041214D">
        <w:t>(</w:t>
      </w:r>
      <w:r w:rsidRPr="00A067A5">
        <w:rPr>
          <w:lang w:val="en-US"/>
        </w:rPr>
        <w:t>INTEL</w:t>
      </w:r>
      <w:r w:rsidRPr="0041214D">
        <w:t xml:space="preserve"> 486 </w:t>
      </w:r>
      <w:r w:rsidRPr="00A067A5">
        <w:rPr>
          <w:lang w:val="en-US"/>
        </w:rPr>
        <w:t>DX</w:t>
      </w:r>
      <w:r w:rsidRPr="0041214D">
        <w:t xml:space="preserve">2 / </w:t>
      </w:r>
      <w:r w:rsidRPr="00A067A5">
        <w:rPr>
          <w:lang w:val="en-US"/>
        </w:rPr>
        <w:t>HDD</w:t>
      </w:r>
      <w:r w:rsidRPr="0041214D">
        <w:t xml:space="preserve"> 4</w:t>
      </w:r>
      <w:r w:rsidRPr="00A067A5">
        <w:rPr>
          <w:lang w:val="en-US"/>
        </w:rPr>
        <w:t>GB</w:t>
      </w:r>
      <w:r w:rsidRPr="0041214D">
        <w:t>)</w:t>
      </w:r>
    </w:p>
    <w:p w:rsidR="008D103E" w:rsidRDefault="008D103E" w:rsidP="008D103E">
      <w:r w:rsidRPr="0041214D">
        <w:t xml:space="preserve">Совместимая марка процессора </w:t>
      </w:r>
      <w:r w:rsidRPr="008D103E">
        <w:rPr>
          <w:lang w:val="en-US"/>
        </w:rPr>
        <w:t>Intel</w:t>
      </w:r>
    </w:p>
    <w:p w:rsidR="001243B7" w:rsidRDefault="001243B7" w:rsidP="008D103E"/>
    <w:p w:rsidR="001243B7" w:rsidRPr="00C21ECD" w:rsidRDefault="001243B7" w:rsidP="008D103E">
      <w:pPr>
        <w:rPr>
          <w:lang w:val="en-US"/>
        </w:rPr>
      </w:pPr>
      <w:r>
        <w:t>Блок</w:t>
      </w:r>
      <w:r w:rsidRPr="001243B7">
        <w:rPr>
          <w:lang w:val="en-US"/>
        </w:rPr>
        <w:t xml:space="preserve"> </w:t>
      </w:r>
      <w:r>
        <w:t>питания</w:t>
      </w:r>
      <w:r w:rsidRPr="001243B7">
        <w:rPr>
          <w:lang w:val="en-US"/>
        </w:rPr>
        <w:t xml:space="preserve"> </w:t>
      </w:r>
      <w:r>
        <w:rPr>
          <w:lang w:val="en-US"/>
        </w:rPr>
        <w:t>Series PS2021 Model PS-5151-4C</w:t>
      </w:r>
    </w:p>
    <w:p w:rsidR="00C21ECD" w:rsidRDefault="00C21ECD" w:rsidP="008D103E">
      <w:r>
        <w:rPr>
          <w:noProof/>
          <w:lang w:eastAsia="ru-RU"/>
        </w:rPr>
        <w:drawing>
          <wp:inline distT="0" distB="0" distL="0" distR="0">
            <wp:extent cx="5940425" cy="4454159"/>
            <wp:effectExtent l="19050" t="0" r="3175" b="0"/>
            <wp:docPr id="1" name="Рисунок 1" descr="http://matthieu.benoit.free.fr/images/PS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.benoit.free.fr/images/PS20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4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CD" w:rsidRPr="00726FA0" w:rsidRDefault="00C21ECD" w:rsidP="008D103E">
      <w:pP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</w:pP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Power Supply PS2021 Series Compaq 214978-001 replace with Compaq spare No :214969-001 PS-5151-4C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P1 connector :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orange +12VDC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blue -12VDC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brown/white : -5VDC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black GND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black GND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black GND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red +5VDC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red +5VDC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lastRenderedPageBreak/>
        <w:t>red +5VDC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P2 connector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yellow GND???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proofErr w:type="gramStart"/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black</w:t>
      </w:r>
      <w:proofErr w:type="gramEnd"/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 xml:space="preserve"> GND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black GND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grey +3.4VDC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brown +3.4VDC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brown +3.4VDC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white +3.4VDC</w:t>
      </w:r>
      <w:r w:rsidRPr="00C21ECD">
        <w:rPr>
          <w:rFonts w:ascii="Verdana" w:hAnsi="Verdana"/>
          <w:color w:val="333333"/>
          <w:sz w:val="18"/>
          <w:szCs w:val="18"/>
          <w:lang w:val="en-US"/>
        </w:rPr>
        <w:br/>
      </w:r>
      <w:r w:rsidRPr="00C21ECD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purple GND???</w:t>
      </w:r>
    </w:p>
    <w:p w:rsidR="00726FA0" w:rsidRPr="00726FA0" w:rsidRDefault="00726FA0" w:rsidP="00726FA0">
      <w:pPr>
        <w:pStyle w:val="1"/>
        <w:jc w:val="center"/>
      </w:pPr>
      <w:r>
        <w:rPr>
          <w:lang w:val="en-US"/>
        </w:rPr>
        <w:t>Compaq</w:t>
      </w:r>
      <w:r w:rsidRPr="00726FA0">
        <w:t xml:space="preserve"> </w:t>
      </w:r>
      <w:proofErr w:type="spellStart"/>
      <w:r>
        <w:rPr>
          <w:lang w:val="en-US"/>
        </w:rPr>
        <w:t>Deskpro</w:t>
      </w:r>
      <w:proofErr w:type="spellEnd"/>
      <w:r w:rsidRPr="00726FA0">
        <w:t xml:space="preserve"> 466</w:t>
      </w:r>
    </w:p>
    <w:p w:rsidR="00DB5393" w:rsidRDefault="005A1D71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A1D71">
        <w:rPr>
          <w:rFonts w:ascii="Arial" w:hAnsi="Arial" w:cs="Arial"/>
          <w:color w:val="333333"/>
          <w:sz w:val="18"/>
          <w:szCs w:val="18"/>
          <w:shd w:val="clear" w:color="auto" w:fill="FFFFFF"/>
        </w:rPr>
        <w:t>​​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Э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то действительно мощная машина для 1994 года с процессором </w:t>
      </w:r>
      <w:proofErr w:type="spellStart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>Intel</w:t>
      </w:r>
      <w:proofErr w:type="spellEnd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486DX2 на частоте 66 МГц, который имеет только пассивное охлаждение. Заслуживает внимания основная оперативная память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72pin SIMM EDO, которая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поддерживает объем до 72 МБ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Для хранения данных используется жесткий диск.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Компьютер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также имеет встроенную графическую карту </w:t>
      </w:r>
      <w:proofErr w:type="spellStart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>Cirrus</w:t>
      </w:r>
      <w:proofErr w:type="spellEnd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>Logic</w:t>
      </w:r>
      <w:proofErr w:type="spellEnd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CL-GD5434 с 1 МБ памяти, а также сетевую карту. Это экономит возможный слот, если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потребуется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заполнить его данными по сети. Согласно информации на наклейке, на которой указана конфигурация материнской платы, которая есть у всех компьютеров </w:t>
      </w:r>
      <w:proofErr w:type="spellStart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машина</w:t>
      </w:r>
      <w:r w:rsidRPr="005A1D7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может быть модернизирована до 486DX4 100MHz. Есть даже один слот PCI, куда можно вставить, например, 3DFX Voodoo1 и два слота ISA для какой-нибудь звуковой карты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DB5393" w:rsidRPr="00DB5393" w:rsidRDefault="00DB5393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Фрагмент перевода на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задней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шильде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системного блока </w:t>
      </w:r>
      <w:proofErr w:type="spellStart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>Deskpro</w:t>
      </w:r>
      <w:proofErr w:type="spellEnd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466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: «</w:t>
      </w:r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Это устройство соответствует части 15 правил </w:t>
      </w:r>
      <w:proofErr w:type="spellStart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>fcc</w:t>
      </w:r>
      <w:proofErr w:type="spellEnd"/>
      <w:r w:rsidRPr="00DB5393">
        <w:rPr>
          <w:rFonts w:ascii="Verdana" w:hAnsi="Verdana"/>
          <w:color w:val="333333"/>
          <w:sz w:val="18"/>
          <w:szCs w:val="18"/>
          <w:shd w:val="clear" w:color="auto" w:fill="FFFFFF"/>
        </w:rPr>
        <w:t>. Эксплуатация осуществляется при соблюдении следующих двух условий: 1) данное устройство не должно создавать вредных помех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…»</w:t>
      </w:r>
    </w:p>
    <w:p w:rsidR="0092200D" w:rsidRPr="0092200D" w:rsidRDefault="0092200D" w:rsidP="00726FA0">
      <w:pPr>
        <w:pStyle w:val="2"/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Блок питания </w:t>
      </w:r>
      <w:proofErr w:type="spellStart"/>
      <w:r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214978-001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PS-5151-4C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серии </w:t>
      </w:r>
      <w:r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PS2021</w:t>
      </w:r>
      <w:r w:rsidR="0053047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компьютера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Deskpro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466</w:t>
      </w:r>
    </w:p>
    <w:p w:rsidR="00D67E05" w:rsidRDefault="00D67E05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После длительного хранения </w:t>
      </w:r>
      <w:r w:rsidR="00B06239">
        <w:rPr>
          <w:lang w:val="en-US"/>
        </w:rPr>
        <w:t>Compaq</w:t>
      </w:r>
      <w:r w:rsidR="00B06239" w:rsidRPr="00726FA0">
        <w:t xml:space="preserve"> </w:t>
      </w:r>
      <w:proofErr w:type="spellStart"/>
      <w:r w:rsidR="00B06239">
        <w:rPr>
          <w:lang w:val="en-US"/>
        </w:rPr>
        <w:t>Deskpro</w:t>
      </w:r>
      <w:proofErr w:type="spellEnd"/>
      <w:r w:rsidR="00B06239" w:rsidRPr="00726FA0">
        <w:t xml:space="preserve"> 466</w:t>
      </w:r>
      <w:r w:rsidR="00B06239"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в гараже (ориентировочно 6 лет) </w:t>
      </w:r>
      <w:r w:rsidR="006857E6">
        <w:rPr>
          <w:rFonts w:ascii="Verdana" w:hAnsi="Verdana"/>
          <w:color w:val="333333"/>
          <w:sz w:val="18"/>
          <w:szCs w:val="18"/>
          <w:shd w:val="clear" w:color="auto" w:fill="FFFFFF"/>
        </w:rPr>
        <w:t>компьютер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перестал запускаться. Обнаружилось отсутствие напряжений на выходе из блока </w:t>
      </w:r>
      <w:r w:rsidR="000C4DA7">
        <w:rPr>
          <w:rFonts w:ascii="Verdana" w:hAnsi="Verdana"/>
          <w:color w:val="333333"/>
          <w:sz w:val="18"/>
          <w:szCs w:val="18"/>
          <w:shd w:val="clear" w:color="auto" w:fill="FFFFFF"/>
        </w:rPr>
        <w:t>электро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питания</w:t>
      </w:r>
      <w:r w:rsid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9C7F30"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="009C7F30"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214978-001</w:t>
      </w:r>
      <w:r w:rsid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9C7F30"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PS-5151-4C</w:t>
      </w:r>
      <w:r w:rsid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серии </w:t>
      </w:r>
      <w:r w:rsidR="009C7F30"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PS2021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После неудачных манипуляций сгорел предохранитель. </w:t>
      </w:r>
      <w:r w:rsidR="0092200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Блок имеет на задней стенке переключатель 230-115 В. Случайно включил его в розетку с напряжением 230 В при положении переключателя на 115 В. </w:t>
      </w:r>
      <w:r w:rsidR="00726FA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Нужный предохранитель </w:t>
      </w:r>
      <w:proofErr w:type="gramStart"/>
      <w:r w:rsidR="00726FA0">
        <w:rPr>
          <w:rFonts w:ascii="Verdana" w:hAnsi="Verdana"/>
          <w:color w:val="333333"/>
          <w:sz w:val="18"/>
          <w:szCs w:val="18"/>
          <w:shd w:val="clear" w:color="auto" w:fill="FFFFFF"/>
        </w:rPr>
        <w:t>вместо</w:t>
      </w:r>
      <w:proofErr w:type="gramEnd"/>
      <w:r w:rsidR="00726FA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сгоревшего не нашелся, с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делал жучок. Сгорел и жучок, и конденсатор, а может еще что-то не наблюдаемое визуально.</w:t>
      </w:r>
    </w:p>
    <w:p w:rsidR="00D67E05" w:rsidRDefault="00D67E05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Решил заменить блок питания</w:t>
      </w:r>
      <w:r w:rsid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 компьютере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Deskpro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466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Нашелся с помойки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китайский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92200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более современны</w:t>
      </w:r>
      <w:r w:rsidR="0092200D">
        <w:rPr>
          <w:rFonts w:ascii="Verdana" w:hAnsi="Verdana"/>
          <w:color w:val="333333"/>
          <w:sz w:val="18"/>
          <w:szCs w:val="18"/>
          <w:shd w:val="clear" w:color="auto" w:fill="FFFFFF"/>
        </w:rPr>
        <w:t>м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форм-фактором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 w:rsidR="004420A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вместо требуемого </w:t>
      </w:r>
      <w:r w:rsidR="004420A4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  <w:r w:rsidR="006857E6">
        <w:rPr>
          <w:rFonts w:ascii="Verdana" w:hAnsi="Verdana"/>
          <w:color w:val="333333"/>
          <w:sz w:val="18"/>
          <w:szCs w:val="18"/>
          <w:shd w:val="clear" w:color="auto" w:fill="FFFFFF"/>
        </w:rPr>
        <w:t>Он оказался исправный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У него </w:t>
      </w:r>
      <w:r w:rsidR="000C4DA7">
        <w:rPr>
          <w:rFonts w:ascii="Verdana" w:hAnsi="Verdana"/>
          <w:color w:val="333333"/>
          <w:sz w:val="18"/>
          <w:szCs w:val="18"/>
          <w:shd w:val="clear" w:color="auto" w:fill="FFFFFF"/>
        </w:rPr>
        <w:t>разъём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для материнской платы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 20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А для </w:t>
      </w:r>
      <w:r w:rsidR="004420A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материнской платы </w:t>
      </w:r>
      <w:r w:rsidR="0092200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этого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компьютера </w:t>
      </w:r>
      <w:r w:rsidR="00826C14">
        <w:rPr>
          <w:rFonts w:ascii="Verdana" w:hAnsi="Verdana"/>
          <w:color w:val="333333"/>
          <w:sz w:val="18"/>
          <w:szCs w:val="18"/>
          <w:shd w:val="clear" w:color="auto" w:fill="FFFFFF"/>
        </w:rPr>
        <w:t>требуются</w:t>
      </w:r>
      <w:r w:rsidR="004420A4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 штекера: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один разъем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="00EC03C7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1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на 9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>, второй</w:t>
      </w:r>
      <w:r w:rsidR="00EC03C7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-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="00EC03C7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2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>на 8</w:t>
      </w:r>
      <w:r w:rsidR="00EC03C7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</w:p>
    <w:p w:rsidR="00063AFC" w:rsidRDefault="00063AFC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Опишу порядок моей неудачной попытки замены </w:t>
      </w:r>
      <w:r w:rsidR="000C4DA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разъёма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 20 штырьками на </w:t>
      </w:r>
      <w:r w:rsidR="00726FA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штекер</w:t>
      </w:r>
      <w:r w:rsidR="00726FA0">
        <w:rPr>
          <w:rFonts w:ascii="Verdana" w:hAnsi="Verdana"/>
          <w:color w:val="333333"/>
          <w:sz w:val="18"/>
          <w:szCs w:val="18"/>
          <w:shd w:val="clear" w:color="auto" w:fill="FFFFFF"/>
        </w:rPr>
        <w:t>а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 9 и 8 штырьками. Может этот опыт будет кому-то полезен.</w:t>
      </w:r>
    </w:p>
    <w:p w:rsidR="00D82CBD" w:rsidRDefault="00D82CBD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Пришлось отрезать оба </w:t>
      </w:r>
      <w:r w:rsidR="000C4DA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разъёма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для материнской платы со старого родного блока питания и делать распайку проводов штекера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 20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</w:t>
      </w:r>
    </w:p>
    <w:p w:rsidR="00B50ED5" w:rsidRDefault="009259DD" w:rsidP="008D103E">
      <w:pPr>
        <w:rPr>
          <w:rStyle w:val="30"/>
        </w:rPr>
      </w:pPr>
      <w:r>
        <w:rPr>
          <w:rStyle w:val="30"/>
        </w:rPr>
        <w:t>Провода</w:t>
      </w:r>
      <w:r w:rsidR="00B50ED5" w:rsidRPr="00726FA0">
        <w:rPr>
          <w:rStyle w:val="30"/>
        </w:rPr>
        <w:t xml:space="preserve"> 20-штырькового штекера</w:t>
      </w:r>
      <w:r w:rsidR="00726FA0">
        <w:rPr>
          <w:rStyle w:val="30"/>
        </w:rPr>
        <w:t xml:space="preserve"> блока питания </w:t>
      </w:r>
      <w:r w:rsidR="00726FA0" w:rsidRPr="00726FA0">
        <w:rPr>
          <w:rStyle w:val="30"/>
        </w:rPr>
        <w:t>ATX</w:t>
      </w:r>
    </w:p>
    <w:p w:rsidR="00292449" w:rsidRDefault="00292449" w:rsidP="00292449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Рис. </w:t>
      </w:r>
      <w:proofErr w:type="spellStart"/>
      <w:r>
        <w:rPr>
          <w:shd w:val="clear" w:color="auto" w:fill="FFFFFF"/>
          <w:lang w:val="en-US"/>
        </w:rPr>
        <w:t>pinoid</w:t>
      </w:r>
      <w:proofErr w:type="spellEnd"/>
      <w:r w:rsidR="00534683" w:rsidRPr="00534683">
        <w:rPr>
          <w:shd w:val="clear" w:color="auto" w:fill="FFFFFF"/>
        </w:rPr>
        <w:t xml:space="preserve">  </w:t>
      </w:r>
      <w:r w:rsidR="009259DD">
        <w:rPr>
          <w:shd w:val="clear" w:color="auto" w:fill="FFFFFF"/>
        </w:rPr>
        <w:t>Провода</w:t>
      </w:r>
      <w:r w:rsidR="00534683" w:rsidRPr="00534683">
        <w:rPr>
          <w:shd w:val="clear" w:color="auto" w:fill="FFFFFF"/>
        </w:rPr>
        <w:t xml:space="preserve"> </w:t>
      </w:r>
      <w:r w:rsidR="00534683" w:rsidRPr="00534683">
        <w:rPr>
          <w:shd w:val="clear" w:color="auto" w:fill="FFFFFF"/>
          <w:lang w:val="en-US"/>
        </w:rPr>
        <w:t>ATX</w:t>
      </w:r>
      <w:r w:rsidR="00534683" w:rsidRPr="00534683">
        <w:rPr>
          <w:shd w:val="clear" w:color="auto" w:fill="FFFFFF"/>
        </w:rPr>
        <w:t xml:space="preserve"> 20 </w:t>
      </w:r>
      <w:r w:rsidR="00534683" w:rsidRPr="00534683">
        <w:rPr>
          <w:shd w:val="clear" w:color="auto" w:fill="FFFFFF"/>
          <w:lang w:val="en-US"/>
        </w:rPr>
        <w:t>pin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1687"/>
        <w:gridCol w:w="4943"/>
        <w:gridCol w:w="2953"/>
      </w:tblGrid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B9C9FE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B9C9FE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B9C9FE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B9C9FE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003399"/>
                <w:sz w:val="18"/>
                <w:szCs w:val="18"/>
                <w:lang w:eastAsia="ru-RU"/>
              </w:rPr>
              <w:t>Цвет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Оранжевый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Оранжевый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Красный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Красный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PowerGood</w:t>
            </w:r>
            <w:proofErr w:type="spellEnd"/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Сигнал готовности источника питания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Серый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 xml:space="preserve">+5v </w:t>
            </w:r>
            <w:proofErr w:type="spellStart"/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Standby</w:t>
            </w:r>
            <w:proofErr w:type="spellEnd"/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 xml:space="preserve">+5v, Подпитка в режиме </w:t>
            </w:r>
            <w:proofErr w:type="spellStart"/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Standby</w:t>
            </w:r>
            <w:proofErr w:type="spellEnd"/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Лиловый (Пурпурный)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+12v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+12v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Жёлтый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+3,3v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Оранжевый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-12v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-12v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Синий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proofErr w:type="spellStart"/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Power</w:t>
            </w:r>
            <w:proofErr w:type="spellEnd"/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 xml:space="preserve"> ON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Запуск блока питания.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Зелёный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GND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(Корпус, Общий провод)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Чёрный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-5v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-5v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Белый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Красный</w:t>
            </w:r>
          </w:p>
        </w:tc>
      </w:tr>
      <w:tr w:rsidR="00534683" w:rsidRPr="00DA3EE8" w:rsidTr="00E53162"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+5v</w:t>
            </w:r>
          </w:p>
        </w:tc>
        <w:tc>
          <w:tcPr>
            <w:tcW w:w="0" w:type="auto"/>
            <w:tcBorders>
              <w:top w:val="single" w:sz="4" w:space="0" w:color="AABCFE"/>
              <w:left w:val="single" w:sz="4" w:space="0" w:color="AABCFE"/>
              <w:bottom w:val="single" w:sz="4" w:space="0" w:color="AABCFE"/>
              <w:right w:val="single" w:sz="4" w:space="0" w:color="AABCFE"/>
            </w:tcBorders>
            <w:shd w:val="clear" w:color="auto" w:fill="E8EDFF"/>
            <w:tcMar>
              <w:top w:w="125" w:type="dxa"/>
              <w:left w:w="63" w:type="dxa"/>
              <w:bottom w:w="125" w:type="dxa"/>
              <w:right w:w="63" w:type="dxa"/>
            </w:tcMar>
            <w:vAlign w:val="center"/>
            <w:hideMark/>
          </w:tcPr>
          <w:p w:rsidR="00534683" w:rsidRPr="00DA3EE8" w:rsidRDefault="00534683" w:rsidP="00E53162">
            <w:pPr>
              <w:spacing w:after="0" w:line="240" w:lineRule="auto"/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</w:pPr>
            <w:r w:rsidRPr="00DA3EE8">
              <w:rPr>
                <w:rFonts w:ascii="Arial" w:eastAsia="Times New Roman" w:hAnsi="Arial" w:cs="Arial"/>
                <w:color w:val="666699"/>
                <w:sz w:val="18"/>
                <w:szCs w:val="18"/>
                <w:lang w:eastAsia="ru-RU"/>
              </w:rPr>
              <w:t>Красный</w:t>
            </w:r>
          </w:p>
        </w:tc>
      </w:tr>
    </w:tbl>
    <w:p w:rsidR="00534683" w:rsidRDefault="00534683" w:rsidP="00292449">
      <w:pPr>
        <w:rPr>
          <w:shd w:val="clear" w:color="auto" w:fill="FFFFFF"/>
        </w:rPr>
      </w:pPr>
    </w:p>
    <w:p w:rsidR="00B50ED5" w:rsidRDefault="00534683" w:rsidP="00534683">
      <w:pPr>
        <w:pStyle w:val="3"/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spellStart"/>
      <w:r>
        <w:rPr>
          <w:shd w:val="clear" w:color="auto" w:fill="FFFFFF"/>
        </w:rPr>
        <w:t>Распиновка</w:t>
      </w:r>
      <w:proofErr w:type="spellEnd"/>
      <w:r>
        <w:rPr>
          <w:shd w:val="clear" w:color="auto" w:fill="FFFFFF"/>
        </w:rPr>
        <w:t xml:space="preserve"> блока питания </w:t>
      </w:r>
      <w:proofErr w:type="spellStart"/>
      <w:r w:rsidRPr="00534683">
        <w:rPr>
          <w:shd w:val="clear" w:color="auto" w:fill="FFFFFF"/>
        </w:rPr>
        <w:t>Compaq</w:t>
      </w:r>
      <w:proofErr w:type="spellEnd"/>
      <w:r w:rsidRPr="00534683">
        <w:rPr>
          <w:shd w:val="clear" w:color="auto" w:fill="FFFFFF"/>
        </w:rPr>
        <w:t xml:space="preserve"> 214978-001 PS-5151-4C</w:t>
      </w:r>
    </w:p>
    <w:p w:rsidR="00B50ED5" w:rsidRDefault="00B50ED5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Удалось найти в интернете на странице</w:t>
      </w:r>
      <w:r w:rsidR="00746692" w:rsidRPr="00746692">
        <w:t xml:space="preserve"> </w:t>
      </w:r>
      <w:proofErr w:type="spellStart"/>
      <w:r w:rsidR="00746692" w:rsidRPr="00746692">
        <w:rPr>
          <w:rFonts w:ascii="Verdana" w:hAnsi="Verdana"/>
          <w:color w:val="FF0000"/>
          <w:sz w:val="18"/>
          <w:szCs w:val="18"/>
          <w:shd w:val="clear" w:color="auto" w:fill="FFFFFF"/>
        </w:rPr>
        <w:t>my-element</w:t>
      </w:r>
      <w:proofErr w:type="spellEnd"/>
      <w:r w:rsidR="00746692" w:rsidRPr="00746692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hyperlink r:id="rId5" w:history="1">
        <w:r w:rsidRPr="00C77D3C">
          <w:rPr>
            <w:rStyle w:val="a5"/>
            <w:rFonts w:ascii="Verdana" w:hAnsi="Verdana"/>
            <w:sz w:val="18"/>
            <w:szCs w:val="18"/>
            <w:shd w:val="clear" w:color="auto" w:fill="FFFFFF"/>
          </w:rPr>
          <w:t>http://matthieu.benoit.free.fr/Compaq_Prolinea575.htm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цвета и напряжения проводов родных штекеров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>1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>2</w:t>
      </w:r>
      <w:r w:rsidR="00063AF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от блока питания </w:t>
      </w:r>
      <w:r w:rsidR="00063AFC" w:rsidRPr="00063AFC">
        <w:rPr>
          <w:rFonts w:ascii="Verdana" w:hAnsi="Verdana"/>
          <w:color w:val="333333"/>
          <w:sz w:val="18"/>
          <w:szCs w:val="18"/>
          <w:shd w:val="clear" w:color="auto" w:fill="FFFFFF"/>
        </w:rPr>
        <w:t>Series PS2021 Model PS-5151-4C</w:t>
      </w:r>
      <w:r w:rsidR="00063AFC">
        <w:rPr>
          <w:rFonts w:ascii="Verdana" w:hAnsi="Verdana"/>
          <w:color w:val="333333"/>
          <w:sz w:val="18"/>
          <w:szCs w:val="18"/>
          <w:shd w:val="clear" w:color="auto" w:fill="FFFFFF"/>
        </w:rPr>
        <w:t>: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Блок питания серии PS2021 </w:t>
      </w:r>
      <w:proofErr w:type="spell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214978-001 заменить запасным номером </w:t>
      </w:r>
      <w:proofErr w:type="spell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: 214969-001 PS-5151-4C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534683" w:rsidRPr="00534683" w:rsidRDefault="00534683" w:rsidP="00534683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Разъем P1: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оранжевый +12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синий -12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коричневый/белый: -5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черный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заземление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черный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заземление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черный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заземление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красный +5В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красный +5В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красный +5В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</w:p>
    <w:p w:rsidR="00534683" w:rsidRPr="00534683" w:rsidRDefault="00534683" w:rsidP="00534683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разъем Р</w:t>
      </w:r>
      <w:proofErr w:type="gramStart"/>
      <w:r w:rsidRPr="00534683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2</w:t>
      </w:r>
      <w:proofErr w:type="gramEnd"/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желтый GND???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черный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заземление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lastRenderedPageBreak/>
        <w:t>черный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заземление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серый +3,4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коричневый +3,4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коричневый +3,4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534683" w:rsidRPr="00534683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белый +3,4</w:t>
      </w:r>
      <w:proofErr w:type="gramStart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</w:t>
      </w:r>
      <w:proofErr w:type="gramEnd"/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постоянного тока</w:t>
      </w:r>
    </w:p>
    <w:p w:rsidR="0070209C" w:rsidRDefault="00534683" w:rsidP="00534683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534683">
        <w:rPr>
          <w:rFonts w:ascii="Verdana" w:hAnsi="Verdana"/>
          <w:color w:val="333333"/>
          <w:sz w:val="18"/>
          <w:szCs w:val="18"/>
          <w:shd w:val="clear" w:color="auto" w:fill="FFFFFF"/>
        </w:rPr>
        <w:t>фиолетовый GND???</w:t>
      </w:r>
    </w:p>
    <w:p w:rsidR="00E11FA2" w:rsidRDefault="00E11FA2" w:rsidP="00E11FA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Перепайка проводов штекеров блоков питания</w:t>
      </w:r>
    </w:p>
    <w:p w:rsidR="0070209C" w:rsidRDefault="00E11FA2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Пере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пайку выполнил согласно этих распиновок. Провод серый штекера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20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«Сигнал готовности источника питания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PowerGood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>» +5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соединил на штекере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="0070209C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2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="0070209C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70209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 серым проводом +3,4В.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На штекере 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="001932AB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2 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="001932AB"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остались пустые: желтый 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GND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 фиолетовый 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GND</w:t>
      </w:r>
      <w:r w:rsidR="001932AB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Неизвестно чем их заменить. </w:t>
      </w:r>
    </w:p>
    <w:p w:rsidR="00826C14" w:rsidRDefault="001932AB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Блок </w:t>
      </w:r>
      <w:r w:rsidR="000C4DA7">
        <w:rPr>
          <w:rFonts w:ascii="Verdana" w:hAnsi="Verdana"/>
          <w:color w:val="333333"/>
          <w:sz w:val="18"/>
          <w:szCs w:val="18"/>
          <w:shd w:val="clear" w:color="auto" w:fill="FFFFFF"/>
        </w:rPr>
        <w:t>электро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питания </w:t>
      </w:r>
      <w:r w:rsid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соединил в компьютере </w:t>
      </w:r>
      <w:r w:rsidR="009C7F30" w:rsidRPr="009C7F30">
        <w:rPr>
          <w:rFonts w:ascii="Verdana" w:hAnsi="Verdana"/>
          <w:color w:val="333333"/>
          <w:sz w:val="18"/>
          <w:szCs w:val="18"/>
          <w:shd w:val="clear" w:color="auto" w:fill="FFFFFF"/>
        </w:rPr>
        <w:t>Compaq Deskpro 466</w:t>
      </w:r>
      <w:r w:rsidR="009C7F30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 материнской платой </w:t>
      </w:r>
      <w:r w:rsidR="004B7C91" w:rsidRPr="004B7C91">
        <w:rPr>
          <w:rFonts w:ascii="Verdana" w:hAnsi="Verdana"/>
          <w:color w:val="333333"/>
          <w:sz w:val="18"/>
          <w:szCs w:val="18"/>
          <w:shd w:val="clear" w:color="auto" w:fill="FFFFFF"/>
        </w:rPr>
        <w:t>(c) 1994 Compaq</w:t>
      </w:r>
      <w:r w:rsidR="004B7C9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и потребителями: 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жесткий диск 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Quantum</w:t>
      </w:r>
      <w:r w:rsidR="006B5F1F" w:rsidRPr="004B7C9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3.5 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SERIES</w:t>
      </w:r>
      <w:r w:rsidR="006B5F1F" w:rsidRPr="006B5F1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630 Мб, </w:t>
      </w:r>
      <w:r w:rsidR="004B7C9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дисковод </w:t>
      </w:r>
      <w:r w:rsidR="004B7C91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DVD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флоппи-дисковод. После нажатия кнопки включения компьютера он не запустился. Но вентилятор блока питания работал, дисковод правильно реагировал на нажатия кнопки, в момент включения на клавиатуре загорелись индикаторы. </w:t>
      </w:r>
      <w:r w:rsidR="00841601">
        <w:rPr>
          <w:rFonts w:ascii="Verdana" w:hAnsi="Verdana"/>
          <w:color w:val="333333"/>
          <w:sz w:val="18"/>
          <w:szCs w:val="18"/>
          <w:shd w:val="clear" w:color="auto" w:fill="FFFFFF"/>
        </w:rPr>
        <w:t>А н</w:t>
      </w:r>
      <w:r w:rsidR="006B5F1F">
        <w:rPr>
          <w:rFonts w:ascii="Verdana" w:hAnsi="Verdana"/>
          <w:color w:val="333333"/>
          <w:sz w:val="18"/>
          <w:szCs w:val="18"/>
          <w:shd w:val="clear" w:color="auto" w:fill="FFFFFF"/>
        </w:rPr>
        <w:t>а мониторе не было никаких сигналов, словно он выключен от электросети.</w:t>
      </w:r>
    </w:p>
    <w:p w:rsidR="001932AB" w:rsidRDefault="00826C14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Теперь думаю, что мне следовало бы </w:t>
      </w:r>
      <w:r w:rsidR="0084160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сначала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последовательно отключить, удалить </w:t>
      </w:r>
      <w:r w:rsidRPr="00826C14">
        <w:rPr>
          <w:rFonts w:ascii="Verdana" w:hAnsi="Verdana"/>
          <w:color w:val="333333"/>
          <w:sz w:val="18"/>
          <w:szCs w:val="18"/>
          <w:shd w:val="clear" w:color="auto" w:fill="FFFFFF"/>
        </w:rPr>
        <w:t>дополнительное оборудование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которое я установил в качестве апгрейда.</w:t>
      </w:r>
      <w:r w:rsidR="004B7C9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84160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Был установлен записывающий </w:t>
      </w:r>
      <w:r w:rsidR="00841601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DVD</w:t>
      </w:r>
      <w:r w:rsidR="0084160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-дисковод, заведомо исправный, т.к. предварительно удалось его проверить. Были дополнительно установлены непроверенные и неизвестного качества 2 модуля памяти </w:t>
      </w:r>
      <w:r w:rsidR="00C2613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по 32 Мб. Была установлена непроверенная звуковая карта </w:t>
      </w:r>
      <w:proofErr w:type="spellStart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>Creative</w:t>
      </w:r>
      <w:proofErr w:type="spellEnd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>Sound</w:t>
      </w:r>
      <w:proofErr w:type="spellEnd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>Blaster</w:t>
      </w:r>
      <w:proofErr w:type="spellEnd"/>
      <w:r w:rsidR="00C2613F"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16 (CT2230)</w:t>
      </w:r>
      <w:r w:rsidR="00C2613F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C2613F" w:rsidRDefault="00C2613F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Я пошел другим путем, как теперь стало известно, ошибочным. На блоке питания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провод Подпитки в режиме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Standy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+5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v</w:t>
      </w:r>
      <w:r w:rsidRPr="00C2613F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цвета лиловый (пурпурный), а фактически такой же </w:t>
      </w:r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фиолетовый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как и на разъеме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</w:t>
      </w:r>
      <w:r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8</w:t>
      </w:r>
      <w:r w:rsidRPr="00EC03C7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pin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соединил с этим 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неизвестным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проводом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. У них цвет совершено одинаковый. На плате 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ATX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в </w:t>
      </w:r>
      <w:proofErr w:type="gramStart"/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>месте</w:t>
      </w:r>
      <w:proofErr w:type="gramEnd"/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где он был припаян было обозначение 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USB</w:t>
      </w:r>
      <w:r w:rsidR="009F6305">
        <w:rPr>
          <w:rFonts w:ascii="Verdana" w:hAnsi="Verdana"/>
          <w:color w:val="333333"/>
          <w:sz w:val="18"/>
          <w:szCs w:val="18"/>
          <w:shd w:val="clear" w:color="auto" w:fill="FFFFFF"/>
        </w:rPr>
        <w:t>. В момент включения вилки в розетку в розетке произошел щелчок и тусклая вспышка. Блок питания перестал работать.</w:t>
      </w:r>
    </w:p>
    <w:p w:rsidR="00790ED5" w:rsidRDefault="00292579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Компьютер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Compaq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>Deskpro</w:t>
      </w:r>
      <w:proofErr w:type="spellEnd"/>
      <w:r w:rsidR="00B06239" w:rsidRP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466</w:t>
      </w:r>
      <w:r w:rsidR="00B06239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опять отправился в гараж до лучших времён.</w:t>
      </w:r>
    </w:p>
    <w:p w:rsidR="00292579" w:rsidRPr="00292579" w:rsidRDefault="00292579" w:rsidP="00292579"/>
    <w:p w:rsidR="00063AFC" w:rsidRPr="000C4DA7" w:rsidRDefault="00063AFC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063AFC" w:rsidRPr="000C4DA7" w:rsidRDefault="00063AFC" w:rsidP="008D103E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</w:p>
    <w:p w:rsidR="00C21ECD" w:rsidRPr="000C4DA7" w:rsidRDefault="00C21ECD" w:rsidP="008D103E"/>
    <w:sectPr w:rsidR="00C21ECD" w:rsidRPr="000C4DA7" w:rsidSect="00C21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70DB4"/>
    <w:rsid w:val="00015A34"/>
    <w:rsid w:val="000429B6"/>
    <w:rsid w:val="00061920"/>
    <w:rsid w:val="00063AFC"/>
    <w:rsid w:val="00070DB4"/>
    <w:rsid w:val="000C4DA7"/>
    <w:rsid w:val="001243B7"/>
    <w:rsid w:val="001932AB"/>
    <w:rsid w:val="00256FF7"/>
    <w:rsid w:val="00292449"/>
    <w:rsid w:val="00292579"/>
    <w:rsid w:val="0030727D"/>
    <w:rsid w:val="00327700"/>
    <w:rsid w:val="0034328B"/>
    <w:rsid w:val="0037753C"/>
    <w:rsid w:val="0041214D"/>
    <w:rsid w:val="004420A4"/>
    <w:rsid w:val="004B7C91"/>
    <w:rsid w:val="00530477"/>
    <w:rsid w:val="00534683"/>
    <w:rsid w:val="005A1D71"/>
    <w:rsid w:val="006857E6"/>
    <w:rsid w:val="006B5F1F"/>
    <w:rsid w:val="006F4AC7"/>
    <w:rsid w:val="0070209C"/>
    <w:rsid w:val="00726FA0"/>
    <w:rsid w:val="00746692"/>
    <w:rsid w:val="00790ED5"/>
    <w:rsid w:val="00826C14"/>
    <w:rsid w:val="00841601"/>
    <w:rsid w:val="008B2CD9"/>
    <w:rsid w:val="008D103E"/>
    <w:rsid w:val="0092200D"/>
    <w:rsid w:val="009259DD"/>
    <w:rsid w:val="009C7F30"/>
    <w:rsid w:val="009F6305"/>
    <w:rsid w:val="00A067A5"/>
    <w:rsid w:val="00AA4AB4"/>
    <w:rsid w:val="00AC5473"/>
    <w:rsid w:val="00B06239"/>
    <w:rsid w:val="00B50ED5"/>
    <w:rsid w:val="00C21ECD"/>
    <w:rsid w:val="00C2613F"/>
    <w:rsid w:val="00C9240A"/>
    <w:rsid w:val="00CA5596"/>
    <w:rsid w:val="00CD32B3"/>
    <w:rsid w:val="00D21D12"/>
    <w:rsid w:val="00D67E05"/>
    <w:rsid w:val="00D82CBD"/>
    <w:rsid w:val="00DB5393"/>
    <w:rsid w:val="00E11FA2"/>
    <w:rsid w:val="00EC03C7"/>
    <w:rsid w:val="00ED3FBE"/>
    <w:rsid w:val="00FE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920"/>
  </w:style>
  <w:style w:type="paragraph" w:styleId="1">
    <w:name w:val="heading 1"/>
    <w:basedOn w:val="a"/>
    <w:next w:val="a"/>
    <w:link w:val="10"/>
    <w:uiPriority w:val="9"/>
    <w:qFormat/>
    <w:rsid w:val="00070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6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2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EC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50ED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92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6FA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thieu.benoit.free.fr/Compaq_Prolinea575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Валерий Егоров</cp:lastModifiedBy>
  <cp:revision>19</cp:revision>
  <dcterms:created xsi:type="dcterms:W3CDTF">2022-08-29T09:47:00Z</dcterms:created>
  <dcterms:modified xsi:type="dcterms:W3CDTF">2022-11-06T14:00:00Z</dcterms:modified>
</cp:coreProperties>
</file>