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CBE5" w14:textId="77777777" w:rsidR="00BE0595" w:rsidRDefault="00466357">
      <w:pPr>
        <w:spacing w:before="400"/>
        <w:jc w:val="center"/>
      </w:pPr>
      <w:r>
        <w:rPr>
          <w:b/>
          <w:bCs/>
          <w:color w:val="1F3864"/>
          <w:sz w:val="28"/>
          <w:szCs w:val="28"/>
        </w:rPr>
        <w:t>FIAP</w:t>
      </w:r>
    </w:p>
    <w:p w14:paraId="18BDCBE6" w14:textId="77777777" w:rsidR="00BE0595" w:rsidRDefault="00466357">
      <w:pPr>
        <w:spacing w:after="800"/>
        <w:jc w:val="center"/>
      </w:pPr>
      <w:r>
        <w:rPr>
          <w:color w:val="595959"/>
        </w:rPr>
        <w:t>Data Visualization, Business Analytics &amp; AI Integration</w:t>
      </w:r>
    </w:p>
    <w:p w14:paraId="18BDCBE7" w14:textId="4D9D8D44" w:rsidR="00BE0595" w:rsidRDefault="00466357">
      <w:pPr>
        <w:spacing w:before="800" w:after="100"/>
        <w:jc w:val="center"/>
      </w:pPr>
      <w:r>
        <w:rPr>
          <w:b/>
          <w:bCs/>
          <w:color w:val="1F3864"/>
          <w:sz w:val="40"/>
          <w:szCs w:val="40"/>
        </w:rPr>
        <w:t>Challenge Locaweb</w:t>
      </w:r>
      <w:r w:rsidR="00121B6F">
        <w:rPr>
          <w:b/>
          <w:bCs/>
          <w:color w:val="1F3864"/>
          <w:sz w:val="40"/>
          <w:szCs w:val="40"/>
        </w:rPr>
        <w:t xml:space="preserve"> AIOps</w:t>
      </w:r>
    </w:p>
    <w:p w14:paraId="18BDCBE8" w14:textId="77777777" w:rsidR="00BE0595" w:rsidRDefault="00466357">
      <w:pPr>
        <w:spacing w:after="600"/>
        <w:jc w:val="center"/>
      </w:pPr>
      <w:r>
        <w:rPr>
          <w:b/>
          <w:bCs/>
          <w:color w:val="2E74B5"/>
          <w:sz w:val="30"/>
          <w:szCs w:val="30"/>
        </w:rPr>
        <w:t>Sprint 3</w:t>
      </w:r>
    </w:p>
    <w:p w14:paraId="18BDCBE9" w14:textId="77777777" w:rsidR="00BE0595" w:rsidRDefault="00466357">
      <w:pPr>
        <w:spacing w:before="400" w:after="100"/>
        <w:jc w:val="center"/>
      </w:pPr>
      <w:r>
        <w:rPr>
          <w:b/>
          <w:bCs/>
          <w:sz w:val="34"/>
          <w:szCs w:val="34"/>
        </w:rPr>
        <w:t>FlowGuard</w:t>
      </w:r>
    </w:p>
    <w:p w14:paraId="18BDCBEA" w14:textId="77777777" w:rsidR="00BE0595" w:rsidRDefault="00466357">
      <w:pPr>
        <w:spacing w:after="800"/>
        <w:jc w:val="center"/>
      </w:pPr>
      <w:r>
        <w:rPr>
          <w:i/>
          <w:iCs/>
          <w:sz w:val="24"/>
          <w:szCs w:val="24"/>
        </w:rPr>
        <w:t>Grupo FiveSight</w:t>
      </w:r>
    </w:p>
    <w:p w14:paraId="18BDCBEB" w14:textId="77777777" w:rsidR="00BE0595" w:rsidRDefault="00466357">
      <w:pPr>
        <w:spacing w:before="1200" w:after="100"/>
        <w:jc w:val="center"/>
      </w:pPr>
      <w:r>
        <w:rPr>
          <w:b/>
          <w:bCs/>
        </w:rPr>
        <w:t>Integrantes:</w:t>
      </w:r>
    </w:p>
    <w:p w14:paraId="18BDCBEC" w14:textId="75CAC9DE" w:rsidR="00BE0595" w:rsidRPr="008E42B5" w:rsidRDefault="00FC71F3">
      <w:pPr>
        <w:jc w:val="center"/>
      </w:pPr>
      <w:r w:rsidRPr="008E42B5">
        <w:t>Arthur</w:t>
      </w:r>
      <w:r w:rsidR="00E7389F" w:rsidRPr="008E42B5">
        <w:t xml:space="preserve"> Nish</w:t>
      </w:r>
      <w:r w:rsidR="00E03351" w:rsidRPr="008E42B5">
        <w:t>iyama – RM5662</w:t>
      </w:r>
      <w:r w:rsidR="0097005B">
        <w:t>7</w:t>
      </w:r>
      <w:r w:rsidR="00E03351" w:rsidRPr="008E42B5">
        <w:t>4</w:t>
      </w:r>
    </w:p>
    <w:p w14:paraId="3C4EF585" w14:textId="768F1B8E" w:rsidR="00E03351" w:rsidRPr="008E42B5" w:rsidRDefault="00E03351">
      <w:pPr>
        <w:jc w:val="center"/>
      </w:pPr>
      <w:r w:rsidRPr="008E42B5">
        <w:t>Diogo</w:t>
      </w:r>
      <w:r w:rsidR="00FC4F25" w:rsidRPr="008E42B5">
        <w:t xml:space="preserve"> Santana do Nascimento – RM561541</w:t>
      </w:r>
    </w:p>
    <w:p w14:paraId="6B41057F" w14:textId="33659B21" w:rsidR="00FC4F25" w:rsidRPr="008E42B5" w:rsidRDefault="00A72C9C">
      <w:pPr>
        <w:jc w:val="center"/>
      </w:pPr>
      <w:r w:rsidRPr="008E42B5">
        <w:t>Isabella Simão Mattar – RM562481</w:t>
      </w:r>
    </w:p>
    <w:p w14:paraId="18BDCBEF" w14:textId="53AD25B0" w:rsidR="00BE0595" w:rsidRPr="008E42B5" w:rsidRDefault="00A72C9C" w:rsidP="00597C89">
      <w:pPr>
        <w:jc w:val="center"/>
      </w:pPr>
      <w:r w:rsidRPr="008E42B5">
        <w:t>Karen Akemi de Oliveira – RM562733</w:t>
      </w:r>
    </w:p>
    <w:p w14:paraId="18BDCBF0" w14:textId="77777777" w:rsidR="00BE0595" w:rsidRDefault="00466357">
      <w:pPr>
        <w:spacing w:before="1600"/>
        <w:jc w:val="center"/>
      </w:pPr>
      <w:r>
        <w:t>São Paulo</w:t>
      </w:r>
    </w:p>
    <w:p w14:paraId="18BDCBF1" w14:textId="77777777" w:rsidR="00BE0595" w:rsidRDefault="00466357">
      <w:pPr>
        <w:jc w:val="center"/>
      </w:pPr>
      <w:r>
        <w:t>2026</w:t>
      </w:r>
    </w:p>
    <w:p w14:paraId="18BDCBF2" w14:textId="77777777" w:rsidR="00BE0595" w:rsidRDefault="00466357">
      <w:r>
        <w:br w:type="page"/>
      </w:r>
    </w:p>
    <w:p w14:paraId="18BDCBF3" w14:textId="77777777" w:rsidR="00BE0595" w:rsidRDefault="00BE0595">
      <w:pPr>
        <w:sectPr w:rsidR="00BE059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8BDCBF7" w14:textId="69477C60" w:rsidR="00BE0595" w:rsidRDefault="00466357" w:rsidP="00D65C65">
      <w:pPr>
        <w:pStyle w:val="Ttulo1"/>
      </w:pPr>
      <w:bookmarkStart w:id="0" w:name="_Toc238067544"/>
      <w:bookmarkStart w:id="1" w:name="_Toc238946507"/>
      <w:r>
        <w:lastRenderedPageBreak/>
        <w:t>Sumário</w:t>
      </w:r>
      <w:bookmarkEnd w:id="0"/>
      <w:bookmarkEnd w:id="1"/>
    </w:p>
    <w:sdt>
      <w:sdtPr>
        <w:id w:val="-1825730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2839AC" w14:textId="13EF32B1" w:rsidR="008E42B5" w:rsidRDefault="00D65C6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fldChar w:fldCharType="separate"/>
          </w:r>
          <w:hyperlink w:anchor="_Toc238946507" w:history="1">
            <w:r w:rsidR="008E42B5" w:rsidRPr="008609D2">
              <w:rPr>
                <w:rStyle w:val="Hyperlink"/>
                <w:noProof/>
              </w:rPr>
              <w:t>Sumário</w:t>
            </w:r>
            <w:r w:rsidR="008E42B5">
              <w:rPr>
                <w:noProof/>
                <w:webHidden/>
              </w:rPr>
              <w:tab/>
            </w:r>
            <w:r w:rsidR="008E42B5">
              <w:rPr>
                <w:noProof/>
                <w:webHidden/>
              </w:rPr>
              <w:fldChar w:fldCharType="begin"/>
            </w:r>
            <w:r w:rsidR="008E42B5">
              <w:rPr>
                <w:noProof/>
                <w:webHidden/>
              </w:rPr>
              <w:instrText xml:space="preserve"> PAGEREF _Toc238946507 \h </w:instrText>
            </w:r>
            <w:r w:rsidR="008E42B5">
              <w:rPr>
                <w:noProof/>
                <w:webHidden/>
              </w:rPr>
            </w:r>
            <w:r w:rsidR="008E42B5">
              <w:rPr>
                <w:noProof/>
                <w:webHidden/>
              </w:rPr>
              <w:fldChar w:fldCharType="separate"/>
            </w:r>
            <w:r w:rsidR="008E42B5">
              <w:rPr>
                <w:noProof/>
                <w:webHidden/>
              </w:rPr>
              <w:t>2</w:t>
            </w:r>
            <w:r w:rsidR="008E42B5">
              <w:rPr>
                <w:noProof/>
                <w:webHidden/>
              </w:rPr>
              <w:fldChar w:fldCharType="end"/>
            </w:r>
          </w:hyperlink>
        </w:p>
        <w:p w14:paraId="1039575A" w14:textId="5989E497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08" w:history="1">
            <w:r w:rsidRPr="008609D2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8BF56" w14:textId="7411D990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09" w:history="1">
            <w:r w:rsidRPr="008609D2">
              <w:rPr>
                <w:rStyle w:val="Hyperlink"/>
                <w:noProof/>
              </w:rPr>
              <w:t>2. 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FD17" w14:textId="4D73AF0D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0" w:history="1">
            <w:r w:rsidRPr="008609D2">
              <w:rPr>
                <w:rStyle w:val="Hyperlink"/>
                <w:noProof/>
              </w:rPr>
              <w:t>3. Preparação e Tratamento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A33B4" w14:textId="68B5814C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1" w:history="1">
            <w:r w:rsidRPr="008609D2">
              <w:rPr>
                <w:rStyle w:val="Hyperlink"/>
                <w:noProof/>
              </w:rPr>
              <w:t>3.1 Importação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2A6D" w14:textId="02C7B34C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2" w:history="1">
            <w:r w:rsidRPr="008609D2">
              <w:rPr>
                <w:rStyle w:val="Hyperlink"/>
                <w:noProof/>
              </w:rPr>
              <w:t>3.2 Verificação dos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6D9E" w14:textId="308C0AE9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3" w:history="1">
            <w:r w:rsidRPr="008609D2">
              <w:rPr>
                <w:rStyle w:val="Hyperlink"/>
                <w:noProof/>
              </w:rPr>
              <w:t>3.3 Tratamento de valores ausentes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24F6" w14:textId="079FEEFA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4" w:history="1">
            <w:r w:rsidRPr="008609D2">
              <w:rPr>
                <w:rStyle w:val="Hyperlink"/>
                <w:noProof/>
              </w:rPr>
              <w:t>3.4 Tratamento de inconsistências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ADAF" w14:textId="0EA782DD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5" w:history="1">
            <w:r w:rsidRPr="008609D2">
              <w:rPr>
                <w:rStyle w:val="Hyperlink"/>
                <w:noProof/>
              </w:rPr>
              <w:t>3.5 Criação de novas 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1F4E0" w14:textId="73DDD7CB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6" w:history="1">
            <w:r w:rsidRPr="008609D2">
              <w:rPr>
                <w:rStyle w:val="Hyperlink"/>
                <w:noProof/>
              </w:rPr>
              <w:t>3.6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4191" w14:textId="1191BA57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7" w:history="1">
            <w:r w:rsidRPr="008609D2">
              <w:rPr>
                <w:rStyle w:val="Hyperlink"/>
                <w:noProof/>
              </w:rPr>
              <w:t>4. Análise Exploratória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2BD3" w14:textId="6F9EAE7E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8" w:history="1">
            <w:r w:rsidRPr="008609D2">
              <w:rPr>
                <w:rStyle w:val="Hyperlink"/>
                <w:noProof/>
              </w:rPr>
              <w:t>4.1 Visão geral da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9F075" w14:textId="4C9B8A9B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19" w:history="1">
            <w:r w:rsidRPr="008609D2">
              <w:rPr>
                <w:rStyle w:val="Hyperlink"/>
                <w:noProof/>
              </w:rPr>
              <w:t>4.2 Distribuição dos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71D3" w14:textId="428EC855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0" w:history="1">
            <w:r w:rsidRPr="008609D2">
              <w:rPr>
                <w:rStyle w:val="Hyperlink"/>
                <w:noProof/>
              </w:rPr>
              <w:t>4.3 Análise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D83C4" w14:textId="21A65F99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1" w:history="1">
            <w:r w:rsidRPr="008609D2">
              <w:rPr>
                <w:rStyle w:val="Hyperlink"/>
                <w:noProof/>
              </w:rPr>
              <w:t>4.4 Análise por prioridade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4E76B" w14:textId="648A0403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2" w:history="1">
            <w:r w:rsidRPr="008609D2">
              <w:rPr>
                <w:rStyle w:val="Hyperlink"/>
                <w:noProof/>
              </w:rPr>
              <w:t>4.5 Análise por produto/categoria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EDF65" w14:textId="3C6CDBCD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3" w:history="1">
            <w:r w:rsidRPr="008609D2">
              <w:rPr>
                <w:rStyle w:val="Hyperlink"/>
                <w:noProof/>
              </w:rPr>
              <w:t>4.6 Análise por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F258" w14:textId="268342F1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4" w:history="1">
            <w:r w:rsidRPr="008609D2">
              <w:rPr>
                <w:rStyle w:val="Hyperlink"/>
                <w:noProof/>
              </w:rPr>
              <w:t>4.7 Análise de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9ECD8" w14:textId="2186AFF4" w:rsidR="008E42B5" w:rsidRDefault="008E42B5">
          <w:pPr>
            <w:pStyle w:val="Sumrio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5" w:history="1">
            <w:r w:rsidRPr="008609D2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609D2">
              <w:rPr>
                <w:rStyle w:val="Hyperlink"/>
                <w:noProof/>
              </w:rPr>
              <w:t>4.8 Análise dos indicadores de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FC9E6" w14:textId="214051B5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6" w:history="1">
            <w:r w:rsidRPr="008609D2">
              <w:rPr>
                <w:rStyle w:val="Hyperlink"/>
                <w:noProof/>
              </w:rPr>
              <w:t>4.9 Qualidade e limitações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5591" w14:textId="6B1187BD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7" w:history="1">
            <w:r w:rsidRPr="008609D2">
              <w:rPr>
                <w:rStyle w:val="Hyperlink"/>
                <w:noProof/>
              </w:rPr>
              <w:t>5. Definição dos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93C9" w14:textId="519D6924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8" w:history="1">
            <w:r w:rsidRPr="008609D2">
              <w:rPr>
                <w:rStyle w:val="Hyperlink"/>
                <w:noProof/>
              </w:rPr>
              <w:t>5.0 Operacional x Gestão: por que essa distinção importa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E6674" w14:textId="48E19761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29" w:history="1">
            <w:r w:rsidRPr="008609D2">
              <w:rPr>
                <w:rStyle w:val="Hyperlink"/>
                <w:noProof/>
              </w:rPr>
              <w:t>5.1 Total de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4136" w14:textId="721BC4C6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0" w:history="1">
            <w:r w:rsidRPr="008609D2">
              <w:rPr>
                <w:rStyle w:val="Hyperlink"/>
                <w:noProof/>
              </w:rPr>
              <w:t>5.2 Incidentes Elegíveis ao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A2FD" w14:textId="1FA18C72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1" w:history="1">
            <w:r w:rsidRPr="008609D2">
              <w:rPr>
                <w:rStyle w:val="Hyperlink"/>
                <w:noProof/>
              </w:rPr>
              <w:t>Métrica de apoio ao cálculo: KPIs Violados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88CBE" w14:textId="7397FA4F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2" w:history="1">
            <w:r w:rsidRPr="008609D2">
              <w:rPr>
                <w:rStyle w:val="Hyperlink"/>
                <w:noProof/>
              </w:rPr>
              <w:t>5.3 Taxa de Violação do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1DC8" w14:textId="1EBED904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3" w:history="1">
            <w:r w:rsidRPr="008609D2">
              <w:rPr>
                <w:rStyle w:val="Hyperlink"/>
                <w:noProof/>
              </w:rPr>
              <w:t>5.4 Mediana da Duração dos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4372" w14:textId="5A548DE1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4" w:history="1">
            <w:r w:rsidRPr="008609D2">
              <w:rPr>
                <w:rStyle w:val="Hyperlink"/>
                <w:noProof/>
              </w:rPr>
              <w:t>5.5 Taxa de Crescimento da Demanda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B3252" w14:textId="73C116E3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5" w:history="1">
            <w:r w:rsidRPr="008609D2">
              <w:rPr>
                <w:rStyle w:val="Hyperlink"/>
                <w:noProof/>
              </w:rPr>
              <w:t>5.6 Distribuição por Severidade (Prioridade)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65FB1" w14:textId="4DA5C325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6" w:history="1">
            <w:r w:rsidRPr="008609D2">
              <w:rPr>
                <w:rStyle w:val="Hyperlink"/>
                <w:noProof/>
              </w:rPr>
              <w:t>5.7 Distribuição por Categoria/Serviço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ABFE" w14:textId="03C9E656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7" w:history="1">
            <w:r w:rsidRPr="008609D2">
              <w:rPr>
                <w:rStyle w:val="Hyperlink"/>
                <w:noProof/>
              </w:rPr>
              <w:t>5.8 Cobertura das Famílias de KPIs de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00CF0" w14:textId="6302AD64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8" w:history="1">
            <w:r w:rsidRPr="008609D2">
              <w:rPr>
                <w:rStyle w:val="Hyperlink"/>
                <w:noProof/>
              </w:rPr>
              <w:t>6. Dashboard FlowGuard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D1F9D" w14:textId="6416A4A1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39" w:history="1">
            <w:r w:rsidRPr="008609D2">
              <w:rPr>
                <w:rStyle w:val="Hyperlink"/>
                <w:noProof/>
              </w:rPr>
              <w:t>6.1 KPIs (indicadores centrais)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2AE5E" w14:textId="21C34D0C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0" w:history="1">
            <w:r w:rsidRPr="008609D2">
              <w:rPr>
                <w:rStyle w:val="Hyperlink"/>
                <w:noProof/>
              </w:rPr>
              <w:t>6.2 KPI e Risco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0804" w14:textId="3C72B04B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1" w:history="1">
            <w:r w:rsidRPr="008609D2">
              <w:rPr>
                <w:rStyle w:val="Hyperlink"/>
                <w:noProof/>
              </w:rPr>
              <w:t>6.3 Análise Operacional e Predição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8604F" w14:textId="76C6B937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2" w:history="1">
            <w:r w:rsidRPr="008609D2">
              <w:rPr>
                <w:rStyle w:val="Hyperlink"/>
                <w:noProof/>
              </w:rPr>
              <w:t>6.4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B541" w14:textId="171A7527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3" w:history="1">
            <w:r w:rsidRPr="008609D2">
              <w:rPr>
                <w:rStyle w:val="Hyperlink"/>
                <w:noProof/>
              </w:rPr>
              <w:t>6.5 Análise Anual (foco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5084" w14:textId="2BE9A23D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4" w:history="1">
            <w:r w:rsidRPr="008609D2">
              <w:rPr>
                <w:rStyle w:val="Hyperlink"/>
                <w:noProof/>
              </w:rPr>
              <w:t>6.6 Páginas Ocultas (apoio à construção)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7985" w14:textId="0A77CD4C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5" w:history="1">
            <w:r w:rsidRPr="008609D2">
              <w:rPr>
                <w:rStyle w:val="Hyperlink"/>
                <w:noProof/>
              </w:rPr>
              <w:t>6.7 Visão Geral (Painel Executivo)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0CB8B" w14:textId="239DADED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6" w:history="1">
            <w:r w:rsidRPr="008609D2">
              <w:rPr>
                <w:rStyle w:val="Hyperlink"/>
                <w:noProof/>
              </w:rPr>
              <w:t>6.8 Priorização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7760" w14:textId="17819BA1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7" w:history="1">
            <w:r w:rsidRPr="008609D2">
              <w:rPr>
                <w:rStyle w:val="Hyperlink"/>
                <w:noProof/>
              </w:rPr>
              <w:t>7. Interatividade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97C95" w14:textId="370DBB4D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8" w:history="1">
            <w:r w:rsidRPr="008609D2">
              <w:rPr>
                <w:rStyle w:val="Hyperlink"/>
                <w:noProof/>
              </w:rPr>
              <w:t>8. Principais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50BF" w14:textId="72D30FC4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49" w:history="1">
            <w:r w:rsidRPr="008609D2">
              <w:rPr>
                <w:rStyle w:val="Hyperlink"/>
                <w:noProof/>
              </w:rPr>
              <w:t>8.1 Apenas parte do volume total é elegível aos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8974" w14:textId="6ED7AC5A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0" w:history="1">
            <w:r w:rsidRPr="008609D2">
              <w:rPr>
                <w:rStyle w:val="Hyperlink"/>
                <w:noProof/>
              </w:rPr>
              <w:t>8.2 A taxa global de violação é inferior a 1%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8E75B" w14:textId="76CD89C8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1" w:history="1">
            <w:r w:rsidRPr="008609D2">
              <w:rPr>
                <w:rStyle w:val="Hyperlink"/>
                <w:noProof/>
              </w:rPr>
              <w:t>8.3 A duração apresenta forte ruptura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5B16" w14:textId="134B3ED9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2" w:history="1">
            <w:r w:rsidRPr="008609D2">
              <w:rPr>
                <w:rStyle w:val="Hyperlink"/>
                <w:noProof/>
              </w:rPr>
              <w:t>8.4 Os incidentes elegíveis estão fortemente concentrados em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2A57" w14:textId="2595CF89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3" w:history="1">
            <w:r w:rsidRPr="008609D2">
              <w:rPr>
                <w:rStyle w:val="Hyperlink"/>
                <w:noProof/>
              </w:rPr>
              <w:t>8.5 A ausência de classificação limita rankings de produto 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3329" w14:textId="77DAD951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4" w:history="1">
            <w:r w:rsidRPr="008609D2">
              <w:rPr>
                <w:rStyle w:val="Hyperlink"/>
                <w:noProof/>
              </w:rPr>
              <w:t>9. Integração com o FlowGuard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3606C" w14:textId="3F68ADEE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5" w:history="1">
            <w:r w:rsidRPr="008609D2">
              <w:rPr>
                <w:rStyle w:val="Hyperlink"/>
                <w:noProof/>
              </w:rPr>
              <w:t>Monitorar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CF60" w14:textId="522DD0AC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6" w:history="1">
            <w:r w:rsidRPr="008609D2">
              <w:rPr>
                <w:rStyle w:val="Hyperlink"/>
                <w:noProof/>
              </w:rPr>
              <w:t>Prever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5BEF" w14:textId="3C4A133F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7" w:history="1">
            <w:r w:rsidRPr="008609D2">
              <w:rPr>
                <w:rStyle w:val="Hyperlink"/>
                <w:noProof/>
              </w:rPr>
              <w:t>Priorizar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9B34C" w14:textId="756792FD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8" w:history="1">
            <w:r w:rsidRPr="008609D2">
              <w:rPr>
                <w:rStyle w:val="Hyperlink"/>
                <w:noProof/>
              </w:rPr>
              <w:t>Agir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2B6C" w14:textId="1C59D16A" w:rsidR="008E42B5" w:rsidRDefault="008E42B5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59" w:history="1">
            <w:r w:rsidRPr="008609D2">
              <w:rPr>
                <w:rStyle w:val="Hyperlink"/>
                <w:noProof/>
              </w:rPr>
              <w:t>Análise obtida da matéria de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ACA4" w14:textId="37140639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60" w:history="1">
            <w:r w:rsidRPr="008609D2">
              <w:rPr>
                <w:rStyle w:val="Hyperlink"/>
                <w:noProof/>
              </w:rPr>
              <w:t>10. Limitações da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20AB0" w14:textId="1F86FACD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61" w:history="1">
            <w:r w:rsidRPr="008609D2">
              <w:rPr>
                <w:rStyle w:val="Hyperlink"/>
                <w:noProof/>
              </w:rPr>
              <w:t>11.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C632" w14:textId="5C7621A4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62" w:history="1">
            <w:r w:rsidRPr="008609D2">
              <w:rPr>
                <w:rStyle w:val="Hyperlink"/>
                <w:noProof/>
              </w:rPr>
              <w:t>12. Link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5836" w14:textId="77CED0B3" w:rsidR="008E42B5" w:rsidRDefault="008E42B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46563" w:history="1">
            <w:r w:rsidRPr="008609D2">
              <w:rPr>
                <w:rStyle w:val="Hyperlink"/>
                <w:noProof/>
              </w:rPr>
              <w:t>13.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5356E" w14:textId="30F4E69C" w:rsidR="00D65C65" w:rsidRDefault="00D65C65">
          <w:r>
            <w:rPr>
              <w:b/>
              <w:bCs/>
            </w:rPr>
            <w:fldChar w:fldCharType="end"/>
          </w:r>
        </w:p>
      </w:sdtContent>
    </w:sdt>
    <w:p w14:paraId="18BDCBF8" w14:textId="77777777" w:rsidR="00BE0595" w:rsidRDefault="00466357">
      <w:r>
        <w:br w:type="page"/>
      </w:r>
    </w:p>
    <w:p w14:paraId="18BDCBF9" w14:textId="77777777" w:rsidR="00BE0595" w:rsidRDefault="00466357">
      <w:pPr>
        <w:pStyle w:val="Ttulo1"/>
      </w:pPr>
      <w:bookmarkStart w:id="2" w:name="_Toc238946508"/>
      <w:r>
        <w:lastRenderedPageBreak/>
        <w:t>1. Introdução</w:t>
      </w:r>
      <w:bookmarkEnd w:id="2"/>
    </w:p>
    <w:p w14:paraId="18BDCBFF" w14:textId="6E7A2C8D" w:rsidR="00BE0595" w:rsidRDefault="00466357">
      <w:pPr>
        <w:spacing w:before="100" w:after="100"/>
        <w:rPr>
          <w:b/>
          <w:bCs/>
          <w:i/>
          <w:iCs/>
          <w:color w:val="C0392B"/>
        </w:rPr>
      </w:pPr>
      <w:r>
        <w:rPr>
          <w:b/>
          <w:bCs/>
        </w:rPr>
        <w:t xml:space="preserve">Problema analisado: </w:t>
      </w:r>
    </w:p>
    <w:p w14:paraId="731306EA" w14:textId="67D7CF2B" w:rsidR="00DD78A2" w:rsidRDefault="004B51D1" w:rsidP="004B51D1">
      <w:pPr>
        <w:spacing w:before="100" w:after="100"/>
        <w:jc w:val="both"/>
      </w:pPr>
      <w:r w:rsidRPr="004B51D1">
        <w:t>A Locaweb opera com um grande volume de incidentes e dados históricos relacionados à sua infraestrutura e aos seus serviços. O desafio consiste em utilizar esses dados de forma estratégica para identificar padrões e tendências, antecipar possíveis aumentos no volume de incidentes e apoiar a identificação de riscos operacionais, reduzindo a dependência de uma atuação predominantemente reativa.</w:t>
      </w:r>
    </w:p>
    <w:p w14:paraId="3E3E7BB5" w14:textId="77777777" w:rsidR="00DD78A2" w:rsidRPr="00DD78A2" w:rsidRDefault="00DD78A2">
      <w:pPr>
        <w:spacing w:before="100" w:after="100"/>
      </w:pPr>
    </w:p>
    <w:p w14:paraId="18BDCC00" w14:textId="3BFD3B64" w:rsidR="00BE0595" w:rsidRDefault="00466357">
      <w:pPr>
        <w:spacing w:before="100" w:after="100"/>
        <w:rPr>
          <w:b/>
          <w:bCs/>
          <w:i/>
          <w:iCs/>
          <w:color w:val="C0392B"/>
        </w:rPr>
      </w:pPr>
      <w:r>
        <w:rPr>
          <w:b/>
          <w:bCs/>
        </w:rPr>
        <w:t xml:space="preserve">Objetivo da solução: </w:t>
      </w:r>
    </w:p>
    <w:p w14:paraId="2698F3DA" w14:textId="0509EA03" w:rsidR="00DD78A2" w:rsidRDefault="004B51D1" w:rsidP="004B51D1">
      <w:pPr>
        <w:spacing w:before="100" w:after="100"/>
        <w:jc w:val="both"/>
      </w:pPr>
      <w:r w:rsidRPr="004B51D1">
        <w:t>O FlowGuard tem como objetivo apoiar a evolução de uma gestão reativa para uma abordagem mais preditiva, utilizando dados históricos de incidentes para monitorar a operação, identificar padrões e recorrências, prever volumes futuros e auxiliar na priorização de riscos e na tomada de decisão operacional.</w:t>
      </w:r>
    </w:p>
    <w:p w14:paraId="2409D235" w14:textId="77777777" w:rsidR="00DD78A2" w:rsidRPr="00DD78A2" w:rsidRDefault="00DD78A2">
      <w:pPr>
        <w:spacing w:before="100" w:after="100"/>
      </w:pPr>
    </w:p>
    <w:p w14:paraId="18BDCC01" w14:textId="7E1CA18C" w:rsidR="00BE0595" w:rsidRDefault="00466357">
      <w:pPr>
        <w:spacing w:before="100" w:after="100"/>
        <w:rPr>
          <w:b/>
          <w:bCs/>
          <w:i/>
          <w:iCs/>
          <w:color w:val="C0392B"/>
        </w:rPr>
      </w:pPr>
      <w:r>
        <w:rPr>
          <w:b/>
          <w:bCs/>
        </w:rPr>
        <w:t xml:space="preserve">Papel da análise de dados e do dashboard no FlowGuard: </w:t>
      </w:r>
    </w:p>
    <w:p w14:paraId="465A427F" w14:textId="1D2EC8F6" w:rsidR="00DD78A2" w:rsidRPr="004B51D1" w:rsidRDefault="004B51D1" w:rsidP="004B51D1">
      <w:pPr>
        <w:spacing w:before="100" w:after="100"/>
        <w:jc w:val="both"/>
      </w:pPr>
      <w:r w:rsidRPr="004B51D1">
        <w:t>A análise de dados é responsável por transformar os registros históricos de incidentes em informações relevantes para compreender o comportamento da operação, identificar padrões, tendências e pontos de atenção. O dashboard atua como a principal interface de visualização do FlowGuard, consolidando indicadores operacionais, análises históricas e, posteriormente, resultados preditivos, permitindo que gestores e equipes acompanhem a operação e identifiquem situações que demandam maior atenção.</w:t>
      </w:r>
    </w:p>
    <w:p w14:paraId="4D80061B" w14:textId="77777777" w:rsidR="00DD78A2" w:rsidRPr="00DD78A2" w:rsidRDefault="00DD78A2">
      <w:pPr>
        <w:spacing w:before="100" w:after="100"/>
      </w:pPr>
    </w:p>
    <w:p w14:paraId="18BDCC02" w14:textId="43771885" w:rsidR="00BE0595" w:rsidRDefault="00466357">
      <w:pPr>
        <w:spacing w:before="100" w:after="100"/>
        <w:rPr>
          <w:b/>
          <w:bCs/>
          <w:i/>
          <w:iCs/>
          <w:color w:val="C0392B"/>
        </w:rPr>
      </w:pPr>
      <w:r>
        <w:rPr>
          <w:b/>
          <w:bCs/>
        </w:rPr>
        <w:t xml:space="preserve">Objetivo específico desta entrega (Data Visualization): </w:t>
      </w:r>
    </w:p>
    <w:p w14:paraId="1E8F6B1B" w14:textId="1D2EDDEB" w:rsidR="00DD78A2" w:rsidRPr="00DD78A2" w:rsidRDefault="00FA3B07" w:rsidP="004B51D1">
      <w:pPr>
        <w:spacing w:before="100" w:after="100"/>
        <w:jc w:val="both"/>
      </w:pPr>
      <w:r w:rsidRPr="00FA3B07">
        <w:t>Esta entrega tem como objetivo desenvolver um dashboard interativo que represente visualmente os principais indicadores e comportamentos identificados nos dados de incidentes, utilizando KPIs, filtros e visualizações adequadas ao contexto do FlowGuard. Além da construção do dashboard, busca-se identificar e comunicar padrões, tendências, anomalias e pontos críticos que possam apoiar decisões e possíveis ações estratégicas para a Locaweb.</w:t>
      </w:r>
    </w:p>
    <w:p w14:paraId="18BDCC03" w14:textId="77777777" w:rsidR="00BE0595" w:rsidRDefault="00466357">
      <w:r>
        <w:br w:type="page"/>
      </w:r>
    </w:p>
    <w:p w14:paraId="18BDCC05" w14:textId="37C9E0C2" w:rsidR="00BE0595" w:rsidRDefault="00466357" w:rsidP="00835775">
      <w:pPr>
        <w:pStyle w:val="Ttulo1"/>
      </w:pPr>
      <w:bookmarkStart w:id="3" w:name="_Toc238946509"/>
      <w:r>
        <w:lastRenderedPageBreak/>
        <w:t>2. Fontes de Dados</w:t>
      </w:r>
      <w:bookmarkEnd w:id="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0595" w14:paraId="18BDCC0A" w14:textId="77777777" w:rsidTr="00835775">
        <w:trPr>
          <w:tblHeader/>
        </w:trPr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6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7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8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2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9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Utilização na análise</w:t>
            </w:r>
          </w:p>
        </w:tc>
      </w:tr>
      <w:tr w:rsidR="00BE0595" w14:paraId="18BDCC0F" w14:textId="77777777" w:rsidTr="00835775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B" w14:textId="345031BF" w:rsidR="00BE0595" w:rsidRDefault="006A640F">
            <w:r>
              <w:t>Dataset de Incidentes Locaweb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C" w14:textId="10F7F466" w:rsidR="00BE0595" w:rsidRPr="006A640F" w:rsidRDefault="006A640F" w:rsidP="006A640F">
            <w:pPr>
              <w:jc w:val="center"/>
            </w:pPr>
            <w:r w:rsidRPr="006A640F">
              <w:rPr>
                <w:sz w:val="20"/>
                <w:szCs w:val="20"/>
              </w:rPr>
              <w:t>Base histórica contendo registros de incidentes operacionais, com informações sobre prioridade, produto, categoria, equipe responsável, datas, duração, status e indicadores relacionados aos KPIs.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D" w14:textId="0CF08FE1" w:rsidR="00BE0595" w:rsidRPr="00064A21" w:rsidRDefault="00064A21" w:rsidP="00064A21">
            <w:pPr>
              <w:jc w:val="center"/>
            </w:pPr>
            <w:r>
              <w:rPr>
                <w:sz w:val="20"/>
                <w:szCs w:val="20"/>
              </w:rPr>
              <w:t>XLSX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E" w14:textId="53D2DF20" w:rsidR="00BE0595" w:rsidRPr="00064A21" w:rsidRDefault="00064A21" w:rsidP="00064A21">
            <w:pPr>
              <w:jc w:val="center"/>
            </w:pPr>
            <w:r w:rsidRPr="00064A21">
              <w:rPr>
                <w:sz w:val="20"/>
                <w:szCs w:val="20"/>
              </w:rPr>
              <w:t>Fonte principal utilizada para análise exploratória, cálculo dos indicadores, identificação de padrões e construção das visualizações no Power BI.</w:t>
            </w:r>
          </w:p>
        </w:tc>
      </w:tr>
      <w:tr w:rsidR="00BE0595" w:rsidRPr="00064A21" w14:paraId="18BDCC14" w14:textId="77777777" w:rsidTr="00835775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10" w14:textId="289A856A" w:rsidR="00BE0595" w:rsidRPr="00064A21" w:rsidRDefault="007557D2">
            <w:r w:rsidRPr="007557D2">
              <w:rPr>
                <w:sz w:val="20"/>
                <w:szCs w:val="20"/>
              </w:rPr>
              <w:t>Dicionário de Dados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11" w14:textId="30DAD952" w:rsidR="00BE0595" w:rsidRPr="00064A21" w:rsidRDefault="007557D2" w:rsidP="007557D2">
            <w:pPr>
              <w:jc w:val="center"/>
            </w:pPr>
            <w:r w:rsidRPr="007557D2">
              <w:rPr>
                <w:sz w:val="20"/>
                <w:szCs w:val="20"/>
              </w:rPr>
              <w:t>Documento fornecido pela Locaweb contendo a descrição dos campos do dataset, tipos de dados, formatos, obrigatoriedade, valores possíveis e regras relacionadas aos KPIs.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12" w14:textId="1DFA2051" w:rsidR="00BE0595" w:rsidRPr="00064A21" w:rsidRDefault="007557D2" w:rsidP="007557D2">
            <w:pPr>
              <w:jc w:val="center"/>
            </w:pPr>
            <w:r>
              <w:rPr>
                <w:sz w:val="20"/>
                <w:szCs w:val="20"/>
              </w:rPr>
              <w:t>DOCX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13" w14:textId="14C0CA24" w:rsidR="00BE0595" w:rsidRPr="00064A21" w:rsidRDefault="00835775" w:rsidP="00835775">
            <w:pPr>
              <w:jc w:val="center"/>
            </w:pPr>
            <w:r w:rsidRPr="00835775">
              <w:rPr>
                <w:sz w:val="20"/>
                <w:szCs w:val="20"/>
              </w:rPr>
              <w:t>Utilizado para interpretar corretamente as variáveis, validar regras de negócio e orientar o tratamento e a construção dos indicadores.</w:t>
            </w:r>
          </w:p>
        </w:tc>
      </w:tr>
    </w:tbl>
    <w:p w14:paraId="18BDCC1A" w14:textId="77777777" w:rsidR="00BE0595" w:rsidRDefault="00BE0595">
      <w:pPr>
        <w:spacing w:after="200"/>
      </w:pPr>
    </w:p>
    <w:p w14:paraId="7A053ED8" w14:textId="77777777" w:rsidR="00DE1244" w:rsidRDefault="00466357" w:rsidP="00593D4E">
      <w:pPr>
        <w:spacing w:before="100" w:after="100"/>
        <w:jc w:val="both"/>
      </w:pPr>
      <w:r>
        <w:rPr>
          <w:b/>
          <w:bCs/>
        </w:rPr>
        <w:t xml:space="preserve">Dataset fornecido pela Locaweb: </w:t>
      </w:r>
      <w:r w:rsidR="00DE1244" w:rsidRPr="00DE1244">
        <w:t>LW-DATASET, contendo registros históricos de incidentes relacionados à operação da Locaweb.</w:t>
      </w:r>
    </w:p>
    <w:p w14:paraId="18BDCC23" w14:textId="55C0B2EE" w:rsidR="00BE0595" w:rsidRDefault="00466357" w:rsidP="00593D4E">
      <w:pPr>
        <w:spacing w:before="100" w:after="100"/>
        <w:jc w:val="both"/>
      </w:pPr>
      <w:r>
        <w:rPr>
          <w:b/>
          <w:bCs/>
        </w:rPr>
        <w:t xml:space="preserve">Período dos dados: </w:t>
      </w:r>
      <w:r w:rsidR="00DE1244" w:rsidRPr="00DE1244">
        <w:t>02/01/2023 a 31/12/2025.</w:t>
      </w:r>
    </w:p>
    <w:p w14:paraId="18BDCC24" w14:textId="60464F21" w:rsidR="00BE0595" w:rsidRDefault="00466357" w:rsidP="00593D4E">
      <w:pPr>
        <w:spacing w:before="100" w:after="100"/>
        <w:jc w:val="both"/>
      </w:pPr>
      <w:r>
        <w:rPr>
          <w:b/>
          <w:bCs/>
        </w:rPr>
        <w:t xml:space="preserve">Quantidade de registros: </w:t>
      </w:r>
      <w:r w:rsidR="00AE343D" w:rsidRPr="00AE343D">
        <w:t>122.543 registros de incidentes.</w:t>
      </w:r>
    </w:p>
    <w:p w14:paraId="50D5B6DC" w14:textId="77777777" w:rsidR="00AE343D" w:rsidRDefault="00466357" w:rsidP="00593D4E">
      <w:pPr>
        <w:spacing w:before="100" w:after="100"/>
        <w:jc w:val="both"/>
      </w:pPr>
      <w:r>
        <w:rPr>
          <w:b/>
          <w:bCs/>
        </w:rPr>
        <w:t xml:space="preserve">Quantidade de campos: </w:t>
      </w:r>
      <w:r w:rsidR="00AE343D" w:rsidRPr="00AE343D">
        <w:t>19 campos.</w:t>
      </w:r>
    </w:p>
    <w:p w14:paraId="18BDCC26" w14:textId="17C6E373" w:rsidR="00BE0595" w:rsidRDefault="00466357" w:rsidP="00593D4E">
      <w:pPr>
        <w:spacing w:before="100" w:after="100"/>
        <w:jc w:val="both"/>
      </w:pPr>
      <w:r>
        <w:rPr>
          <w:b/>
          <w:bCs/>
        </w:rPr>
        <w:t xml:space="preserve">Principais variáveis utilizadas: </w:t>
      </w:r>
      <w:r w:rsidR="00AE343D" w:rsidRPr="00AE343D">
        <w:t>Número do incidente, Prioridade, Produto, Categoria, Subcategoria, Grupo designado, Item de configuração, Aberto, Resolvido, Encerrado, Duração, Código de fechamento, Solução, Aberto por, Incidente Pai, Status, Entrou para KPI? e KPI Violado?. A seleção das variáveis utilizadas em cada análise considera sua relevância para o monitoramento do volume de incidentes, desempenho operacional, análise temporal e acompanhamento dos KPIs.</w:t>
      </w:r>
    </w:p>
    <w:p w14:paraId="18BDCC2B" w14:textId="722A0362" w:rsidR="00BE0595" w:rsidRDefault="00466357" w:rsidP="00593D4E">
      <w:pPr>
        <w:spacing w:before="100" w:after="100"/>
        <w:jc w:val="both"/>
      </w:pPr>
      <w:r>
        <w:rPr>
          <w:b/>
          <w:bCs/>
        </w:rPr>
        <w:t xml:space="preserve">Outras fontes eventualmente utilizadas: </w:t>
      </w:r>
      <w:r w:rsidR="00247A69" w:rsidRPr="00247A69">
        <w:t>Dicionário de Dados – Challenge AIOps v2, utilizado como referência para interpretação dos campos e aplicação das regras de negócio fornecidas pela Locaweb.</w:t>
      </w:r>
      <w:r>
        <w:br w:type="page"/>
      </w:r>
    </w:p>
    <w:p w14:paraId="18BDCC2C" w14:textId="77777777" w:rsidR="00BE0595" w:rsidRDefault="00466357">
      <w:pPr>
        <w:pStyle w:val="Ttulo1"/>
      </w:pPr>
      <w:bookmarkStart w:id="4" w:name="_Toc238946510"/>
      <w:r>
        <w:lastRenderedPageBreak/>
        <w:t>3. Preparação e Tratamento dos Dados</w:t>
      </w:r>
      <w:bookmarkEnd w:id="4"/>
    </w:p>
    <w:p w14:paraId="18BDCC2E" w14:textId="77777777" w:rsidR="00BE0595" w:rsidRDefault="00466357">
      <w:pPr>
        <w:pStyle w:val="Ttulo2"/>
      </w:pPr>
      <w:bookmarkStart w:id="5" w:name="_Toc238946511"/>
      <w:r>
        <w:t>3.1 Importação dos dados</w:t>
      </w:r>
      <w:bookmarkEnd w:id="5"/>
    </w:p>
    <w:p w14:paraId="18BDCC30" w14:textId="11872E76" w:rsidR="00BE0595" w:rsidRPr="00151E6D" w:rsidRDefault="00151E6D">
      <w:pPr>
        <w:spacing w:before="60" w:after="200"/>
      </w:pPr>
      <w:r>
        <w:t>O dataset LW-DATASET foi importado para o Power BI a partir do arquivo XLSX fornecido pela Locaweb. A preparação inicial foi realizada no Power Query, onde foram verificados os tipos de dados, a qualidade das colunas, os valores ausentes e possíveis inconsistências antes da aplicação das transformações e do carregamento para o modelo.</w:t>
      </w:r>
    </w:p>
    <w:p w14:paraId="18BDCC31" w14:textId="77777777" w:rsidR="00BE0595" w:rsidRDefault="00466357">
      <w:pPr>
        <w:pStyle w:val="Ttulo2"/>
      </w:pPr>
      <w:bookmarkStart w:id="6" w:name="_Toc238946512"/>
      <w:r>
        <w:t>3.2 Verificação dos tipos de dados</w:t>
      </w:r>
      <w:bookmarkEnd w:id="6"/>
    </w:p>
    <w:p w14:paraId="13BB287D" w14:textId="6B4A2661" w:rsidR="00BE4060" w:rsidRPr="00151E6D" w:rsidRDefault="00151E6D" w:rsidP="006A5703">
      <w:pPr>
        <w:spacing w:before="60" w:after="200"/>
        <w:jc w:val="both"/>
      </w:pPr>
      <w:r>
        <w:t xml:space="preserve"> </w:t>
      </w:r>
      <w:r w:rsidR="006A5703" w:rsidRPr="006A5703">
        <w:t>Após a importação, os tipos das variáveis foram verificados de acordo com sua natureza e com as definições apresentadas no dicionário de dados. Os campos Aberto, Resolvido e Encerrado foram mantidos no formato Data/Hora, enquanto Duração foi mantido como campo numérico. As demais variáveis categóricas utilizadas nas análises foram tratadas como texto. Após a verificação e aplicação dos tipos, não foram identificados erros de conversão nas colunas.</w:t>
      </w:r>
    </w:p>
    <w:p w14:paraId="18BDCC34" w14:textId="77777777" w:rsidR="00BE0595" w:rsidRDefault="00466357">
      <w:pPr>
        <w:pStyle w:val="Ttulo2"/>
      </w:pPr>
      <w:bookmarkStart w:id="7" w:name="_Toc238946513"/>
      <w:r>
        <w:t>3.3 Tratamento de valores ausentes</w:t>
      </w:r>
      <w:bookmarkEnd w:id="7"/>
    </w:p>
    <w:p w14:paraId="18BDCC36" w14:textId="38FCA55C" w:rsidR="00BE0595" w:rsidRDefault="00151E6D" w:rsidP="002D10B2">
      <w:pPr>
        <w:spacing w:before="60" w:after="200"/>
        <w:jc w:val="both"/>
      </w:pPr>
      <w:r>
        <w:t xml:space="preserve"> </w:t>
      </w:r>
      <w:r w:rsidR="002D10B2" w:rsidRPr="002D10B2">
        <w:t>Durante a análise de qualidade foram identificados valores ausentes principalmente nos campos Resolvido, Solução e Incidente Pai, que apresentam aproximadamente 99% de valores vazios. Conforme o dicionário de dados, esses campos não possuem preenchimento obrigatório, portanto sua ausência não foi considerada automaticamente como erro e os registros correspondentes foram preservados.</w:t>
      </w:r>
    </w:p>
    <w:p w14:paraId="7E4B184C" w14:textId="09BB024C" w:rsidR="00BE4060" w:rsidRPr="00151E6D" w:rsidRDefault="002D10B2" w:rsidP="002D10B2">
      <w:pPr>
        <w:spacing w:before="60" w:after="200"/>
        <w:jc w:val="both"/>
      </w:pPr>
      <w:r w:rsidRPr="002D10B2">
        <w:t>Nos campos categóricos utilizados nas visualizações, como Produto, Categoria e Subcategoria, os valores ausentes foram substituídos por "Não informado", evitando a exclusão dos respectivos incidentes da análise</w:t>
      </w:r>
    </w:p>
    <w:p w14:paraId="18BDCC37" w14:textId="77777777" w:rsidR="00BE0595" w:rsidRDefault="00466357">
      <w:pPr>
        <w:pStyle w:val="Ttulo2"/>
      </w:pPr>
      <w:bookmarkStart w:id="8" w:name="_Toc238946514"/>
      <w:r>
        <w:t>3.4 Tratamento de inconsistências</w:t>
      </w:r>
      <w:bookmarkEnd w:id="8"/>
    </w:p>
    <w:p w14:paraId="5D4DE50D" w14:textId="77777777" w:rsidR="009317A4" w:rsidRPr="009317A4" w:rsidRDefault="00151E6D" w:rsidP="009317A4">
      <w:pPr>
        <w:spacing w:before="60" w:after="200"/>
        <w:jc w:val="both"/>
      </w:pPr>
      <w:r>
        <w:t xml:space="preserve"> </w:t>
      </w:r>
      <w:r w:rsidR="009317A4" w:rsidRPr="009317A4">
        <w:t>Durante a validação das variáveis categóricas, não foram identificados erros nos campos analisados. Entretanto, o campo KPI Violado? apresentou, além de SIM e NAO, registros classificados como N/A, valor não especificado entre as possibilidades descritas no dicionário. A análise desses registros demonstrou que todos os casos classificados como N/A possuem Entrou para KPI? = NAO. Por esse motivo, esses registros foram preservados, evitando interpretar N/A como ausência de violação.</w:t>
      </w:r>
    </w:p>
    <w:p w14:paraId="54300F80" w14:textId="25F024E1" w:rsidR="00BE4060" w:rsidRPr="00151E6D" w:rsidRDefault="009317A4" w:rsidP="00BE4060">
      <w:pPr>
        <w:spacing w:before="60" w:after="200"/>
        <w:jc w:val="both"/>
      </w:pPr>
      <w:r w:rsidRPr="009317A4">
        <w:t>Também foi observada diferença na cobertura temporal dos campos de data: Aberto apresenta registros entre 02/01/2023 e 31/12/2025, enquanto os valores preenchidos de Resolvido estão concentrados entre 27/12/2024 e 30/12/2025 e Encerrado entre 01/01/2025 e 30/12/2025. Essa característica será considerada durante as análises temporais para evitar interpretações inadequadas.</w:t>
      </w:r>
    </w:p>
    <w:p w14:paraId="18BDCC3A" w14:textId="77777777" w:rsidR="00BE0595" w:rsidRDefault="00466357">
      <w:pPr>
        <w:pStyle w:val="Ttulo2"/>
      </w:pPr>
      <w:bookmarkStart w:id="9" w:name="_Toc238946515"/>
      <w:r>
        <w:t>3.5 Criação de novas variáveis</w:t>
      </w:r>
      <w:bookmarkEnd w:id="9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0"/>
      </w:tblGrid>
      <w:tr w:rsidR="00BE0595" w14:paraId="18BDCC3F" w14:textId="77777777">
        <w:trPr>
          <w:tblHeader/>
        </w:trPr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3C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Variável criada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3D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Regra/cálculo</w:t>
            </w:r>
          </w:p>
        </w:tc>
        <w:tc>
          <w:tcPr>
            <w:tcW w:w="31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3E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BE0595" w:rsidRPr="005678C5" w14:paraId="18BDCC43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CE600" w14:textId="77777777" w:rsidR="00DA398E" w:rsidRDefault="00466357">
            <w:r>
              <w:t>Data Abertura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06A9D" w14:textId="77777777" w:rsidR="00DA398E" w:rsidRDefault="00466357">
            <w:r>
              <w:t>Extração apenas da data do campo Aberto, removendo o componente de horário.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6CFFD" w14:textId="77777777" w:rsidR="00DA398E" w:rsidRDefault="00466357">
            <w:r>
              <w:t>Permitir o relacionamento da base de incidentes com a tabela Calendário e viabilizar análises temporais.</w:t>
            </w:r>
          </w:p>
        </w:tc>
      </w:tr>
      <w:tr w:rsidR="00BE0595" w:rsidRPr="005678C5" w14:paraId="18BDCC47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1DA2" w14:textId="77777777" w:rsidR="00DA398E" w:rsidRDefault="00466357">
            <w:r>
              <w:t>Calendário: Ano, Mês, Número do Mês e Ano-Mês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D275" w14:textId="77777777" w:rsidR="00DA398E" w:rsidRDefault="00466357">
            <w:r>
              <w:t>Variáveis derivadas da coluna Date da tabela Calendário por funções DAX de ano, mês e formatação temporal.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769F" w14:textId="77777777" w:rsidR="00DA398E" w:rsidRDefault="00466357">
            <w:r>
              <w:t>Permitir agrupamentos, filtros e ordenação cronológica das análises por diferentes níveis de tempo.</w:t>
            </w:r>
          </w:p>
        </w:tc>
      </w:tr>
      <w:tr w:rsidR="00BE0595" w:rsidRPr="005678C5" w14:paraId="18BDCC4B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47A5D" w14:textId="77777777" w:rsidR="00DA398E" w:rsidRDefault="00466357">
            <w:r>
              <w:t>Calendário: Dia da Semana e Número do Dia da Semana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425D" w14:textId="77777777" w:rsidR="00DA398E" w:rsidRDefault="00466357">
            <w:r>
              <w:t>Dia da semana derivado da data; numeração de 1 a 7 utilizada para ordenação.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9B7F0" w14:textId="77777777" w:rsidR="00DA398E" w:rsidRDefault="00466357">
            <w:r>
              <w:t xml:space="preserve">Apoiar análises por dia da semana e garantir a </w:t>
            </w:r>
            <w:r>
              <w:lastRenderedPageBreak/>
              <w:t>apresentação dos dias em ordem cronológica.</w:t>
            </w:r>
          </w:p>
        </w:tc>
      </w:tr>
    </w:tbl>
    <w:p w14:paraId="18BDCC4C" w14:textId="77777777" w:rsidR="00BE0595" w:rsidRDefault="00BE0595">
      <w:pPr>
        <w:spacing w:after="200"/>
      </w:pPr>
    </w:p>
    <w:p w14:paraId="18BDCC4D" w14:textId="77777777" w:rsidR="00BE0595" w:rsidRDefault="00466357">
      <w:pPr>
        <w:pStyle w:val="Ttulo2"/>
      </w:pPr>
      <w:bookmarkStart w:id="10" w:name="_Toc238946516"/>
      <w:r>
        <w:t>3.6 Regras de negócio</w:t>
      </w:r>
      <w:bookmarkEnd w:id="10"/>
    </w:p>
    <w:p w14:paraId="32800C13" w14:textId="7D1F770A" w:rsidR="00E13D35" w:rsidRPr="00E13D35" w:rsidRDefault="00E13D35" w:rsidP="00593D4E">
      <w:pPr>
        <w:spacing w:before="60" w:after="200"/>
        <w:jc w:val="both"/>
      </w:pPr>
      <w:r w:rsidRPr="00E13D35">
        <w:t>A preparação dos dados e a construção dos indicadores consideraram as regras de negócio apresentadas no dicionário fornecido pela Locaweb.</w:t>
      </w:r>
    </w:p>
    <w:p w14:paraId="755C00F4" w14:textId="77777777" w:rsidR="00E13D35" w:rsidRPr="00E13D35" w:rsidRDefault="00E13D35" w:rsidP="00593D4E">
      <w:pPr>
        <w:spacing w:before="60" w:after="200"/>
        <w:jc w:val="both"/>
      </w:pPr>
      <w:r w:rsidRPr="00E13D35">
        <w:t xml:space="preserve">As prioridades são classificadas em P1 – Crítica, P2 – Alta, P3 – Média, P4 – Baixa e P5 – Muito Baixa. O documento informa que as prioridades P1, P2 e P3 são consideradas para medição dos KPIs. </w:t>
      </w:r>
    </w:p>
    <w:p w14:paraId="659D787D" w14:textId="77777777" w:rsidR="00E13D35" w:rsidRPr="00E13D35" w:rsidRDefault="00E13D35" w:rsidP="00593D4E">
      <w:pPr>
        <w:spacing w:before="60" w:after="200"/>
        <w:jc w:val="both"/>
      </w:pPr>
      <w:r w:rsidRPr="00E13D35">
        <w:t xml:space="preserve">Para o indicador relacionado ao tempo de resolução/encerramento, os limites estabelecidos são: </w:t>
      </w:r>
      <w:r w:rsidRPr="00E13D35">
        <w:rPr>
          <w:b/>
          <w:bCs/>
        </w:rPr>
        <w:t>até 4 horas para P1 – Crítica, até 4 horas para P2 – Alta, até 12 horas para P3 – Média, até 24 horas para P4 – Baixa e até 96 horas para P5 – Muito Baixa</w:t>
      </w:r>
      <w:r w:rsidRPr="00E13D35">
        <w:t xml:space="preserve">. </w:t>
      </w:r>
    </w:p>
    <w:p w14:paraId="65244A52" w14:textId="77777777" w:rsidR="00E13D35" w:rsidRPr="00E13D35" w:rsidRDefault="00E13D35" w:rsidP="00593D4E">
      <w:pPr>
        <w:spacing w:before="60" w:after="200"/>
        <w:jc w:val="both"/>
      </w:pPr>
      <w:r w:rsidRPr="00E13D35">
        <w:t xml:space="preserve">O dicionário também estabelece que incidentes com o campo Incidente Pai preenchido não entram no KPI e que incidentes cujo Status seja </w:t>
      </w:r>
      <w:r w:rsidRPr="00E13D35">
        <w:rPr>
          <w:b/>
          <w:bCs/>
        </w:rPr>
        <w:t>“Sem Intervenção”</w:t>
      </w:r>
      <w:r w:rsidRPr="00E13D35">
        <w:t xml:space="preserve"> também não são considerados. Apesar disso, o documento ressalta que esses incidentes ainda podem impactar outros incidentes considerados no KPI ou que apresentaram violação. </w:t>
      </w:r>
    </w:p>
    <w:p w14:paraId="3C440FBE" w14:textId="77777777" w:rsidR="00E13D35" w:rsidRPr="00E13D35" w:rsidRDefault="00E13D35" w:rsidP="00593D4E">
      <w:pPr>
        <w:spacing w:before="60" w:after="200"/>
        <w:jc w:val="both"/>
      </w:pPr>
      <w:r w:rsidRPr="00E13D35">
        <w:t xml:space="preserve">O campo KPI Violado? identifica os incidentes cujo tempo de solução excedeu o limite estabelecido, enquanto Entrou para KPI? informa se o incidente deve ser considerado no cálculo dos indicadores. </w:t>
      </w:r>
    </w:p>
    <w:p w14:paraId="1A1CD1B4" w14:textId="77777777" w:rsidR="00E13D35" w:rsidRPr="00E13D35" w:rsidRDefault="00E13D35" w:rsidP="00593D4E">
      <w:pPr>
        <w:spacing w:before="60" w:after="200"/>
        <w:jc w:val="both"/>
      </w:pPr>
      <w:r w:rsidRPr="00E13D35">
        <w:t xml:space="preserve">Além dessas regras, o dicionário apresenta metas anuais para </w:t>
      </w:r>
      <w:r w:rsidRPr="00E13D35">
        <w:rPr>
          <w:b/>
          <w:bCs/>
        </w:rPr>
        <w:t>quantidade de incidentes com OLA quebrado</w:t>
      </w:r>
      <w:r w:rsidRPr="00E13D35">
        <w:t xml:space="preserve"> e </w:t>
      </w:r>
      <w:r w:rsidRPr="00E13D35">
        <w:rPr>
          <w:b/>
          <w:bCs/>
        </w:rPr>
        <w:t>volume total de incidentes tratados</w:t>
      </w:r>
      <w:r w:rsidRPr="00E13D35">
        <w:t xml:space="preserve">, diferenciadas para as prioridades P2 e P3. Essas faixas serão consideradas na construção dos indicadores de desempenho quando aplicáveis ao dashboard. </w:t>
      </w:r>
    </w:p>
    <w:p w14:paraId="18BDCC4F" w14:textId="5EA5AC86" w:rsidR="00BE0595" w:rsidRPr="00151E6D" w:rsidRDefault="00BE0595">
      <w:pPr>
        <w:spacing w:before="60" w:after="200"/>
      </w:pPr>
    </w:p>
    <w:p w14:paraId="18BDCC50" w14:textId="77777777" w:rsidR="00BE0595" w:rsidRDefault="00466357">
      <w:r>
        <w:br w:type="page"/>
      </w:r>
    </w:p>
    <w:p w14:paraId="18BDCC51" w14:textId="77777777" w:rsidR="00BE0595" w:rsidRDefault="00466357">
      <w:pPr>
        <w:pStyle w:val="Ttulo1"/>
      </w:pPr>
      <w:bookmarkStart w:id="11" w:name="_Toc238946517"/>
      <w:r>
        <w:lastRenderedPageBreak/>
        <w:t>4. Análise Exploratória dos Dados</w:t>
      </w:r>
      <w:bookmarkEnd w:id="11"/>
    </w:p>
    <w:p w14:paraId="18BDCC54" w14:textId="150D8B74" w:rsidR="00BE0595" w:rsidRPr="0028348E" w:rsidRDefault="00466357" w:rsidP="00970513">
      <w:pPr>
        <w:pStyle w:val="Ttulo2"/>
      </w:pPr>
      <w:bookmarkStart w:id="12" w:name="_Toc238946518"/>
      <w:r>
        <w:t>4.1 Visão geral da base</w:t>
      </w:r>
      <w:bookmarkEnd w:id="12"/>
    </w:p>
    <w:p w14:paraId="18BDCC55" w14:textId="4C4CAC4A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 xml:space="preserve">Análise: </w:t>
      </w:r>
      <w:r>
        <w:t>A base possui 122.543 incidentes no período de 02/01/2023 a 31/12/2025. Foram calculados 25.600 incidentes elegíveis ao KPI, 248 violações e taxa global de violação de aproximadamente 0,97%. A análise foi estruturada com medidas específicas no Power BI e segmentação temporal por ano.</w:t>
      </w:r>
    </w:p>
    <w:p w14:paraId="18BDCC56" w14:textId="56ACD242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>Interpretação:</w:t>
      </w:r>
      <w:r>
        <w:t xml:space="preserve"> O volume total é significativamente superior ao conjunto efetivamente considerado nos KPIs, o que reforça a necessidade de analisar separadamente o comportamento geral dos incidentes e o subconjunto elegível às regras de desempenho.</w:t>
      </w:r>
    </w:p>
    <w:p w14:paraId="18BDCC57" w14:textId="77777777" w:rsidR="00BE0595" w:rsidRDefault="00466357">
      <w:pPr>
        <w:pStyle w:val="Ttulo2"/>
      </w:pPr>
      <w:bookmarkStart w:id="13" w:name="_Toc238946519"/>
      <w:r>
        <w:t>4.2 Distribuição dos incidentes</w:t>
      </w:r>
      <w:bookmarkEnd w:id="13"/>
    </w:p>
    <w:p w14:paraId="624A6084" w14:textId="77777777" w:rsidR="00C437D3" w:rsidRDefault="00C437D3" w:rsidP="00C437D3">
      <w:pPr>
        <w:spacing w:before="100" w:after="100"/>
        <w:jc w:val="center"/>
        <w:rPr>
          <w:b/>
          <w:bCs/>
        </w:rPr>
      </w:pPr>
      <w:r w:rsidRPr="00C437D3">
        <w:rPr>
          <w:noProof/>
        </w:rPr>
        <w:drawing>
          <wp:inline distT="0" distB="0" distL="0" distR="0" wp14:anchorId="2981AA6A" wp14:editId="1372D4AB">
            <wp:extent cx="3377381" cy="1510675"/>
            <wp:effectExtent l="0" t="0" r="0" b="0"/>
            <wp:docPr id="881084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4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297" cy="15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59" w14:textId="37556682" w:rsidR="00BE0595" w:rsidRPr="0028348E" w:rsidRDefault="00466357" w:rsidP="00593D4E">
      <w:pPr>
        <w:spacing w:before="100" w:after="100"/>
        <w:jc w:val="both"/>
      </w:pPr>
      <w:r w:rsidRPr="00F919C4">
        <w:rPr>
          <w:b/>
          <w:bCs/>
        </w:rPr>
        <w:t>Análise:</w:t>
      </w:r>
      <w:r>
        <w:t xml:space="preserve"> Foram construídas visualizações para observar a distribuição dos incidentes por prioridade e pela variável Aberto por, utilizando a contagem distinta do número do incidente. As categorias foram comparadas sem alterar o universo original da base.</w:t>
      </w:r>
    </w:p>
    <w:p w14:paraId="18BDCC5A" w14:textId="56217882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>Interpretação:</w:t>
      </w:r>
      <w:r>
        <w:t xml:space="preserve"> A distribuição permite identificar onde o volume de incidentes está concentrado e fornece contexto para as análises posteriores de KPI. Concentração de volume, isoladamente, não deve ser interpretada como pior desempenho, devendo ser comparada com elegibilidade e violações.</w:t>
      </w:r>
    </w:p>
    <w:p w14:paraId="18BDCC5B" w14:textId="77777777" w:rsidR="00BE0595" w:rsidRDefault="00466357">
      <w:pPr>
        <w:pStyle w:val="Ttulo2"/>
      </w:pPr>
      <w:bookmarkStart w:id="14" w:name="_Toc238946520"/>
      <w:r>
        <w:t>4.3 Análise temporal</w:t>
      </w:r>
      <w:bookmarkEnd w:id="14"/>
    </w:p>
    <w:p w14:paraId="53CB1384" w14:textId="77777777" w:rsidR="007C5191" w:rsidRDefault="007C5191" w:rsidP="007C5191">
      <w:pPr>
        <w:spacing w:before="100" w:after="100"/>
        <w:jc w:val="center"/>
        <w:rPr>
          <w:b/>
          <w:bCs/>
        </w:rPr>
      </w:pPr>
      <w:r w:rsidRPr="007C5191">
        <w:rPr>
          <w:noProof/>
        </w:rPr>
        <w:drawing>
          <wp:inline distT="0" distB="0" distL="0" distR="0" wp14:anchorId="24D262AE" wp14:editId="79778F1C">
            <wp:extent cx="4653116" cy="1374016"/>
            <wp:effectExtent l="0" t="0" r="0" b="0"/>
            <wp:docPr id="1781745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5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447" cy="13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5D" w14:textId="7ABA2FDC" w:rsidR="00BE0595" w:rsidRPr="00593D4E" w:rsidRDefault="00466357" w:rsidP="00593D4E">
      <w:pPr>
        <w:spacing w:before="100" w:after="100"/>
        <w:jc w:val="both"/>
      </w:pPr>
      <w:r w:rsidRPr="00593D4E">
        <w:rPr>
          <w:b/>
          <w:bCs/>
        </w:rPr>
        <w:t>Análise:</w:t>
      </w:r>
      <w:r w:rsidRPr="00593D4E">
        <w:t xml:space="preserve"> Em 2025, o volume mensal fica estável entre janeiro e agosto — entre 3.202 e 3.996 incidentes por mês (média de ~3.549) — e sofre uma ruptura estrutural em setembro: o volume salta para 21.561 incidentes (+439,6% frente a agosto) e permanece nesse novo patamar até dezembro (23.017 em outubro, 21.524 em novembro e 27.321 em dezembro, o maior mês do ano). Essa ruptura não decorre de sazonalidade natural: coincide com o aumento da proporção de incidentes abertos por Monitoramento, que passa a representar quase 95% das aberturas a partir de setembro (segundo a AED da matéria de Machine Learning), evidenciando maior automação na abertura de chamados.</w:t>
      </w:r>
    </w:p>
    <w:p w14:paraId="18BDCC5E" w14:textId="1297F92D" w:rsidR="00BE0595" w:rsidRDefault="00466357" w:rsidP="00593D4E">
      <w:pPr>
        <w:spacing w:before="100" w:after="100"/>
        <w:jc w:val="both"/>
      </w:pPr>
      <w:r w:rsidRPr="00593D4E">
        <w:rPr>
          <w:b/>
          <w:bCs/>
        </w:rPr>
        <w:t>Interpretação:</w:t>
      </w:r>
      <w:r w:rsidRPr="00593D4E">
        <w:t xml:space="preserve"> Comparações entre meses de 2025 devem separar o período anterior a setembro (regime manual, volume baixo) do período posterior (regime automatizado, volume alto), sob risco de interpretar como “tendência de crescimento” o que é, na prática, uma mudança de processo operacional. Essa mesma ruptura orienta o corte temporal usado no treinamento dos modelos preditivos de Machine Learning, que utilizam apenas os dados a partir de 01/09/2025.</w:t>
      </w:r>
    </w:p>
    <w:p w14:paraId="2FCC91D4" w14:textId="77777777" w:rsidR="00593D4E" w:rsidRPr="00593D4E" w:rsidRDefault="00593D4E">
      <w:pPr>
        <w:spacing w:before="100" w:after="100"/>
      </w:pPr>
    </w:p>
    <w:p w14:paraId="18BDCC5F" w14:textId="77777777" w:rsidR="00BE0595" w:rsidRDefault="00466357">
      <w:pPr>
        <w:pStyle w:val="Ttulo2"/>
      </w:pPr>
      <w:bookmarkStart w:id="15" w:name="_Toc238946521"/>
      <w:r>
        <w:lastRenderedPageBreak/>
        <w:t>4.4 Análise por prioridade</w:t>
      </w:r>
      <w:bookmarkEnd w:id="15"/>
    </w:p>
    <w:p w14:paraId="64A6707B" w14:textId="77777777" w:rsidR="00B22882" w:rsidRDefault="00B22882" w:rsidP="00B22882">
      <w:pPr>
        <w:spacing w:before="100" w:after="100"/>
        <w:jc w:val="center"/>
        <w:rPr>
          <w:b/>
          <w:bCs/>
        </w:rPr>
      </w:pPr>
      <w:r w:rsidRPr="00B22882">
        <w:rPr>
          <w:noProof/>
        </w:rPr>
        <w:drawing>
          <wp:inline distT="0" distB="0" distL="0" distR="0" wp14:anchorId="4D902CF6" wp14:editId="42B508F6">
            <wp:extent cx="2883310" cy="2236484"/>
            <wp:effectExtent l="0" t="0" r="0" b="0"/>
            <wp:docPr id="206065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5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154" cy="22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61" w14:textId="068CDA7C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>Análise:</w:t>
      </w:r>
      <w:r>
        <w:t xml:space="preserve"> Os incidentes foram segmentados pelas prioridades disponíveis na base e comparados tanto em volume total quanto, posteriormente, em quantidade e taxa de violações.</w:t>
      </w:r>
    </w:p>
    <w:p w14:paraId="18BDCC62" w14:textId="6E16B142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>Interpretação:</w:t>
      </w:r>
      <w:r>
        <w:t xml:space="preserve"> A prioridade funciona como uma dimensão essencial para contextualizar risco e desempenho. A leitura deve combinar volume, elegibilidade e taxa de violação, evitando concluir que uma prioridade é mais crítica apenas por apresentar maior quantidade absoluta de incidentes.</w:t>
      </w:r>
    </w:p>
    <w:p w14:paraId="18BDCC63" w14:textId="77777777" w:rsidR="00BE0595" w:rsidRDefault="00466357">
      <w:pPr>
        <w:pStyle w:val="Ttulo2"/>
      </w:pPr>
      <w:bookmarkStart w:id="16" w:name="_Toc238946522"/>
      <w:r>
        <w:t>4.5 Análise por produto/categoria</w:t>
      </w:r>
      <w:bookmarkEnd w:id="16"/>
    </w:p>
    <w:p w14:paraId="694CFB66" w14:textId="77777777" w:rsidR="00A4779C" w:rsidRDefault="00A4779C" w:rsidP="00A4779C">
      <w:pPr>
        <w:spacing w:before="100" w:after="100"/>
        <w:jc w:val="center"/>
        <w:rPr>
          <w:b/>
          <w:bCs/>
        </w:rPr>
      </w:pPr>
      <w:r w:rsidRPr="00A4779C">
        <w:rPr>
          <w:noProof/>
        </w:rPr>
        <w:drawing>
          <wp:inline distT="0" distB="0" distL="0" distR="0" wp14:anchorId="6FA046F0" wp14:editId="6EA0DC6E">
            <wp:extent cx="2826818" cy="2735826"/>
            <wp:effectExtent l="0" t="0" r="0" b="7620"/>
            <wp:docPr id="1512230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30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6794" cy="2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65" w14:textId="6E771427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>Análise:</w:t>
      </w:r>
      <w:r>
        <w:t xml:space="preserve"> Foram construídos rankings de Produto e Categoria pelo Total de Incidentes. Como os campos possuem quantidade relevante de registros sem classificação, o valor “Não informado” foi preservado na base, mas retirado apenas dos visuais de Top 10 para permitir a comparação entre categorias efetivamente identificadas.</w:t>
      </w:r>
    </w:p>
    <w:p w14:paraId="18BDCC66" w14:textId="3EC4A72B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>Interpretação:</w:t>
      </w:r>
      <w:r>
        <w:t xml:space="preserve"> Os rankings permitem localizar concentrações entre produtos e categorias conhecidos, mas não representam a totalidade dos incidentes classificados, pois parte relevante da base não possui essas informações. A ausência de classificação é tratada separadamente como limitação de qualidade dos dados.</w:t>
      </w:r>
    </w:p>
    <w:p w14:paraId="55881855" w14:textId="77777777" w:rsidR="0019489B" w:rsidRDefault="0019489B">
      <w:pPr>
        <w:spacing w:before="100" w:after="100"/>
      </w:pPr>
    </w:p>
    <w:p w14:paraId="4D4FCC37" w14:textId="77777777" w:rsidR="0019489B" w:rsidRDefault="0019489B">
      <w:pPr>
        <w:spacing w:before="100" w:after="100"/>
      </w:pPr>
    </w:p>
    <w:p w14:paraId="6790ADC8" w14:textId="77777777" w:rsidR="0019489B" w:rsidRDefault="0019489B">
      <w:pPr>
        <w:spacing w:before="100" w:after="100"/>
      </w:pPr>
    </w:p>
    <w:p w14:paraId="0C9785DC" w14:textId="77777777" w:rsidR="0019489B" w:rsidRDefault="0019489B">
      <w:pPr>
        <w:spacing w:before="100" w:after="100"/>
      </w:pPr>
    </w:p>
    <w:p w14:paraId="3B4F3CF9" w14:textId="77777777" w:rsidR="0019489B" w:rsidRDefault="0019489B">
      <w:pPr>
        <w:spacing w:before="100" w:after="100"/>
      </w:pPr>
    </w:p>
    <w:p w14:paraId="18BDCC67" w14:textId="77777777" w:rsidR="00BE0595" w:rsidRDefault="00466357">
      <w:pPr>
        <w:pStyle w:val="Ttulo2"/>
      </w:pPr>
      <w:bookmarkStart w:id="17" w:name="_Toc238946523"/>
      <w:r>
        <w:lastRenderedPageBreak/>
        <w:t>4.6 Análise por equipe</w:t>
      </w:r>
      <w:bookmarkEnd w:id="17"/>
    </w:p>
    <w:p w14:paraId="41995DCB" w14:textId="77777777" w:rsidR="009526E7" w:rsidRDefault="009526E7" w:rsidP="009526E7">
      <w:pPr>
        <w:spacing w:before="100" w:after="100"/>
        <w:jc w:val="center"/>
        <w:rPr>
          <w:b/>
          <w:bCs/>
        </w:rPr>
      </w:pPr>
      <w:r w:rsidRPr="009526E7">
        <w:rPr>
          <w:noProof/>
        </w:rPr>
        <w:drawing>
          <wp:inline distT="0" distB="0" distL="0" distR="0" wp14:anchorId="04384010" wp14:editId="29B90FDD">
            <wp:extent cx="2020529" cy="1735947"/>
            <wp:effectExtent l="0" t="0" r="0" b="0"/>
            <wp:docPr id="85792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8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2016" cy="17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69" w14:textId="469447F5" w:rsidR="00BE0595" w:rsidRPr="00593D4E" w:rsidRDefault="00466357" w:rsidP="00593D4E">
      <w:pPr>
        <w:spacing w:before="100" w:after="100"/>
        <w:jc w:val="both"/>
      </w:pPr>
      <w:r w:rsidRPr="00593D4E">
        <w:rPr>
          <w:b/>
          <w:bCs/>
        </w:rPr>
        <w:t>Análise:</w:t>
      </w:r>
      <w:r w:rsidRPr="00593D4E">
        <w:t xml:space="preserve"> Em 2025, a equipe Team14 concentra isoladamente 92.673 incidentes (76,1% do total), seguida por Team11 (9.728 — 8,0%), Team05 (8.962 — 7,4%), Team09 (3.255 — 2,7%) e Team12 (2.165 — 1,8%). As 12 equipes restantes somam 5.028 incidentes (4,1%) e passam a ser exibidas como “Outros” nos rankings do dashboard. Também foram construídas análises de quantidade e taxa de violações por equipe, permitindo diferenciar concentração operacional de concentração proporcional de violações.</w:t>
      </w:r>
    </w:p>
    <w:p w14:paraId="18BDCC6A" w14:textId="156D2EEE" w:rsidR="00BE0595" w:rsidRPr="00593D4E" w:rsidRDefault="00466357" w:rsidP="00593D4E">
      <w:pPr>
        <w:spacing w:before="100" w:after="100"/>
        <w:jc w:val="both"/>
      </w:pPr>
      <w:r w:rsidRPr="00593D4E">
        <w:rPr>
          <w:b/>
          <w:bCs/>
        </w:rPr>
        <w:t>Interpretação:</w:t>
      </w:r>
      <w:r w:rsidRPr="00593D4E">
        <w:t xml:space="preserve"> A concentração extrema em uma única equipe (Team14) provavelmente reflete o mesmo efeito identificado na análise temporal — grande parte do salto de incidentes de Monitoramento a partir de setembro/2025 tende a estar atribuída a essa equipe. Por isso, o volume elevado de Team14 não deve ser lido isoladamente como sobrecarga ou pior desempenho: a leitura correta cruza volume × taxa de violação, disponível na página “Análises KPI” do dashboard, que compara as equipes tanto pela quantidade quanto pela taxa de violação de KPI.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83084B" w14:paraId="4676EE1C" w14:textId="77777777">
        <w:tc>
          <w:tcPr>
            <w:tcW w:w="3213" w:type="dxa"/>
          </w:tcPr>
          <w:p w14:paraId="5C7BDCC1" w14:textId="77777777" w:rsidR="0083084B" w:rsidRDefault="00000000">
            <w:r>
              <w:t>Equipe (Grupo designado)</w:t>
            </w:r>
          </w:p>
        </w:tc>
        <w:tc>
          <w:tcPr>
            <w:tcW w:w="3213" w:type="dxa"/>
          </w:tcPr>
          <w:p w14:paraId="16D0B181" w14:textId="77777777" w:rsidR="0083084B" w:rsidRDefault="00000000">
            <w:r>
              <w:t>Incidentes em 2025</w:t>
            </w:r>
          </w:p>
        </w:tc>
        <w:tc>
          <w:tcPr>
            <w:tcW w:w="3213" w:type="dxa"/>
          </w:tcPr>
          <w:p w14:paraId="5F367016" w14:textId="77777777" w:rsidR="0083084B" w:rsidRDefault="00000000">
            <w:r>
              <w:t>% do total do ano</w:t>
            </w:r>
          </w:p>
        </w:tc>
      </w:tr>
      <w:tr w:rsidR="0083084B" w14:paraId="78122825" w14:textId="77777777">
        <w:tc>
          <w:tcPr>
            <w:tcW w:w="3213" w:type="dxa"/>
          </w:tcPr>
          <w:p w14:paraId="5B997426" w14:textId="77777777" w:rsidR="0083084B" w:rsidRDefault="00000000">
            <w:r>
              <w:t>Team14</w:t>
            </w:r>
          </w:p>
        </w:tc>
        <w:tc>
          <w:tcPr>
            <w:tcW w:w="3213" w:type="dxa"/>
          </w:tcPr>
          <w:p w14:paraId="2909B6B0" w14:textId="77777777" w:rsidR="0083084B" w:rsidRDefault="00000000">
            <w:r>
              <w:t>92.673</w:t>
            </w:r>
          </w:p>
        </w:tc>
        <w:tc>
          <w:tcPr>
            <w:tcW w:w="3213" w:type="dxa"/>
          </w:tcPr>
          <w:p w14:paraId="74B25274" w14:textId="77777777" w:rsidR="0083084B" w:rsidRDefault="00000000">
            <w:r>
              <w:t>76,1%</w:t>
            </w:r>
          </w:p>
        </w:tc>
      </w:tr>
      <w:tr w:rsidR="0083084B" w14:paraId="6C6867D7" w14:textId="77777777">
        <w:tc>
          <w:tcPr>
            <w:tcW w:w="3213" w:type="dxa"/>
          </w:tcPr>
          <w:p w14:paraId="6B9B04F5" w14:textId="77777777" w:rsidR="0083084B" w:rsidRDefault="00000000">
            <w:r>
              <w:t>Team11</w:t>
            </w:r>
          </w:p>
        </w:tc>
        <w:tc>
          <w:tcPr>
            <w:tcW w:w="3213" w:type="dxa"/>
          </w:tcPr>
          <w:p w14:paraId="351A0C09" w14:textId="77777777" w:rsidR="0083084B" w:rsidRDefault="00000000">
            <w:r>
              <w:t>9.728</w:t>
            </w:r>
          </w:p>
        </w:tc>
        <w:tc>
          <w:tcPr>
            <w:tcW w:w="3213" w:type="dxa"/>
          </w:tcPr>
          <w:p w14:paraId="434C97CD" w14:textId="77777777" w:rsidR="0083084B" w:rsidRDefault="00000000">
            <w:r>
              <w:t>8,0%</w:t>
            </w:r>
          </w:p>
        </w:tc>
      </w:tr>
      <w:tr w:rsidR="0083084B" w14:paraId="01FC9CD7" w14:textId="77777777">
        <w:tc>
          <w:tcPr>
            <w:tcW w:w="3213" w:type="dxa"/>
          </w:tcPr>
          <w:p w14:paraId="7C64912C" w14:textId="77777777" w:rsidR="0083084B" w:rsidRDefault="00000000">
            <w:r>
              <w:t>Team05</w:t>
            </w:r>
          </w:p>
        </w:tc>
        <w:tc>
          <w:tcPr>
            <w:tcW w:w="3213" w:type="dxa"/>
          </w:tcPr>
          <w:p w14:paraId="39223EBE" w14:textId="77777777" w:rsidR="0083084B" w:rsidRDefault="00000000">
            <w:r>
              <w:t>8.962</w:t>
            </w:r>
          </w:p>
        </w:tc>
        <w:tc>
          <w:tcPr>
            <w:tcW w:w="3213" w:type="dxa"/>
          </w:tcPr>
          <w:p w14:paraId="71CDDF4E" w14:textId="77777777" w:rsidR="0083084B" w:rsidRDefault="00000000">
            <w:r>
              <w:t>7,4%</w:t>
            </w:r>
          </w:p>
        </w:tc>
      </w:tr>
      <w:tr w:rsidR="0083084B" w14:paraId="3D32F7DB" w14:textId="77777777">
        <w:tc>
          <w:tcPr>
            <w:tcW w:w="3213" w:type="dxa"/>
          </w:tcPr>
          <w:p w14:paraId="53198DFD" w14:textId="77777777" w:rsidR="0083084B" w:rsidRDefault="00000000">
            <w:r>
              <w:t>Team09</w:t>
            </w:r>
          </w:p>
        </w:tc>
        <w:tc>
          <w:tcPr>
            <w:tcW w:w="3213" w:type="dxa"/>
          </w:tcPr>
          <w:p w14:paraId="1669115C" w14:textId="77777777" w:rsidR="0083084B" w:rsidRDefault="00000000">
            <w:r>
              <w:t>3.255</w:t>
            </w:r>
          </w:p>
        </w:tc>
        <w:tc>
          <w:tcPr>
            <w:tcW w:w="3213" w:type="dxa"/>
          </w:tcPr>
          <w:p w14:paraId="57CBB6DC" w14:textId="77777777" w:rsidR="0083084B" w:rsidRDefault="00000000">
            <w:r>
              <w:t>2,7%</w:t>
            </w:r>
          </w:p>
        </w:tc>
      </w:tr>
      <w:tr w:rsidR="0083084B" w14:paraId="031C5DC1" w14:textId="77777777">
        <w:tc>
          <w:tcPr>
            <w:tcW w:w="3213" w:type="dxa"/>
          </w:tcPr>
          <w:p w14:paraId="675B4F8B" w14:textId="77777777" w:rsidR="0083084B" w:rsidRDefault="00000000">
            <w:r>
              <w:t>Team12</w:t>
            </w:r>
          </w:p>
        </w:tc>
        <w:tc>
          <w:tcPr>
            <w:tcW w:w="3213" w:type="dxa"/>
          </w:tcPr>
          <w:p w14:paraId="3507702C" w14:textId="77777777" w:rsidR="0083084B" w:rsidRDefault="00000000">
            <w:r>
              <w:t>2.165</w:t>
            </w:r>
          </w:p>
        </w:tc>
        <w:tc>
          <w:tcPr>
            <w:tcW w:w="3213" w:type="dxa"/>
          </w:tcPr>
          <w:p w14:paraId="7967184E" w14:textId="77777777" w:rsidR="0083084B" w:rsidRDefault="00000000">
            <w:r>
              <w:t>1,8%</w:t>
            </w:r>
          </w:p>
        </w:tc>
      </w:tr>
      <w:tr w:rsidR="0083084B" w14:paraId="2B1DB099" w14:textId="77777777">
        <w:tc>
          <w:tcPr>
            <w:tcW w:w="3213" w:type="dxa"/>
          </w:tcPr>
          <w:p w14:paraId="72455A80" w14:textId="77777777" w:rsidR="0083084B" w:rsidRDefault="00000000">
            <w:r>
              <w:t>Outros (12 equipes)</w:t>
            </w:r>
          </w:p>
        </w:tc>
        <w:tc>
          <w:tcPr>
            <w:tcW w:w="3213" w:type="dxa"/>
          </w:tcPr>
          <w:p w14:paraId="69ADD2D7" w14:textId="77777777" w:rsidR="0083084B" w:rsidRDefault="00000000">
            <w:r>
              <w:t>5.028</w:t>
            </w:r>
          </w:p>
        </w:tc>
        <w:tc>
          <w:tcPr>
            <w:tcW w:w="3213" w:type="dxa"/>
          </w:tcPr>
          <w:p w14:paraId="4C7E7A11" w14:textId="77777777" w:rsidR="0083084B" w:rsidRDefault="00000000">
            <w:r>
              <w:t>4,1%</w:t>
            </w:r>
          </w:p>
        </w:tc>
      </w:tr>
    </w:tbl>
    <w:p w14:paraId="18BDCC6B" w14:textId="77777777" w:rsidR="00BE0595" w:rsidRDefault="00466357">
      <w:pPr>
        <w:pStyle w:val="Ttulo2"/>
      </w:pPr>
      <w:bookmarkStart w:id="18" w:name="_Toc238946524"/>
      <w:r>
        <w:t>4.7 Análise de duração</w:t>
      </w:r>
      <w:bookmarkEnd w:id="18"/>
    </w:p>
    <w:p w14:paraId="18BDCC6D" w14:textId="6C2B0E3B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>Análise:</w:t>
      </w:r>
      <w:r>
        <w:t xml:space="preserve"> A duração foi convertida de segundos para minutos e analisada pela mediana devido à forte assimetria observada. Entre os incidentes elegíveis ao KPI, a mediana foi de 942.839 minutos em 2023 (87 incidentes), 269.811 minutos em 2024 (357 incidentes) e 72 minutos em 2025 (25.156 incidentes). Também foi verificado um caso de 2023 aberto em 30/12/2023, resolvido em 15/01/2025 e encerrado em 20/01/2025, confirmando que durações muito elevadas podem ser coerentes com as próprias datas registradas.</w:t>
      </w:r>
    </w:p>
    <w:p w14:paraId="18BDCC6E" w14:textId="59789415" w:rsidR="00BE0595" w:rsidRDefault="00466357" w:rsidP="00593D4E">
      <w:pPr>
        <w:spacing w:before="100" w:after="100"/>
        <w:jc w:val="both"/>
      </w:pPr>
      <w:r w:rsidRPr="00F919C4">
        <w:rPr>
          <w:b/>
          <w:bCs/>
        </w:rPr>
        <w:t>Interpretação:</w:t>
      </w:r>
      <w:r>
        <w:t xml:space="preserve"> A diferença entre os anos é estruturalmente muito elevada e impede interpretar a redução da mediana como evidência direta de melhora operacional. Os registros antigos apresentam longos intervalos entre abertura e resolução/encerramento, enquanto 2025 concentra a maior parte dos casos elegíveis. Por isso, a duração deve ser apresentada com contexto temporal e cautela.</w:t>
      </w:r>
    </w:p>
    <w:p w14:paraId="2D0CAFEE" w14:textId="77777777" w:rsidR="0083084B" w:rsidRDefault="00000000" w:rsidP="00593D4E">
      <w:pPr>
        <w:jc w:val="both"/>
      </w:pPr>
      <w:r>
        <w:t>Análise (Manual vs. Monitoramento, elegíveis ao KPI em 2025): Os incidentes abertos manualmente (15.671 casos, 61,3% dos elegíveis) apresentam mediana de 89,75 minutos, contra 47,47 minutos nos abertos por Monitoramento (9.485 casos, 38,7%) — quase metade do tempo. A taxa de violação também é maior entre os manuais (1,24%, 194 violações) do que entre os de monitoramento (0,46%, 44 violações).</w:t>
      </w:r>
    </w:p>
    <w:p w14:paraId="5AC608D6" w14:textId="77777777" w:rsidR="0083084B" w:rsidRDefault="00000000" w:rsidP="00593D4E">
      <w:pPr>
        <w:jc w:val="both"/>
      </w:pPr>
      <w:r>
        <w:t>Interpretação (Manual vs. Monitoramento): Chamados abertos manualmente tendem a ser mais complexos ou dependentes de triagem humana, o que explica tanto a maior duração quanto a maior taxa de violação. Já os chamados de Monitoramento — que dominam o volume a partir de setembro/2025 — são resolvidos mais rapidamente, o que também ajuda a explicar por que a taxa de violação de KPI não piorou apesar do salto de volume no segundo semestre (ver seção 5.3).</w:t>
      </w:r>
    </w:p>
    <w:p w14:paraId="70B0D33A" w14:textId="77777777" w:rsidR="00593D4E" w:rsidRDefault="00593D4E" w:rsidP="00593D4E">
      <w:pPr>
        <w:jc w:val="both"/>
      </w:pPr>
    </w:p>
    <w:p w14:paraId="18BDCC6F" w14:textId="28FA634C" w:rsidR="00BE0595" w:rsidRDefault="00466357" w:rsidP="002D3E1D">
      <w:pPr>
        <w:pStyle w:val="Ttulo2"/>
        <w:numPr>
          <w:ilvl w:val="1"/>
          <w:numId w:val="3"/>
        </w:numPr>
      </w:pPr>
      <w:bookmarkStart w:id="19" w:name="_Toc238946525"/>
      <w:r>
        <w:lastRenderedPageBreak/>
        <w:t>4.8 Análise dos indicadores de KPI</w:t>
      </w:r>
      <w:bookmarkEnd w:id="19"/>
    </w:p>
    <w:p w14:paraId="26F854CF" w14:textId="4263D2DB" w:rsidR="007322CD" w:rsidRDefault="00CE6A6E">
      <w:pPr>
        <w:spacing w:before="100" w:after="100"/>
        <w:rPr>
          <w:b/>
          <w:bCs/>
        </w:rPr>
      </w:pPr>
      <w:r w:rsidRPr="00CE6A6E">
        <w:rPr>
          <w:b/>
          <w:bCs/>
          <w:noProof/>
        </w:rPr>
        <w:drawing>
          <wp:inline distT="0" distB="0" distL="0" distR="0" wp14:anchorId="0A9CEFC8" wp14:editId="70407273">
            <wp:extent cx="6120130" cy="1054100"/>
            <wp:effectExtent l="0" t="0" r="0" b="0"/>
            <wp:docPr id="1512519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19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71" w14:textId="1DF04E4B" w:rsidR="00BE0595" w:rsidRPr="00593D4E" w:rsidRDefault="00466357" w:rsidP="00593D4E">
      <w:pPr>
        <w:spacing w:before="100" w:after="100"/>
        <w:jc w:val="both"/>
      </w:pPr>
      <w:r w:rsidRPr="00593D4E">
        <w:rPr>
          <w:b/>
          <w:bCs/>
        </w:rPr>
        <w:t>Análise:</w:t>
      </w:r>
      <w:r w:rsidRPr="00593D4E">
        <w:t xml:space="preserve"> Cinco medidas DAX que sustentam os KPIs e métricas de apoio da seção 5 foram implementadas na tabela “Medidas” do modelo do Power BI (Total de Incidentes, Incidentes Elegíveis KPI, KPIs Violados, Taxa Violacao KPI e Mediana Duracao Minutos), calculadas sobre a tabela “Dataset Geral” e filtráveis pela tabela “Calendario” (relacionada por Ano). Duas delas (Incidentes Elegíveis KPI e KPIs Violados) são métricas de apoio ao cálculo, não KPIs finais — ver seção 5.0. Especificamente para 2025: Total de Incidentes = 121.811; Incidentes Elegíveis ao KPI = 25.156 (20,7% do total do ano); KPIs Violados = 238; Taxa de Violação do KPI = 0,946%; Mediana da Duração dos elegíveis = 72,2 minutos. Para comparação, 2023 e 2024 somam juntos apenas 444 incidentes elegíveis (87 + 357) — o que reforça por que a página “KPIs” do dashboard já utiliza 2025 como filtro padrão. Foram ainda criados visuais para comparar quantidade e taxa de violações por prioridade, equipe, produto e categoria (página “Análises KPI”).</w:t>
      </w:r>
    </w:p>
    <w:p w14:paraId="18BDCC72" w14:textId="42EB6E77" w:rsidR="00BE0595" w:rsidRPr="00593D4E" w:rsidRDefault="00466357" w:rsidP="00593D4E">
      <w:pPr>
        <w:spacing w:before="100" w:after="100"/>
        <w:jc w:val="both"/>
      </w:pPr>
      <w:r w:rsidRPr="00593D4E">
        <w:rPr>
          <w:b/>
          <w:bCs/>
        </w:rPr>
        <w:t>Interpretação:</w:t>
      </w:r>
      <w:r w:rsidRPr="00593D4E">
        <w:t xml:space="preserve"> Como 2025 concentra 98,3% dos incidentes elegíveis ao KPI, os números globais do documento (25.600 elegíveis, 248 violações, 0,97%) e os números específicos de 2025 (25.156 elegíveis, 238 violações, 0,946%) ficam muito próximos — mas tratá-los como equivalentes seria incorreto, pois mistura três regimes operacionais distintos (2023, 2024 e o período pós-automação de 2025). Por isso, a partir desta versão, os indicadores desta seção e do dashboard passam a ser sempre reportados com o ano explicitado.</w:t>
      </w:r>
    </w:p>
    <w:p w14:paraId="18BDCC73" w14:textId="77777777" w:rsidR="00BE0595" w:rsidRDefault="00466357">
      <w:pPr>
        <w:pStyle w:val="Ttulo2"/>
      </w:pPr>
      <w:bookmarkStart w:id="20" w:name="_Toc238946526"/>
      <w:r>
        <w:t>4.9 Qualidade e limitações dos dados</w:t>
      </w:r>
      <w:bookmarkEnd w:id="20"/>
    </w:p>
    <w:p w14:paraId="18BDCC75" w14:textId="7267CC47" w:rsidR="00BE0595" w:rsidRDefault="00466357" w:rsidP="00F431B7">
      <w:pPr>
        <w:spacing w:before="100" w:after="100"/>
        <w:jc w:val="both"/>
      </w:pPr>
      <w:r w:rsidRPr="0087763F">
        <w:rPr>
          <w:b/>
          <w:bCs/>
        </w:rPr>
        <w:t>Análise:</w:t>
      </w:r>
      <w:r>
        <w:t xml:space="preserve"> A avaliação de qualidade identificou aproximadamente 99% de valores vazios em Resolvido, Solução e Incidente Pai. Produto, Categoria e Subcategoria também apresentam ausências e foram tratados como “Não informado” para preservar os incidentes. Em KPI Violado?, os registros N/A foram mantidos após a verificação de que todos estavam associados a Entrou para KPI? = NAO. Também foi observada cobertura temporal distinta entre Aberto, Resolvido e Encerrado.</w:t>
      </w:r>
    </w:p>
    <w:p w14:paraId="18BDCC76" w14:textId="19989F1E" w:rsidR="00BE0595" w:rsidRDefault="00466357" w:rsidP="00F431B7">
      <w:pPr>
        <w:spacing w:before="100" w:after="100"/>
        <w:jc w:val="both"/>
      </w:pPr>
      <w:r w:rsidRPr="0087763F">
        <w:rPr>
          <w:b/>
          <w:bCs/>
        </w:rPr>
        <w:t>Interpretação:</w:t>
      </w:r>
      <w:r>
        <w:t xml:space="preserve"> Essas características limitam algumas comparações e impedem tratar campos vazios automaticamente como erro ou como determinado estado operacional. As análises foram construídas preservando os registros e explicitando as limitações, especialmente nas análises de duração, classificação por produto/categoria e comparação histórica.</w:t>
      </w:r>
    </w:p>
    <w:p w14:paraId="18BDCC77" w14:textId="77777777" w:rsidR="00BE0595" w:rsidRDefault="00466357">
      <w:r>
        <w:br w:type="page"/>
      </w:r>
    </w:p>
    <w:p w14:paraId="18BDCC78" w14:textId="77777777" w:rsidR="00BE0595" w:rsidRDefault="00466357">
      <w:pPr>
        <w:pStyle w:val="Ttulo1"/>
      </w:pPr>
      <w:bookmarkStart w:id="21" w:name="_Toc238946527"/>
      <w:r>
        <w:lastRenderedPageBreak/>
        <w:t>5. Definição dos KPIs</w:t>
      </w:r>
      <w:bookmarkEnd w:id="21"/>
    </w:p>
    <w:p w14:paraId="1FBE2EDE" w14:textId="77777777" w:rsidR="00CC60CA" w:rsidRPr="00CC60CA" w:rsidRDefault="00CC60CA" w:rsidP="00CE6CC9">
      <w:pPr>
        <w:spacing w:before="60" w:after="200"/>
        <w:jc w:val="both"/>
      </w:pPr>
      <w:r w:rsidRPr="00CC60CA">
        <w:t>Os KPIs foram selecionados considerando os objetivos do FlowGuard e as informações disponíveis no dataset fornecido pela Locaweb. A seleção busca representar diferentes aspectos da operação, contemplando o volume de incidentes, os incidentes considerados na medição dos KPIs, as violações registradas e o tempo de duração dos atendimentos.</w:t>
      </w:r>
    </w:p>
    <w:p w14:paraId="5E18BD1C" w14:textId="77777777" w:rsidR="00CC60CA" w:rsidRPr="00CC60CA" w:rsidRDefault="00CC60CA" w:rsidP="00CE6CC9">
      <w:pPr>
        <w:spacing w:before="60" w:after="200"/>
        <w:jc w:val="both"/>
      </w:pPr>
      <w:r w:rsidRPr="00CC60CA">
        <w:t>Os indicadores foram definidos de forma a permitir análises ao longo do tempo e por diferentes dimensões da operação, como prioridade, equipe, produto e categoria, contribuindo para a identificação de padrões, tendências e pontos que demandam maior atenção.</w:t>
      </w:r>
    </w:p>
    <w:p w14:paraId="7A4DEF9A" w14:textId="77777777" w:rsidR="0083084B" w:rsidRDefault="00000000">
      <w:pPr>
        <w:pStyle w:val="Ttulo2"/>
      </w:pPr>
      <w:bookmarkStart w:id="22" w:name="_Toc238946528"/>
      <w:r>
        <w:t>5.0 Operacional x Gestão: por que essa distinção importa</w:t>
      </w:r>
      <w:bookmarkEnd w:id="22"/>
    </w:p>
    <w:p w14:paraId="1AEDDC6F" w14:textId="77777777" w:rsidR="0083084B" w:rsidRDefault="00000000" w:rsidP="00F431B7">
      <w:pPr>
        <w:jc w:val="both"/>
      </w:pPr>
      <w:r>
        <w:t>O documento de referência KPIs de Gestão de Incidentes, fornecido pela disciplina, distingue duas camadas de indicadores. Os KPIs operacionais (ex.: tempo de atendimento de um chamado, % de OLA consumido agora) respondem à pergunta “o que fazer com este incidente, neste minuto?” — vivem no console do analista, mudam a cada minuto e servem para decidir sobre 1 chamado. Os KPIs de gestão respondem a uma pergunta diferente — “o que está acontecendo com a operação como um todo, e onde estão os gargalos estruturais?” — e não olham para 1 incidente, e sim para um conjunto de incidentes agregado por período (dia/semana/mês/ano) e comparado ao longo do tempo.</w:t>
      </w:r>
    </w:p>
    <w:p w14:paraId="322E60F9" w14:textId="77777777" w:rsidR="0083084B" w:rsidRDefault="00000000" w:rsidP="00F431B7">
      <w:pPr>
        <w:jc w:val="both"/>
      </w:pPr>
      <w:r>
        <w:t>Os sete KPIs de gestão selecionados nesta entrega (seções 5.1 a 5.7) são todos agregados por período, não operacionais: nenhum descreve o estado de um único incidente em tempo real. Todos agregam um conjunto de incidentes por ano — com o detalhamento mensal explicitado nas seções 4.3 e 5.3 — e respondem a perguntas de gestão como “o volume de incidentes está crescendo mais rápido que a operação absorve?”, “a taxa de violação do KPI está melhorando ou piorando entre meses?” e “onde a operação está concentrada (equipe, categoria, prioridade)?”. O consumidor típico dessas leituras é o gestor/coordenador do FlowGuard, não o analista de plantão, e a ação decorrente é de gestão (redistribuir equipe, investigar a automação de setembro/2025, priorizar categoria), não a ação imediata sobre um chamado específico. Uma contagem adicional (KPIs Violados), detalhada logo após a seção 5.2, não entra nessa lista: é métrica de apoio ao cálculo, não KPI final — o motivo está explicado antes dela.</w:t>
      </w:r>
    </w:p>
    <w:p w14:paraId="384AF159" w14:textId="77777777" w:rsidR="0083084B" w:rsidRDefault="00000000" w:rsidP="00F431B7">
      <w:pPr>
        <w:jc w:val="both"/>
      </w:pPr>
      <w:r>
        <w:t>A tabela 5.0 (Referência de classificação) sintetiza essa correspondência, adaptada do documento de referência para os KPIs desta entrega.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3"/>
        <w:gridCol w:w="4815"/>
      </w:tblGrid>
      <w:tr w:rsidR="0083084B" w14:paraId="520F7B90" w14:textId="77777777">
        <w:tc>
          <w:tcPr>
            <w:tcW w:w="4819" w:type="dxa"/>
          </w:tcPr>
          <w:p w14:paraId="2E19A259" w14:textId="77777777" w:rsidR="0083084B" w:rsidRDefault="00000000">
            <w:r>
              <w:t>Dimensão (documento de referência)</w:t>
            </w:r>
          </w:p>
        </w:tc>
        <w:tc>
          <w:tcPr>
            <w:tcW w:w="4819" w:type="dxa"/>
          </w:tcPr>
          <w:p w14:paraId="1A392593" w14:textId="77777777" w:rsidR="00296EB0" w:rsidRDefault="00000000">
            <w:r>
              <w:t>Como se aplica aos KPIs desta entrega (seções 5.1–5.8)</w:t>
            </w:r>
          </w:p>
        </w:tc>
      </w:tr>
      <w:tr w:rsidR="0083084B" w14:paraId="7302D63B" w14:textId="77777777">
        <w:tc>
          <w:tcPr>
            <w:tcW w:w="4819" w:type="dxa"/>
          </w:tcPr>
          <w:p w14:paraId="370424DF" w14:textId="77777777" w:rsidR="0083084B" w:rsidRDefault="00000000">
            <w:r>
              <w:t>Unidade de análise</w:t>
            </w:r>
          </w:p>
        </w:tc>
        <w:tc>
          <w:tcPr>
            <w:tcW w:w="4819" w:type="dxa"/>
          </w:tcPr>
          <w:p w14:paraId="1D6340DC" w14:textId="77777777" w:rsidR="00296EB0" w:rsidRDefault="00000000">
            <w:r>
              <w:t>Conjunto de incidentes, agregado por ano (2025) e, quando aplicável, por mês (seções 4.3, 5.3)</w:t>
            </w:r>
          </w:p>
        </w:tc>
      </w:tr>
      <w:tr w:rsidR="0083084B" w14:paraId="2A3D6159" w14:textId="77777777">
        <w:tc>
          <w:tcPr>
            <w:tcW w:w="4819" w:type="dxa"/>
          </w:tcPr>
          <w:p w14:paraId="4EE18A3F" w14:textId="77777777" w:rsidR="0083084B" w:rsidRDefault="00000000">
            <w:r>
              <w:t>Pergunta típica</w:t>
            </w:r>
          </w:p>
        </w:tc>
        <w:tc>
          <w:tcPr>
            <w:tcW w:w="4819" w:type="dxa"/>
          </w:tcPr>
          <w:p w14:paraId="3D81739F" w14:textId="77777777" w:rsidR="0083084B" w:rsidRDefault="00000000">
            <w:r>
              <w:t>“O volume/taxa de violação está piorando ou melhorando ao longo do ano?”, não “este chamado vai violar o OLA?”</w:t>
            </w:r>
          </w:p>
        </w:tc>
      </w:tr>
      <w:tr w:rsidR="0083084B" w14:paraId="2FCA4E80" w14:textId="77777777">
        <w:tc>
          <w:tcPr>
            <w:tcW w:w="4819" w:type="dxa"/>
          </w:tcPr>
          <w:p w14:paraId="0FCC4ADB" w14:textId="77777777" w:rsidR="0083084B" w:rsidRDefault="00000000">
            <w:r>
              <w:t>Consumidor</w:t>
            </w:r>
          </w:p>
        </w:tc>
        <w:tc>
          <w:tcPr>
            <w:tcW w:w="4819" w:type="dxa"/>
          </w:tcPr>
          <w:p w14:paraId="2B607DE4" w14:textId="77777777" w:rsidR="0083084B" w:rsidRDefault="00000000">
            <w:r>
              <w:t>Gestor/coordenador do FlowGuard — não o analista de plantão</w:t>
            </w:r>
          </w:p>
        </w:tc>
      </w:tr>
      <w:tr w:rsidR="0083084B" w14:paraId="76BDA3A9" w14:textId="77777777">
        <w:tc>
          <w:tcPr>
            <w:tcW w:w="4819" w:type="dxa"/>
          </w:tcPr>
          <w:p w14:paraId="7F324097" w14:textId="77777777" w:rsidR="0083084B" w:rsidRDefault="00000000">
            <w:r>
              <w:t>Frequência de leitura</w:t>
            </w:r>
          </w:p>
        </w:tc>
        <w:tc>
          <w:tcPr>
            <w:tcW w:w="4819" w:type="dxa"/>
          </w:tcPr>
          <w:p w14:paraId="45E4D49F" w14:textId="77777777" w:rsidR="0083084B" w:rsidRDefault="00000000">
            <w:r>
              <w:t>Mensal/anual (dashboard atualizado), não tempo real</w:t>
            </w:r>
          </w:p>
        </w:tc>
      </w:tr>
      <w:tr w:rsidR="0083084B" w14:paraId="0F1DBDE6" w14:textId="77777777">
        <w:tc>
          <w:tcPr>
            <w:tcW w:w="4819" w:type="dxa"/>
          </w:tcPr>
          <w:p w14:paraId="643C8AAB" w14:textId="77777777" w:rsidR="0083084B" w:rsidRDefault="00000000">
            <w:r>
              <w:t>Ação decorrente</w:t>
            </w:r>
          </w:p>
        </w:tc>
        <w:tc>
          <w:tcPr>
            <w:tcW w:w="4819" w:type="dxa"/>
          </w:tcPr>
          <w:p w14:paraId="01A0C121" w14:textId="77777777" w:rsidR="0083084B" w:rsidRDefault="00000000">
            <w:r>
              <w:t>Redistribuir equipe (Team14), investigar a automação de setembro/2025, priorizar categoria/produto</w:t>
            </w:r>
          </w:p>
        </w:tc>
      </w:tr>
    </w:tbl>
    <w:p w14:paraId="02CD6731" w14:textId="4034B481" w:rsidR="00CC60CA" w:rsidRDefault="00CC60CA" w:rsidP="00D331BD">
      <w:pPr>
        <w:spacing w:before="60" w:after="200"/>
        <w:jc w:val="both"/>
      </w:pPr>
      <w:r w:rsidRPr="00CC60CA">
        <w:rPr>
          <w:b/>
          <w:bCs/>
        </w:rPr>
        <w:t xml:space="preserve">KPIs de gestão selecionados: </w:t>
      </w:r>
      <w:r w:rsidRPr="00322EFF">
        <w:t>Total de Incidentes, Incidentes Elegíveis ao KPI, Taxa de Violação do KPI, Mediana da Duração, Taxa de Crescimento da Demanda, Distribuição por Severidade (Prioridade) e Distribuição por Categoria/Serviço. Todos são KPIs de gestão (seção 5.0) — nenhum descreve o estado de um incidente individual em tempo real. KPIs Violados é métrica de apoio ao cálculo (não KPI final) e está detalhada logo após a seção 5.2.</w:t>
      </w:r>
    </w:p>
    <w:p w14:paraId="50E2E32B" w14:textId="77777777" w:rsidR="00322EFF" w:rsidRPr="00322EFF" w:rsidRDefault="00322EFF" w:rsidP="00D331BD">
      <w:pPr>
        <w:spacing w:before="60" w:after="200"/>
        <w:jc w:val="both"/>
      </w:pPr>
    </w:p>
    <w:p w14:paraId="18BDCC9D" w14:textId="4C6FCF78" w:rsidR="00BE0595" w:rsidRDefault="00466357" w:rsidP="00D331BD">
      <w:pPr>
        <w:pStyle w:val="Ttulo2"/>
        <w:jc w:val="both"/>
      </w:pPr>
      <w:bookmarkStart w:id="23" w:name="_Toc238946529"/>
      <w:r>
        <w:lastRenderedPageBreak/>
        <w:t xml:space="preserve">5.1 </w:t>
      </w:r>
      <w:r w:rsidR="00C62802">
        <w:t>Total de Incidentes</w:t>
      </w:r>
      <w:bookmarkEnd w:id="23"/>
    </w:p>
    <w:p w14:paraId="18BDCC9E" w14:textId="5B204263" w:rsidR="00BE0595" w:rsidRPr="00D71B73" w:rsidRDefault="00466357" w:rsidP="00D331BD">
      <w:pPr>
        <w:spacing w:before="100" w:after="100"/>
        <w:jc w:val="both"/>
      </w:pPr>
      <w:r w:rsidRPr="00D71B73">
        <w:rPr>
          <w:b/>
          <w:bCs/>
        </w:rPr>
        <w:t xml:space="preserve">Definição: </w:t>
      </w:r>
      <w:r w:rsidR="00D71B73" w:rsidRPr="00D71B73">
        <w:t>Quantidade total de incidentes registrados no período selecionado.</w:t>
      </w:r>
    </w:p>
    <w:p w14:paraId="4861398F" w14:textId="77777777" w:rsidR="00A1684E" w:rsidRDefault="00466357" w:rsidP="00D331BD">
      <w:pPr>
        <w:spacing w:before="100" w:after="100"/>
        <w:jc w:val="both"/>
      </w:pPr>
      <w:r w:rsidRPr="00D71B73">
        <w:rPr>
          <w:b/>
          <w:bCs/>
        </w:rPr>
        <w:t xml:space="preserve">Método de cálculo: </w:t>
      </w:r>
      <w:r w:rsidR="00A1684E" w:rsidRPr="00A1684E">
        <w:t>Contagem distinta do campo Número.</w:t>
      </w:r>
    </w:p>
    <w:p w14:paraId="18BDCCA0" w14:textId="6DA7352B" w:rsidR="00BE0595" w:rsidRPr="00D71B73" w:rsidRDefault="00466357" w:rsidP="00D331BD">
      <w:pPr>
        <w:spacing w:before="100" w:after="100"/>
        <w:jc w:val="both"/>
      </w:pPr>
      <w:r w:rsidRPr="00D71B73">
        <w:rPr>
          <w:b/>
          <w:bCs/>
        </w:rPr>
        <w:t xml:space="preserve">Justificativa: </w:t>
      </w:r>
      <w:r w:rsidR="00A1684E" w:rsidRPr="00A1684E">
        <w:t>Permite compreender a carga de incidentes registrada e acompanhar sua evolução ao longo do tempo. Corresponde ao KPI “Volume de incidentes por período”, da família Volume e Demanda do documento de referência KPIs de Gestão de Incidentes.</w:t>
      </w:r>
    </w:p>
    <w:p w14:paraId="18BDCCA1" w14:textId="3420CDE0" w:rsidR="00BE0595" w:rsidRPr="00C62802" w:rsidRDefault="00466357" w:rsidP="00D331BD">
      <w:pPr>
        <w:spacing w:before="100" w:after="100"/>
        <w:jc w:val="both"/>
      </w:pPr>
      <w:r w:rsidRPr="00D71B73">
        <w:rPr>
          <w:b/>
          <w:bCs/>
        </w:rPr>
        <w:t xml:space="preserve">Como interpretar: </w:t>
      </w:r>
      <w:r w:rsidR="00C62802" w:rsidRPr="00C62802">
        <w:t>Valores maiores representam maior quantidade de incidentes registrados no contexto analisado. Variações devem ser investigadas em conjunto com período, origem, prioridade e demais dimensões, evitando interpretar automaticamente um aumento como piora operacional.</w:t>
      </w:r>
    </w:p>
    <w:p w14:paraId="1DEA811B" w14:textId="478E2D00" w:rsidR="00CC60CA" w:rsidRPr="00C62802" w:rsidRDefault="00466357" w:rsidP="00D331BD">
      <w:pPr>
        <w:spacing w:before="100" w:after="100"/>
        <w:jc w:val="both"/>
      </w:pPr>
      <w:r w:rsidRPr="00D71B73">
        <w:rPr>
          <w:b/>
          <w:bCs/>
        </w:rPr>
        <w:t xml:space="preserve">Relação com o FlowGuard: </w:t>
      </w:r>
      <w:r w:rsidR="00C62802" w:rsidRPr="00C62802">
        <w:t>Contribui para o monitoramento da operação e para a identificação de alterações relevantes no volume de incidentes.</w:t>
      </w:r>
    </w:p>
    <w:p w14:paraId="18BDCCA3" w14:textId="6A6FDAB8" w:rsidR="00BE0595" w:rsidRDefault="00466357" w:rsidP="00D331BD">
      <w:pPr>
        <w:pStyle w:val="Ttulo2"/>
        <w:jc w:val="both"/>
      </w:pPr>
      <w:bookmarkStart w:id="24" w:name="_Toc238946530"/>
      <w:r>
        <w:t>5.2 Incidentes Elegíveis ao KPI</w:t>
      </w:r>
      <w:bookmarkEnd w:id="24"/>
    </w:p>
    <w:p w14:paraId="18BDCCA4" w14:textId="334984DA" w:rsidR="00BE0595" w:rsidRPr="00CC60CA" w:rsidRDefault="00466357" w:rsidP="00D331BD">
      <w:pPr>
        <w:spacing w:before="100" w:after="100"/>
        <w:jc w:val="both"/>
      </w:pPr>
      <w:r w:rsidRPr="00CC60CA">
        <w:rPr>
          <w:b/>
          <w:bCs/>
        </w:rPr>
        <w:t xml:space="preserve">Definição: </w:t>
      </w:r>
      <w:r w:rsidR="00235A5C" w:rsidRPr="00235A5C">
        <w:t>Quantidade de incidentes considerados na medição dos KPIs da Locaweb.</w:t>
      </w:r>
    </w:p>
    <w:p w14:paraId="18BDCCA5" w14:textId="57F42BCB" w:rsidR="00BE0595" w:rsidRPr="00CC60CA" w:rsidRDefault="00466357" w:rsidP="00D331BD">
      <w:pPr>
        <w:spacing w:before="100" w:after="100"/>
        <w:jc w:val="both"/>
      </w:pPr>
      <w:r w:rsidRPr="00CC60CA">
        <w:rPr>
          <w:b/>
          <w:bCs/>
        </w:rPr>
        <w:t xml:space="preserve">Método de cálculo: </w:t>
      </w:r>
      <w:r w:rsidR="00235A5C" w:rsidRPr="00235A5C">
        <w:t>Contagem dos incidentes em que o campo Entrou para KPI? possui valor SIM. O próprio dicionário define esse campo como o indicador que determina se um incidente deve ser considerado no cálculo dos KPIs.</w:t>
      </w:r>
    </w:p>
    <w:p w14:paraId="18BDCCA6" w14:textId="25FFD930" w:rsidR="00BE0595" w:rsidRPr="00322EFF" w:rsidRDefault="00466357" w:rsidP="00D331BD">
      <w:pPr>
        <w:spacing w:before="100" w:after="100"/>
        <w:jc w:val="both"/>
      </w:pPr>
      <w:r w:rsidRPr="00CC60CA">
        <w:rPr>
          <w:b/>
          <w:bCs/>
        </w:rPr>
        <w:t xml:space="preserve">Justificativa: </w:t>
      </w:r>
      <w:r w:rsidRPr="00322EFF">
        <w:t>Nem todos os incidentes registrados são considerados na avaliação dos KPIs. Esse indicador permite separar o volume geral de ocorrências do conjunto efetivamente utilizado para acompanhamento de desempenho. Corresponde a uma leitura mais precisa do KPI “Volume de incidentes por período” da família Volume e Demanda do documento de referência — mais precisa do que o Total de Incidentes (seção 5.1), porque isola a demanda operacional real da automação de monitoramento identificada na seção 4.3. É, além disso, a série diária que o Motor Preditivo de Machine Learning do FlowGuard usa como alvo de previsão (modelo Poisson GLM, seção 9): a própria disciplina de ML validou que essa é a série mais estável e representativa da carga operacional, o que reforça sua posição como KPI de gestão central desta entrega.</w:t>
      </w:r>
    </w:p>
    <w:p w14:paraId="18BDCCA7" w14:textId="0F3AE5E7" w:rsidR="00BE0595" w:rsidRPr="00322EFF" w:rsidRDefault="00466357" w:rsidP="00D331BD">
      <w:pPr>
        <w:spacing w:before="100" w:after="100"/>
        <w:jc w:val="both"/>
      </w:pPr>
      <w:r w:rsidRPr="00322EFF">
        <w:t>Como interpretar: O valor representa quantos incidentes, dentro do período e dos filtros selecionados, foram classificados como elegíveis para a medição dos KPIs. Sua análise em conjunto com o total de incidentes também permite compreender quanto do volume registrado está efetivamente sujeito a essa avaliação. É também a série de referência para leitura da previsão D+1 e D+7 do dashboard (seção 6.3): o valor “realizado” comparado ao “previsto” nessa página usa esta mesma contagem diária.</w:t>
      </w:r>
    </w:p>
    <w:p w14:paraId="4BCEF814" w14:textId="4695D59E" w:rsidR="00CC60CA" w:rsidRPr="00322EFF" w:rsidRDefault="00466357" w:rsidP="00D331BD">
      <w:pPr>
        <w:spacing w:before="100" w:after="100"/>
        <w:jc w:val="both"/>
      </w:pPr>
      <w:r w:rsidRPr="00322EFF">
        <w:t>Relação com o FlowGuard: Permite diferenciar o monitoramento geral da operação do acompanhamento específico dos incidentes relevantes para os indicadores de desempenho. Alimenta diretamente o componente Prever (seção 9): é a série que o Motor Preditivo do FlowGuard antecipa em D+1 e D+7.</w:t>
      </w:r>
    </w:p>
    <w:p w14:paraId="03BC0434" w14:textId="77777777" w:rsidR="00296EB0" w:rsidRDefault="00000000" w:rsidP="00D331BD">
      <w:pPr>
        <w:jc w:val="both"/>
      </w:pPr>
      <w:r>
        <w:t>Uma contagem abaixo (KPIs Violados) não entra na lista de KPIs de gestão da seção 5.0: é métrica de apoio ao cálculo, não um indicador final. Isolada, ela não responde a uma pergunta de gestão por si só — “248 incidentes violaram” não diz se isso é bom ou ruim sem virar taxa. Ela existe para que o numerador da Taxa de Violação do KPI (seção 5.3) fique auditável e transparente. A definição e o método de cálculo seguem abaixo, por transparência metodológica.</w:t>
      </w:r>
    </w:p>
    <w:p w14:paraId="18BDCCA9" w14:textId="3E7A95D7" w:rsidR="00BE0595" w:rsidRDefault="00466357" w:rsidP="00D331BD">
      <w:pPr>
        <w:pStyle w:val="Ttulo2"/>
        <w:jc w:val="both"/>
      </w:pPr>
      <w:bookmarkStart w:id="25" w:name="_Toc238946531"/>
      <w:r>
        <w:t>Métrica de apoio ao cálculo: KPIs Violados</w:t>
      </w:r>
      <w:bookmarkEnd w:id="25"/>
    </w:p>
    <w:p w14:paraId="18BDCCAA" w14:textId="18E3F0B4" w:rsidR="00BE0595" w:rsidRPr="00CC60CA" w:rsidRDefault="00466357" w:rsidP="00D331BD">
      <w:pPr>
        <w:spacing w:before="100" w:after="100"/>
        <w:jc w:val="both"/>
        <w:rPr>
          <w:b/>
          <w:bCs/>
        </w:rPr>
      </w:pPr>
      <w:r w:rsidRPr="00CC60CA">
        <w:rPr>
          <w:b/>
          <w:bCs/>
        </w:rPr>
        <w:t xml:space="preserve">Definição: </w:t>
      </w:r>
      <w:r w:rsidR="0081738E" w:rsidRPr="0081738E">
        <w:t>Quantidade de incidentes identificados como tendo excedido o limite de tempo estabelecido para solução.</w:t>
      </w:r>
    </w:p>
    <w:p w14:paraId="18BDCCAB" w14:textId="758540D6" w:rsidR="00BE0595" w:rsidRPr="0081738E" w:rsidRDefault="00466357" w:rsidP="00D331BD">
      <w:pPr>
        <w:spacing w:before="100" w:after="100"/>
        <w:jc w:val="both"/>
      </w:pPr>
      <w:r w:rsidRPr="00CC60CA">
        <w:rPr>
          <w:b/>
          <w:bCs/>
        </w:rPr>
        <w:t xml:space="preserve">Método de cálculo: </w:t>
      </w:r>
      <w:r w:rsidR="0081738E" w:rsidRPr="0081738E">
        <w:t>Contagem dos incidentes em que o campo KPI Violado? possui valor SIM. Segundo o dicionário, esse campo indica se o tempo de solução excedeu o limite estabelecido.</w:t>
      </w:r>
    </w:p>
    <w:p w14:paraId="18BDCCAC" w14:textId="114C932D" w:rsidR="00BE0595" w:rsidRPr="00322EFF" w:rsidRDefault="00466357" w:rsidP="00D331BD">
      <w:pPr>
        <w:spacing w:before="100" w:after="100"/>
        <w:jc w:val="both"/>
      </w:pPr>
      <w:r w:rsidRPr="00CC60CA">
        <w:rPr>
          <w:b/>
          <w:bCs/>
        </w:rPr>
        <w:t xml:space="preserve">Justificativa: </w:t>
      </w:r>
      <w:r w:rsidRPr="00322EFF">
        <w:t>A quantidade de violações permite acompanhar diretamente situações em que os limites estabelecidos não foram cumpridos e investigar onde essas ocorrências estão concentradas. É a contagem-base (numerador) que alimenta a Taxa de Violação do KPI (seção 5.3), equivalente de gestão ao “% de cumprimento do OLA” do documento de referência.</w:t>
      </w:r>
    </w:p>
    <w:p w14:paraId="18BDCCAD" w14:textId="0D0D1ECA" w:rsidR="00BE0595" w:rsidRPr="00CC60CA" w:rsidRDefault="00466357" w:rsidP="00D331BD">
      <w:pPr>
        <w:spacing w:before="100" w:after="100"/>
        <w:jc w:val="both"/>
        <w:rPr>
          <w:b/>
          <w:bCs/>
        </w:rPr>
      </w:pPr>
      <w:r w:rsidRPr="00CC60CA">
        <w:rPr>
          <w:b/>
          <w:bCs/>
        </w:rPr>
        <w:lastRenderedPageBreak/>
        <w:t xml:space="preserve">Como interpretar: </w:t>
      </w:r>
      <w:r w:rsidR="00C209F9" w:rsidRPr="00C209F9">
        <w:t>Valores mais elevados representam maior quantidade de incidentes com violação no contexto analisado. O indicador deve ser interpretado em conjunto com o número de incidentes elegíveis ao KPI, pois diferentes períodos ou segmentos podem possuir volumes distintos de ocorrências.</w:t>
      </w:r>
    </w:p>
    <w:p w14:paraId="5DDCC9A0" w14:textId="19DDC77B" w:rsidR="00C209F9" w:rsidRDefault="00466357" w:rsidP="00D331BD">
      <w:pPr>
        <w:spacing w:before="100" w:after="100"/>
        <w:jc w:val="both"/>
      </w:pPr>
      <w:r w:rsidRPr="00CC60CA">
        <w:rPr>
          <w:b/>
          <w:bCs/>
        </w:rPr>
        <w:t xml:space="preserve">Relação com o FlowGuard: </w:t>
      </w:r>
      <w:r w:rsidR="00C209F9" w:rsidRPr="00C209F9">
        <w:t xml:space="preserve">Contribui para a </w:t>
      </w:r>
      <w:r w:rsidR="00C209F9" w:rsidRPr="00C209F9">
        <w:rPr>
          <w:b/>
          <w:bCs/>
        </w:rPr>
        <w:t>identificação e priorização de pontos de atenção</w:t>
      </w:r>
      <w:r w:rsidR="00C209F9" w:rsidRPr="00C209F9">
        <w:t>, permitindo localizar períodos, prioridades, equipes ou outras dimensões em que as violações estão mais concentradas.</w:t>
      </w:r>
    </w:p>
    <w:p w14:paraId="35837C32" w14:textId="557EA1D4" w:rsidR="003F5743" w:rsidRDefault="00C209F9" w:rsidP="00D331BD">
      <w:pPr>
        <w:pStyle w:val="Ttulo2"/>
        <w:jc w:val="both"/>
      </w:pPr>
      <w:bookmarkStart w:id="26" w:name="_Toc238946532"/>
      <w:r>
        <w:t>5.3 Taxa de Violação do KPI</w:t>
      </w:r>
      <w:bookmarkEnd w:id="26"/>
    </w:p>
    <w:p w14:paraId="1AD660E2" w14:textId="4BEDF88A" w:rsidR="00EC5B43" w:rsidRDefault="003F5743" w:rsidP="00D331BD">
      <w:pPr>
        <w:spacing w:before="100" w:after="100"/>
        <w:jc w:val="both"/>
      </w:pPr>
      <w:r w:rsidRPr="00CC60CA">
        <w:rPr>
          <w:b/>
          <w:bCs/>
        </w:rPr>
        <w:t xml:space="preserve">Definição: </w:t>
      </w:r>
      <w:r w:rsidR="00EC5B43" w:rsidRPr="00EC5B43">
        <w:t>Percentual dos incidentes elegíveis ao KPI que apresentaram violação.</w:t>
      </w:r>
    </w:p>
    <w:p w14:paraId="1E4D0D02" w14:textId="77777777" w:rsidR="00EC5B43" w:rsidRPr="00EC5B43" w:rsidRDefault="003F5743" w:rsidP="00D331BD">
      <w:pPr>
        <w:spacing w:before="100" w:after="100"/>
        <w:jc w:val="both"/>
      </w:pPr>
      <w:r w:rsidRPr="00CC60CA">
        <w:rPr>
          <w:b/>
          <w:bCs/>
        </w:rPr>
        <w:t xml:space="preserve">Método de cálculo: </w:t>
      </w:r>
      <w:r w:rsidR="00EC5B43" w:rsidRPr="00EC5B43">
        <w:t>Taxa de Violação do KPI (%) = (KPIs Violados ÷ Incidentes Elegíveis ao KPI) × 100</w:t>
      </w:r>
    </w:p>
    <w:p w14:paraId="7270D7F2" w14:textId="46FA1622" w:rsidR="003F5743" w:rsidRPr="00CC60CA" w:rsidRDefault="00EC5B43" w:rsidP="00D331BD">
      <w:pPr>
        <w:spacing w:before="100" w:after="100"/>
        <w:jc w:val="both"/>
      </w:pPr>
      <w:r w:rsidRPr="00EC5B43">
        <w:t>O denominador considera apenas os registros classificados como Entrou para KPI? = SIM.</w:t>
      </w:r>
    </w:p>
    <w:p w14:paraId="6E194796" w14:textId="67DF6F0A" w:rsidR="003F5743" w:rsidRPr="00CC60CA" w:rsidRDefault="003F5743" w:rsidP="00D331BD">
      <w:pPr>
        <w:spacing w:before="100" w:after="100"/>
        <w:jc w:val="both"/>
      </w:pPr>
      <w:r w:rsidRPr="00CC60CA">
        <w:rPr>
          <w:b/>
          <w:bCs/>
        </w:rPr>
        <w:t xml:space="preserve">Justificativa: </w:t>
      </w:r>
      <w:r w:rsidR="00535CC6" w:rsidRPr="00535CC6">
        <w:t>A quantidade absoluta de violações pode ser influenciada pelo próprio volume de incidentes. A utilização de uma taxa permite avaliar proporcionalmente as violações e realizar comparações mais adequadas entre períodos e diferentes segmentos da operação. É o equivalente de gestão ao “% de cumprimento do OLA (mensal)” da família Qualidade Agregada do documento de referência — no FlowGuard optamos por expressar o mesmo fenômeno como taxa de violação (o complemento do cumprimento), por ser a forma como o campo KPI Violado? já vem estruturado na base fornecida pela Locaweb.</w:t>
      </w:r>
    </w:p>
    <w:p w14:paraId="5ADC3C41" w14:textId="186D4A92" w:rsidR="003F5743" w:rsidRPr="00CC60CA" w:rsidRDefault="003F5743" w:rsidP="00D331BD">
      <w:pPr>
        <w:spacing w:before="100" w:after="100"/>
        <w:jc w:val="both"/>
      </w:pPr>
      <w:r w:rsidRPr="00CC60CA">
        <w:rPr>
          <w:b/>
          <w:bCs/>
        </w:rPr>
        <w:t xml:space="preserve">Como interpretar: </w:t>
      </w:r>
      <w:r w:rsidR="00535CC6" w:rsidRPr="00535CC6">
        <w:t>Quanto maior a taxa, maior a proporção de incidentes elegíveis que apresentaram violação. Por exemplo, uma taxa de 1% significa que aproximadamente um em cada 100 incidentes considerados no KPI apresentou violação.</w:t>
      </w:r>
    </w:p>
    <w:p w14:paraId="33A5AF47" w14:textId="16D2B223" w:rsidR="00535CC6" w:rsidRDefault="003F5743" w:rsidP="00D331BD">
      <w:pPr>
        <w:spacing w:before="100" w:after="100"/>
        <w:jc w:val="both"/>
      </w:pPr>
      <w:r w:rsidRPr="00CC60CA">
        <w:rPr>
          <w:b/>
          <w:bCs/>
        </w:rPr>
        <w:t xml:space="preserve">Relação com o FlowGuard: </w:t>
      </w:r>
      <w:r w:rsidR="00535CC6" w:rsidRPr="00535CC6">
        <w:t xml:space="preserve">Funciona como indicador de </w:t>
      </w:r>
      <w:r w:rsidR="00535CC6" w:rsidRPr="00535CC6">
        <w:rPr>
          <w:b/>
          <w:bCs/>
        </w:rPr>
        <w:t>desempenho e risco operacional</w:t>
      </w:r>
      <w:r w:rsidR="00535CC6" w:rsidRPr="00535CC6">
        <w:t>, permitindo identificar contextos nos quais as violações são proporcionalmente mais frequentes e que podem demandar investigação ou priorização.</w:t>
      </w:r>
    </w:p>
    <w:p w14:paraId="030AC8CC" w14:textId="77777777" w:rsidR="0083084B" w:rsidRDefault="00000000" w:rsidP="00D331BD">
      <w:pPr>
        <w:jc w:val="both"/>
      </w:pPr>
      <w:r>
        <w:t>Sazonalidade em 2025: A taxa mensal de violação varia entre 0,47% (setembro, mínimo do ano) e 1,47% (junho, máximo do ano). Contraintuitivamente, a taxa NÃO piora nos meses de maior volume (setembro a dezembro, já sob o regime de monitoramento automatizado) — ao contrário, cai para os menores patamares do ano (0,47% em setembro e 0,52% em outubro), subindo levemente em novembro (1,29%) e dezembro (1,26%). No primeiro semestre, quando o volume mensal era baixo (~3.500/mês) e a proporção de abertura manual era maior, a taxa oscilou entre 0,58% (abril) e 1,47% (junho).</w:t>
      </w:r>
    </w:p>
    <w:p w14:paraId="4FC5E77A" w14:textId="77777777" w:rsidR="0083084B" w:rsidRDefault="00000000" w:rsidP="00D331BD">
      <w:pPr>
        <w:jc w:val="both"/>
      </w:pPr>
      <w:r>
        <w:t>Essa sazonalidade reforça a leitura da seção 4.7: incidentes de Monitoramento (que dominam o segundo semestre de 2025) têm duração menor e violam menos o KPI do que incidentes Manuais; por isso, o salto de volume de setembro não trouxe, isoladamente, um salto proporcional de violações.</w:t>
      </w:r>
    </w:p>
    <w:p w14:paraId="18EA2268" w14:textId="302C3F11" w:rsidR="00535CC6" w:rsidRDefault="00535CC6" w:rsidP="00D331BD">
      <w:pPr>
        <w:pStyle w:val="Ttulo2"/>
        <w:jc w:val="both"/>
      </w:pPr>
      <w:bookmarkStart w:id="27" w:name="_Toc238946533"/>
      <w:r>
        <w:t>5.4 Mediana da Duração dos Incidentes</w:t>
      </w:r>
      <w:bookmarkEnd w:id="27"/>
    </w:p>
    <w:p w14:paraId="6936ACC5" w14:textId="34CC1CC8" w:rsidR="00535CC6" w:rsidRDefault="00535CC6" w:rsidP="00D331BD">
      <w:pPr>
        <w:spacing w:before="100" w:after="100"/>
        <w:jc w:val="both"/>
      </w:pPr>
      <w:r w:rsidRPr="00CC60CA">
        <w:rPr>
          <w:b/>
          <w:bCs/>
        </w:rPr>
        <w:t xml:space="preserve">Definição: </w:t>
      </w:r>
      <w:r w:rsidR="00EF0D80" w:rsidRPr="00EF0D80">
        <w:t>Valor central da distribuição do tempo de duração dos incidentes, utilizado para representar o tempo típico entre abertura e resolução ou encerramento.</w:t>
      </w:r>
    </w:p>
    <w:p w14:paraId="156EFDD0" w14:textId="4A2DE307" w:rsidR="00535CC6" w:rsidRPr="00CC60CA" w:rsidRDefault="00535CC6" w:rsidP="00D331BD">
      <w:pPr>
        <w:spacing w:before="100" w:after="100"/>
        <w:jc w:val="both"/>
      </w:pPr>
      <w:r w:rsidRPr="00CC60CA">
        <w:rPr>
          <w:b/>
          <w:bCs/>
        </w:rPr>
        <w:t xml:space="preserve">Método de cálculo: </w:t>
      </w:r>
      <w:r w:rsidR="00EF0D80" w:rsidRPr="00EF0D80">
        <w:t>O campo Duração, originalmente disponibilizado em segundos, é convertido para uma unidade de tempo mais interpretável. Em seguida, é calculada a mediana dos valores no contexto analisado. O dicionário define Duração como o tempo total decorrido entre a abertura e a resolução ou encerramento do incidente.</w:t>
      </w:r>
    </w:p>
    <w:p w14:paraId="634B6BC6" w14:textId="312431E0" w:rsidR="007B6993" w:rsidRPr="00CC60CA" w:rsidRDefault="00535CC6" w:rsidP="00D331BD">
      <w:pPr>
        <w:spacing w:before="100" w:after="100"/>
        <w:jc w:val="both"/>
      </w:pPr>
      <w:r w:rsidRPr="00CC60CA">
        <w:rPr>
          <w:b/>
          <w:bCs/>
        </w:rPr>
        <w:t xml:space="preserve">Justificativa: </w:t>
      </w:r>
      <w:r w:rsidR="007B6993" w:rsidRPr="007B6993">
        <w:t>A mediana foi selecionada para representar o valor central da duração dos incidentes, reduzindo a influência de valores extremos presentes na distribuição. Durante a análise exploratória, entretanto, foram identificadas diferenças estruturais significativas entre os anos de 2023, 2024 e 2025. Dessa forma, o indicador deve ser interpretado considerando o período analisado e não deve ser utilizado isoladamente para inferir evolução de desempenho entre os anos. Corresponde ao “MTTR médio mensal” da família Qualidade Agregada do documento de referência; usamos a mediana em vez da média porque a agregação de um KPI de gestão precisa neutralizar valores extremos — o que a média, neste dataset, não faria (ver os outliers do “backlog órfão” identificados na AED de Machine Learning).</w:t>
      </w:r>
    </w:p>
    <w:p w14:paraId="04A9FD72" w14:textId="3E9C8328" w:rsidR="00535CC6" w:rsidRPr="00CC60CA" w:rsidRDefault="00535CC6" w:rsidP="00D331BD">
      <w:pPr>
        <w:spacing w:before="100" w:after="100"/>
        <w:jc w:val="both"/>
      </w:pPr>
      <w:r w:rsidRPr="00CC60CA">
        <w:rPr>
          <w:b/>
          <w:bCs/>
        </w:rPr>
        <w:lastRenderedPageBreak/>
        <w:t xml:space="preserve">Como interpretar: </w:t>
      </w:r>
      <w:r w:rsidR="00FC0F55" w:rsidRPr="00FC0F55">
        <w:t>A mediana divide os incidentes analisados em duas metades: aproximadamente 50% apresentam duração inferior ou igual ao valor indicado e 50% apresentam duração superior ou igual. O indicador também pode ser analisado por prioridade, equipe, produto, categoria e período.</w:t>
      </w:r>
    </w:p>
    <w:p w14:paraId="086CC23A" w14:textId="563E7DA8" w:rsidR="00535CC6" w:rsidRDefault="00535CC6" w:rsidP="00D331BD">
      <w:pPr>
        <w:spacing w:before="100" w:after="100"/>
        <w:jc w:val="both"/>
        <w:rPr>
          <w:b/>
          <w:bCs/>
        </w:rPr>
      </w:pPr>
      <w:r w:rsidRPr="00CC60CA">
        <w:rPr>
          <w:b/>
          <w:bCs/>
        </w:rPr>
        <w:t xml:space="preserve">Relação com o FlowGuard: </w:t>
      </w:r>
      <w:r w:rsidR="00FC0F55" w:rsidRPr="00FC0F55">
        <w:t xml:space="preserve">Contribui para o </w:t>
      </w:r>
      <w:r w:rsidR="00FC0F55" w:rsidRPr="00FC0F55">
        <w:rPr>
          <w:b/>
          <w:bCs/>
        </w:rPr>
        <w:t>monitoramento do comportamento operacional</w:t>
      </w:r>
      <w:r w:rsidR="00FC0F55" w:rsidRPr="00FC0F55">
        <w:t>, permitindo acompanhar o tempo típico de duração dos incidentes e identificar segmentos ou períodos que apresentem diferenças relevantes.</w:t>
      </w:r>
    </w:p>
    <w:p w14:paraId="764E1FB4" w14:textId="77777777" w:rsidR="0083084B" w:rsidRDefault="00000000" w:rsidP="00D331BD">
      <w:pPr>
        <w:pStyle w:val="Ttulo2"/>
        <w:jc w:val="both"/>
      </w:pPr>
      <w:bookmarkStart w:id="28" w:name="_Toc238946534"/>
      <w:r>
        <w:t>5.5 Taxa de Crescimento da Demanda</w:t>
      </w:r>
      <w:bookmarkEnd w:id="28"/>
    </w:p>
    <w:p w14:paraId="2E233686" w14:textId="77777777" w:rsidR="0083084B" w:rsidRDefault="00000000" w:rsidP="00D331BD">
      <w:pPr>
        <w:jc w:val="both"/>
      </w:pPr>
      <w:r>
        <w:t>Definição: Variação percentual do volume total de incidentes em relação ao mês anterior.</w:t>
      </w:r>
    </w:p>
    <w:p w14:paraId="17EF8F85" w14:textId="77777777" w:rsidR="0083084B" w:rsidRDefault="00000000" w:rsidP="00D331BD">
      <w:pPr>
        <w:jc w:val="both"/>
      </w:pPr>
      <w:r>
        <w:t>Método de cálculo: Taxa de Crescimento (%) = (Volume do mês atual ÷ Volume do mês anterior − 1) × 100.</w:t>
      </w:r>
    </w:p>
    <w:p w14:paraId="5C6196D0" w14:textId="77777777" w:rsidR="0083084B" w:rsidRDefault="00000000" w:rsidP="00D331BD">
      <w:pPr>
        <w:jc w:val="both"/>
      </w:pPr>
      <w:r>
        <w:t>Justificativa: KPI da família “Volume e Demanda” do documento de referência KPIs de Gestão de Incidentes fornecido pela disciplina. Complementa o Total de Incidentes ao evidenciar mudanças bruscas de padrão, como a variação de +439,6% observada entre agosto e setembro de 2025 (seção 4.3).</w:t>
      </w:r>
    </w:p>
    <w:p w14:paraId="26E39DEE" w14:textId="77777777" w:rsidR="0083084B" w:rsidRDefault="00000000" w:rsidP="00D331BD">
      <w:pPr>
        <w:jc w:val="both"/>
      </w:pPr>
      <w:r>
        <w:t>Como interpretar: Variações pequenas indicam operação estável; variações muito grandes indicam ruptura de processo (ex.: automação de abertura de chamados) e não devem ser confundidas com crescimento orgânico de demanda.</w:t>
      </w:r>
    </w:p>
    <w:p w14:paraId="052E6A50" w14:textId="77777777" w:rsidR="0083084B" w:rsidRDefault="00000000" w:rsidP="00D331BD">
      <w:pPr>
        <w:jc w:val="both"/>
      </w:pPr>
      <w:r>
        <w:t>Relação com o FlowGuard: Alimenta o componente Monitorar e serve de gatilho para investigação quando a variação mês a mês ultrapassa um limiar definido (ex.: acima de 30%).</w:t>
      </w:r>
    </w:p>
    <w:p w14:paraId="60B1310A" w14:textId="77777777" w:rsidR="0083084B" w:rsidRDefault="00000000" w:rsidP="00D331BD">
      <w:pPr>
        <w:pStyle w:val="Ttulo2"/>
        <w:jc w:val="both"/>
      </w:pPr>
      <w:bookmarkStart w:id="29" w:name="_Toc238946535"/>
      <w:r>
        <w:t>5.6 Distribuição por Severidade (Prioridade)</w:t>
      </w:r>
      <w:bookmarkEnd w:id="29"/>
    </w:p>
    <w:p w14:paraId="08B32C65" w14:textId="77777777" w:rsidR="0083084B" w:rsidRDefault="00000000" w:rsidP="00D331BD">
      <w:pPr>
        <w:jc w:val="both"/>
      </w:pPr>
      <w:r w:rsidRPr="00D33426">
        <w:rPr>
          <w:b/>
          <w:bCs/>
        </w:rPr>
        <w:t>Definição:</w:t>
      </w:r>
      <w:r>
        <w:t xml:space="preserve"> Participação percentual de cada nível de prioridade no volume total de incidentes do período.</w:t>
      </w:r>
    </w:p>
    <w:p w14:paraId="5CBAD769" w14:textId="77777777" w:rsidR="0083084B" w:rsidRDefault="00000000" w:rsidP="00D331BD">
      <w:pPr>
        <w:jc w:val="both"/>
      </w:pPr>
      <w:r>
        <w:t>Método de cálculo: (Quantidade de incidentes da prioridade ÷ Total de incidentes do período) × 100, para cada uma das cinco prioridades (1-Crítica a 5-Muito Baixa).</w:t>
      </w:r>
    </w:p>
    <w:p w14:paraId="06E6C43E" w14:textId="77777777" w:rsidR="0083084B" w:rsidRDefault="00000000" w:rsidP="00D331BD">
      <w:pPr>
        <w:jc w:val="both"/>
      </w:pPr>
      <w:r w:rsidRPr="00D33426">
        <w:rPr>
          <w:b/>
          <w:bCs/>
        </w:rPr>
        <w:t>Justificativa:</w:t>
      </w:r>
      <w:r>
        <w:t xml:space="preserve"> KPI da família “Volume e Demanda” do documento de referência. Em 2025, a distribuição é: 4-Baixa 53,0%, 3-Média 33,9%, 2-Alta 12,8%, 5-Muito Baixa 0,3% e 1-Crítica praticamente inexistente (1 caso). Como apenas as prioridades 1, 2 e 3 entram no cálculo dos KPIs (seção 3.6), este indicador evidencia que mais da metade do volume de 2025 (Prioridade 4) fica fora da medição formal de KPI.</w:t>
      </w:r>
    </w:p>
    <w:p w14:paraId="5E0343FB" w14:textId="77777777" w:rsidR="0083084B" w:rsidRDefault="00000000" w:rsidP="00D331BD">
      <w:pPr>
        <w:jc w:val="both"/>
      </w:pPr>
      <w:r w:rsidRPr="00D33426">
        <w:rPr>
          <w:b/>
          <w:bCs/>
        </w:rPr>
        <w:t>Como interpretar:</w:t>
      </w:r>
      <w:r>
        <w:t xml:space="preserve"> Alta participação de Prioridade 4/5 no volume total, combinada com baixa participação dessas prioridades entre os elegíveis, é esperada e reflete a própria regra de negócio da Locaweb — não representa erro de dados.</w:t>
      </w:r>
    </w:p>
    <w:p w14:paraId="3E53DCA2" w14:textId="77777777" w:rsidR="0083084B" w:rsidRDefault="00000000" w:rsidP="00D331BD">
      <w:pPr>
        <w:jc w:val="both"/>
      </w:pPr>
      <w:r>
        <w:t>Relação com o FlowGuard: Ajuda a dimensionar, de forma realista, qual fração da operação está de fato sob acompanhamento de SLA/OLA.</w:t>
      </w:r>
    </w:p>
    <w:p w14:paraId="190F5BD8" w14:textId="77777777" w:rsidR="0083084B" w:rsidRDefault="00000000" w:rsidP="00D331BD">
      <w:pPr>
        <w:pStyle w:val="Ttulo2"/>
        <w:jc w:val="both"/>
      </w:pPr>
      <w:bookmarkStart w:id="30" w:name="_Toc238946536"/>
      <w:r>
        <w:t>5.7 Distribuição por Categoria/Serviço</w:t>
      </w:r>
      <w:bookmarkEnd w:id="30"/>
    </w:p>
    <w:p w14:paraId="7D431D58" w14:textId="77777777" w:rsidR="0083084B" w:rsidRDefault="00000000" w:rsidP="00D331BD">
      <w:pPr>
        <w:jc w:val="both"/>
      </w:pPr>
      <w:r w:rsidRPr="00D33426">
        <w:rPr>
          <w:b/>
          <w:bCs/>
        </w:rPr>
        <w:t>Definição:</w:t>
      </w:r>
      <w:r>
        <w:t xml:space="preserve"> Participação percentual de cada categoria operacional no volume de incidentes com Categoria identificada.</w:t>
      </w:r>
    </w:p>
    <w:p w14:paraId="12C9BBCC" w14:textId="77777777" w:rsidR="0083084B" w:rsidRDefault="00000000" w:rsidP="00D331BD">
      <w:pPr>
        <w:jc w:val="both"/>
      </w:pPr>
      <w:r w:rsidRPr="007666EF">
        <w:rPr>
          <w:b/>
          <w:bCs/>
        </w:rPr>
        <w:t>Método de cálculo:</w:t>
      </w:r>
      <w:r>
        <w:t xml:space="preserve"> (Quantidade de incidentes da categoria ÷ Total de incidentes com Categoria preenchida) × 100.</w:t>
      </w:r>
    </w:p>
    <w:p w14:paraId="60363A47" w14:textId="77777777" w:rsidR="0083084B" w:rsidRDefault="00000000" w:rsidP="00D331BD">
      <w:pPr>
        <w:jc w:val="both"/>
      </w:pPr>
      <w:r w:rsidRPr="00D33426">
        <w:rPr>
          <w:b/>
          <w:bCs/>
        </w:rPr>
        <w:t>Justificativa:</w:t>
      </w:r>
      <w:r>
        <w:t xml:space="preserve"> KPI da família Volume e Demanda do documento de referência (“Distribuição por categoria/serviço”). Em 2025, 63,8% dos incidentes (77.721 de 121.811) não possuem Categoria preenchida — nulos concentrados nas aberturas via Monitoramento (seções 4.1 e 4.9). Entre os 44.090 incidentes com categoria identificada, as 10 categorias mais frequentes concentram 30.728 casos (69,7% do subconjunto classificado, 25,2% do total do ano), evidenciando um padrão de Pareto mesmo com a limitação de completude.</w:t>
      </w:r>
    </w:p>
    <w:p w14:paraId="1B66A656" w14:textId="77777777" w:rsidR="0083084B" w:rsidRDefault="00000000" w:rsidP="00D331BD">
      <w:pPr>
        <w:jc w:val="both"/>
      </w:pPr>
      <w:r w:rsidRPr="007666EF">
        <w:rPr>
          <w:b/>
          <w:bCs/>
        </w:rPr>
        <w:t>Como interpretar:</w:t>
      </w:r>
      <w:r>
        <w:t xml:space="preserve"> O indicador deve sempre ser lido junto com a taxa de preenchimento do campo Categoria — um ranking calculado apenas sobre os registros classificados não representa a totalidade da operação.</w:t>
      </w:r>
    </w:p>
    <w:p w14:paraId="4C080456" w14:textId="77777777" w:rsidR="0083084B" w:rsidRDefault="00000000" w:rsidP="00D331BD">
      <w:pPr>
        <w:jc w:val="both"/>
      </w:pPr>
      <w:r w:rsidRPr="007666EF">
        <w:rPr>
          <w:b/>
          <w:bCs/>
        </w:rPr>
        <w:t>Relação com o FlowGuard:</w:t>
      </w:r>
      <w:r>
        <w:t xml:space="preserve"> Ajuda o componente Priorizar a apontar em quais categorias concentrar a investigação de causa raiz, dentro dos limites de completude da base (seções 4.9 e 5.8).</w:t>
      </w:r>
    </w:p>
    <w:p w14:paraId="33ADA0D5" w14:textId="77777777" w:rsidR="007666EF" w:rsidRDefault="007666EF"/>
    <w:p w14:paraId="3F3AC759" w14:textId="77777777" w:rsidR="007666EF" w:rsidRDefault="007666EF"/>
    <w:p w14:paraId="58E22300" w14:textId="77777777" w:rsidR="007666EF" w:rsidRDefault="007666EF"/>
    <w:p w14:paraId="324414A2" w14:textId="77777777" w:rsidR="0083084B" w:rsidRDefault="00000000">
      <w:pPr>
        <w:pStyle w:val="Ttulo2"/>
      </w:pPr>
      <w:bookmarkStart w:id="31" w:name="_Toc238946537"/>
      <w:r>
        <w:t>5.8 Cobertura das Famílias de KPIs de Gestão</w:t>
      </w:r>
      <w:bookmarkEnd w:id="31"/>
    </w:p>
    <w:p w14:paraId="78D86643" w14:textId="77777777" w:rsidR="0083084B" w:rsidRDefault="00000000" w:rsidP="007666EF">
      <w:pPr>
        <w:jc w:val="both"/>
      </w:pPr>
      <w:r>
        <w:lastRenderedPageBreak/>
        <w:t>O documento “KPIs de Gestão de Incidentes”, fornecido como referência para esta entrega, também descreve indicadores das famílias de Capacidade/Backlog (ex.: aging médio do backlog), Qualidade Agregada (ex.: MTTR mensal, First Call Resolution, taxa de reabertura), Desempenho Comparativo por Nível (ex.: funil de escalonamento N1→N2→N3) e Financeiros (ex.: custo médio por incidente).</w:t>
      </w:r>
    </w:p>
    <w:p w14:paraId="20D80942" w14:textId="77777777" w:rsidR="0083084B" w:rsidRDefault="00000000" w:rsidP="007666EF">
      <w:pPr>
        <w:jc w:val="both"/>
      </w:pPr>
      <w:r>
        <w:t>Esses indicadores não puderam ser implementados nesta entrega porque o LW-DATASET não possui os campos necessários: não há nível de atendimento (N1/N2/N3), não há indicador de reabertura de incidente, não há custo por incidente, e o campo Status praticamente não registra incidentes em aberto no momento do corte da base — apenas 1 incidente com Status = “Aguardando Problema” em 31/12/2025, entre 121.811 registros de 2025. Ou seja, a base representa um histórico de incidentes majoritariamente já encerrados, não uma fila operacional em tempo real.</w:t>
      </w:r>
    </w:p>
    <w:p w14:paraId="1AE7F8A1" w14:textId="77777777" w:rsidR="0083084B" w:rsidRDefault="00000000" w:rsidP="007666EF">
      <w:pPr>
        <w:jc w:val="both"/>
      </w:pPr>
      <w:r>
        <w:t>Por esse motivo, o indicador de MTTR foi substituído pela Mediana da Duração (seção 5.4), mais robusta a valores extremos, e nenhum KPI de backlog em tempo real foi incluído nesta entrega.</w:t>
      </w:r>
    </w:p>
    <w:p w14:paraId="5039EF2F" w14:textId="77777777" w:rsidR="0083084B" w:rsidRDefault="00000000" w:rsidP="007666EF">
      <w:pPr>
        <w:jc w:val="both"/>
      </w:pPr>
      <w:r>
        <w:t>A tabela abaixo resume, para as 6 famílias de KPIs de gestão do documento de referência, quais estão cobertas nesta entrega e quais KPIs (desta seção 5 ou do dashboard) atendem a cada uma: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08"/>
        <w:gridCol w:w="3211"/>
      </w:tblGrid>
      <w:tr w:rsidR="0083084B" w14:paraId="2CF2814B" w14:textId="77777777">
        <w:tc>
          <w:tcPr>
            <w:tcW w:w="3213" w:type="dxa"/>
          </w:tcPr>
          <w:p w14:paraId="5999CED7" w14:textId="77777777" w:rsidR="0083084B" w:rsidRDefault="00000000">
            <w:r>
              <w:t>Família (documento de referência)</w:t>
            </w:r>
          </w:p>
        </w:tc>
        <w:tc>
          <w:tcPr>
            <w:tcW w:w="3213" w:type="dxa"/>
          </w:tcPr>
          <w:p w14:paraId="7CA0F61A" w14:textId="77777777" w:rsidR="0083084B" w:rsidRDefault="00000000">
            <w:r>
              <w:t>Cobertura nesta entrega</w:t>
            </w:r>
          </w:p>
        </w:tc>
        <w:tc>
          <w:tcPr>
            <w:tcW w:w="3213" w:type="dxa"/>
          </w:tcPr>
          <w:p w14:paraId="460E4825" w14:textId="77777777" w:rsidR="0083084B" w:rsidRDefault="00000000">
            <w:r>
              <w:t>KPIs / onde estão</w:t>
            </w:r>
          </w:p>
        </w:tc>
      </w:tr>
      <w:tr w:rsidR="0083084B" w14:paraId="51ADE34F" w14:textId="77777777">
        <w:tc>
          <w:tcPr>
            <w:tcW w:w="3213" w:type="dxa"/>
          </w:tcPr>
          <w:p w14:paraId="6E56E985" w14:textId="77777777" w:rsidR="0083084B" w:rsidRDefault="00000000">
            <w:r>
              <w:t>2.1 Volume e Demanda</w:t>
            </w:r>
          </w:p>
        </w:tc>
        <w:tc>
          <w:tcPr>
            <w:tcW w:w="3213" w:type="dxa"/>
          </w:tcPr>
          <w:p w14:paraId="174973E7" w14:textId="77777777" w:rsidR="0083084B" w:rsidRDefault="00000000">
            <w:r>
              <w:t>Completa</w:t>
            </w:r>
          </w:p>
        </w:tc>
        <w:tc>
          <w:tcPr>
            <w:tcW w:w="3213" w:type="dxa"/>
          </w:tcPr>
          <w:p w14:paraId="5EF9EEEB" w14:textId="77777777" w:rsidR="00296EB0" w:rsidRDefault="00000000">
            <w:r>
              <w:t>Total de Incidentes (5.1), Incidentes Elegíveis ao KPI (5.2), Taxa de Crescimento da Demanda (5.5), Distribuição por Severidade (5.6), Distribuição por Categoria/Serviço (5.7)</w:t>
            </w:r>
          </w:p>
        </w:tc>
      </w:tr>
      <w:tr w:rsidR="0083084B" w14:paraId="3E290209" w14:textId="77777777">
        <w:tc>
          <w:tcPr>
            <w:tcW w:w="3213" w:type="dxa"/>
          </w:tcPr>
          <w:p w14:paraId="16F63986" w14:textId="77777777" w:rsidR="0083084B" w:rsidRDefault="00000000">
            <w:r>
              <w:t>2.2 Capacidade e Backlog</w:t>
            </w:r>
          </w:p>
        </w:tc>
        <w:tc>
          <w:tcPr>
            <w:tcW w:w="3213" w:type="dxa"/>
          </w:tcPr>
          <w:p w14:paraId="7F098BC3" w14:textId="77777777" w:rsidR="0083084B" w:rsidRDefault="00000000">
            <w:r>
              <w:t>Não coberta</w:t>
            </w:r>
          </w:p>
        </w:tc>
        <w:tc>
          <w:tcPr>
            <w:tcW w:w="3213" w:type="dxa"/>
          </w:tcPr>
          <w:p w14:paraId="2C43BFFC" w14:textId="77777777" w:rsidR="0083084B" w:rsidRDefault="00000000">
            <w:r>
              <w:t>Campo Status quase não registra incidentes em aberto no corte da base (1 caso em 121.811 de 2025) — ver justificativa acima</w:t>
            </w:r>
          </w:p>
        </w:tc>
      </w:tr>
      <w:tr w:rsidR="0083084B" w14:paraId="76A7F6A3" w14:textId="77777777">
        <w:tc>
          <w:tcPr>
            <w:tcW w:w="3213" w:type="dxa"/>
          </w:tcPr>
          <w:p w14:paraId="463FE4CB" w14:textId="77777777" w:rsidR="0083084B" w:rsidRDefault="00000000">
            <w:r>
              <w:t>2.3 Qualidade Agregada</w:t>
            </w:r>
          </w:p>
        </w:tc>
        <w:tc>
          <w:tcPr>
            <w:tcW w:w="3213" w:type="dxa"/>
          </w:tcPr>
          <w:p w14:paraId="1C390B34" w14:textId="77777777" w:rsidR="0083084B" w:rsidRDefault="00000000">
            <w:r>
              <w:t>Parcial</w:t>
            </w:r>
          </w:p>
        </w:tc>
        <w:tc>
          <w:tcPr>
            <w:tcW w:w="3213" w:type="dxa"/>
          </w:tcPr>
          <w:p w14:paraId="354F97C5" w14:textId="77777777" w:rsidR="00296EB0" w:rsidRDefault="00000000">
            <w:r>
              <w:t>Taxa de Violação do KPI (5.3, equivalente a % cumprimento de OLA) e Mediana da Duração (5.4, equivalente a MTTR); sem FCR nem Taxa de Reabertura — campos inexistentes na base</w:t>
            </w:r>
          </w:p>
        </w:tc>
      </w:tr>
      <w:tr w:rsidR="0083084B" w14:paraId="558E4A3D" w14:textId="77777777">
        <w:tc>
          <w:tcPr>
            <w:tcW w:w="3213" w:type="dxa"/>
          </w:tcPr>
          <w:p w14:paraId="24ADC49A" w14:textId="77777777" w:rsidR="0083084B" w:rsidRDefault="00000000">
            <w:r>
              <w:t>2.4 Desempenho Comparativo por Nível/Equipe</w:t>
            </w:r>
          </w:p>
        </w:tc>
        <w:tc>
          <w:tcPr>
            <w:tcW w:w="3213" w:type="dxa"/>
          </w:tcPr>
          <w:p w14:paraId="395C0550" w14:textId="77777777" w:rsidR="0083084B" w:rsidRDefault="00000000">
            <w:r>
              <w:t>Parcial (só por equipe)</w:t>
            </w:r>
          </w:p>
        </w:tc>
        <w:tc>
          <w:tcPr>
            <w:tcW w:w="3213" w:type="dxa"/>
          </w:tcPr>
          <w:p w14:paraId="497E37B5" w14:textId="77777777" w:rsidR="00296EB0" w:rsidRDefault="00000000">
            <w:r>
              <w:t>Taxa de Violação e KPIs Violados por Grupo designado — páginas “Análises KPI” (seção 6.2, oculta) e “Priorização Operacional” (seção 6.8, visível), esta última com classificação de risco por equipe; sem N1/N2/N3 nem funil de escalonamento — base não tem campo de nível de atendimento</w:t>
            </w:r>
          </w:p>
        </w:tc>
      </w:tr>
      <w:tr w:rsidR="0083084B" w14:paraId="27E56A2F" w14:textId="77777777">
        <w:tc>
          <w:tcPr>
            <w:tcW w:w="3213" w:type="dxa"/>
          </w:tcPr>
          <w:p w14:paraId="4EC2DF79" w14:textId="77777777" w:rsidR="0083084B" w:rsidRDefault="00000000">
            <w:r>
              <w:t>2.5 Risco e Prevenção</w:t>
            </w:r>
          </w:p>
        </w:tc>
        <w:tc>
          <w:tcPr>
            <w:tcW w:w="3213" w:type="dxa"/>
          </w:tcPr>
          <w:p w14:paraId="0A2BFE1D" w14:textId="77777777" w:rsidR="00296EB0" w:rsidRDefault="00000000">
            <w:r>
              <w:t>Parcial</w:t>
            </w:r>
          </w:p>
        </w:tc>
        <w:tc>
          <w:tcPr>
            <w:tcW w:w="3213" w:type="dxa"/>
          </w:tcPr>
          <w:p w14:paraId="54C04C77" w14:textId="77777777" w:rsidR="00296EB0" w:rsidRDefault="00000000">
            <w:r>
              <w:t xml:space="preserve">Base não registra histórico de alertas nem escalonamento preventivo em tempo real; a página “Priorização Operacional” (seção 6.8) cobre uma leitura de risco retrospectiva, classificando cada equipe em Crítico/Alto/Médio/Baixo a partir da Taxa de Violação do KPI (seção 5.3) — não é um alerta preventivo em tempo real, mas </w:t>
            </w:r>
            <w:r>
              <w:lastRenderedPageBreak/>
              <w:t>aproxima parcialmente esta família</w:t>
            </w:r>
          </w:p>
        </w:tc>
      </w:tr>
      <w:tr w:rsidR="0083084B" w14:paraId="659ED2F1" w14:textId="77777777">
        <w:tc>
          <w:tcPr>
            <w:tcW w:w="3213" w:type="dxa"/>
          </w:tcPr>
          <w:p w14:paraId="27274B1E" w14:textId="77777777" w:rsidR="0083084B" w:rsidRDefault="00000000">
            <w:r>
              <w:lastRenderedPageBreak/>
              <w:t>2.6 Financeiro e de Negócio</w:t>
            </w:r>
          </w:p>
        </w:tc>
        <w:tc>
          <w:tcPr>
            <w:tcW w:w="3213" w:type="dxa"/>
          </w:tcPr>
          <w:p w14:paraId="297980A9" w14:textId="77777777" w:rsidR="0083084B" w:rsidRDefault="00000000">
            <w:r>
              <w:t>Não coberta</w:t>
            </w:r>
          </w:p>
        </w:tc>
        <w:tc>
          <w:tcPr>
            <w:tcW w:w="3213" w:type="dxa"/>
          </w:tcPr>
          <w:p w14:paraId="3549A72A" w14:textId="77777777" w:rsidR="0083084B" w:rsidRDefault="00000000">
            <w:r>
              <w:t>Base não possui campo de custo por incidente</w:t>
            </w:r>
          </w:p>
        </w:tc>
      </w:tr>
    </w:tbl>
    <w:p w14:paraId="5DA4DE1F" w14:textId="77777777" w:rsidR="00535CC6" w:rsidRPr="00535CC6" w:rsidRDefault="00535CC6" w:rsidP="00535CC6">
      <w:pPr>
        <w:spacing w:before="100" w:after="100"/>
        <w:rPr>
          <w:b/>
          <w:bCs/>
        </w:rPr>
      </w:pPr>
    </w:p>
    <w:p w14:paraId="1C0D2617" w14:textId="7CEDEF05" w:rsidR="00C209F9" w:rsidRPr="00CC60CA" w:rsidRDefault="00C209F9">
      <w:pPr>
        <w:spacing w:before="100" w:after="100"/>
        <w:rPr>
          <w:b/>
          <w:bCs/>
        </w:rPr>
      </w:pPr>
    </w:p>
    <w:p w14:paraId="18BDCCAF" w14:textId="77777777" w:rsidR="00BE0595" w:rsidRDefault="00466357">
      <w:r>
        <w:br w:type="page"/>
      </w:r>
    </w:p>
    <w:p w14:paraId="18BDCCB0" w14:textId="77777777" w:rsidR="00BE0595" w:rsidRDefault="00466357">
      <w:pPr>
        <w:pStyle w:val="Ttulo1"/>
      </w:pPr>
      <w:bookmarkStart w:id="32" w:name="_Toc238946538"/>
      <w:r>
        <w:lastRenderedPageBreak/>
        <w:t>6. Dashboard FlowGuard</w:t>
      </w:r>
      <w:bookmarkEnd w:id="32"/>
    </w:p>
    <w:p w14:paraId="18BDCCB2" w14:textId="5A42B41A" w:rsidR="00BE0595" w:rsidRDefault="00466357" w:rsidP="00BF6D11">
      <w:pPr>
        <w:spacing w:before="100" w:after="100"/>
        <w:jc w:val="both"/>
      </w:pPr>
      <w:r>
        <w:rPr>
          <w:b/>
          <w:bCs/>
        </w:rPr>
        <w:t xml:space="preserve">Ferramenta utilizada: </w:t>
      </w:r>
      <w:r w:rsidR="003B0565">
        <w:t>Power BI</w:t>
      </w:r>
    </w:p>
    <w:p w14:paraId="18BDCCB3" w14:textId="5FECD22A" w:rsidR="00BE0595" w:rsidRDefault="00466357" w:rsidP="00BF6D11">
      <w:pPr>
        <w:spacing w:before="100" w:after="100"/>
      </w:pPr>
      <w:r>
        <w:rPr>
          <w:b/>
          <w:bCs/>
        </w:rPr>
        <w:t xml:space="preserve">Link público: </w:t>
      </w:r>
      <w:hyperlink r:id="rId14" w:history="1">
        <w:r w:rsidRPr="007666EF">
          <w:rPr>
            <w:rStyle w:val="Hyperlink"/>
            <w:b/>
            <w:bCs/>
          </w:rPr>
          <w:t>https://app.powerbi.com/links/Xck4iSyIym?ctid=11dbbfe2-89b8-4549-be10-cec364e59551&amp;pbi_source=linkShare</w:t>
        </w:r>
      </w:hyperlink>
    </w:p>
    <w:p w14:paraId="18BDCCB4" w14:textId="2A1F2FF7" w:rsidR="00BE0595" w:rsidRDefault="00466357" w:rsidP="00BF6D11">
      <w:pPr>
        <w:spacing w:before="100" w:after="100"/>
        <w:jc w:val="both"/>
      </w:pPr>
      <w:r>
        <w:rPr>
          <w:b/>
          <w:bCs/>
        </w:rPr>
        <w:t>Data da última atualização: 30/08/2026</w:t>
      </w:r>
    </w:p>
    <w:p w14:paraId="1B0B168B" w14:textId="77777777" w:rsidR="002F55DC" w:rsidRDefault="002F55DC" w:rsidP="00BF6D11">
      <w:pPr>
        <w:jc w:val="both"/>
      </w:pPr>
    </w:p>
    <w:p w14:paraId="3C438C52" w14:textId="72B81503" w:rsidR="00296EB0" w:rsidRDefault="00000000" w:rsidP="00BF6D11">
      <w:pPr>
        <w:jc w:val="both"/>
      </w:pPr>
      <w:r>
        <w:t>Estrutura de navegação: o relatório publicado exibe atualmente 4 páginas ao usuário final, nesta ordem — “Visão Geral” (seção 6.7), “Priorização Operacional” (seção 6.8), “Previsão” (seção 6.3) e “Duração e Análise” (seção 6.4). As demais páginas do arquivo .pbix documentadas nas seções 6.1, 6.2 e 6.5 (KPIs, Análises KPI e Análise 2025, respectivamente), além da página “AED” citada na seção 6.3 e de quatro versões de rascunho com sufixo “_v1”, estão marcadas como ocultas na navegação (Hidden in view mode) — ver detalhamento na seção 6.6.</w:t>
      </w:r>
    </w:p>
    <w:p w14:paraId="066AFEBC" w14:textId="77777777" w:rsidR="00296EB0" w:rsidRDefault="00296EB0"/>
    <w:p w14:paraId="18BDCCB6" w14:textId="77777777" w:rsidR="00BE0595" w:rsidRDefault="00466357">
      <w:pPr>
        <w:pStyle w:val="Ttulo2"/>
      </w:pPr>
      <w:bookmarkStart w:id="33" w:name="_Toc238946539"/>
      <w:r>
        <w:t>6.1 KPIs (indicadores centrais)</w:t>
      </w:r>
      <w:bookmarkEnd w:id="33"/>
    </w:p>
    <w:p w14:paraId="18BDCCB7" w14:textId="00F1B321" w:rsidR="00BE0595" w:rsidRPr="002F55DC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Objetivo da página: </w:t>
      </w:r>
      <w:r w:rsidRPr="002F55DC">
        <w:t>Apresentar, em um único painel, os indicadores centrais de volume e desempenho de KPI da operação, com o ano de referência já filtrado para 2025.</w:t>
      </w:r>
    </w:p>
    <w:p w14:paraId="18BDCCB8" w14:textId="5C1DF17B" w:rsidR="00BE0595" w:rsidRPr="002F55DC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KPIs apresentados: </w:t>
      </w:r>
      <w:r w:rsidRPr="002F55DC">
        <w:t>Total de Incidentes, Incidentes Elegíveis ao KPI, KPIs Violados e Taxa de Violação do KPI (cartões dinâmicos, medidas DAX da tabela “Medidas”).</w:t>
      </w:r>
    </w:p>
    <w:p w14:paraId="18BDCCB9" w14:textId="6E71EE06" w:rsidR="00BE0595" w:rsidRPr="002F55DC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Visualizações: </w:t>
      </w:r>
      <w:r w:rsidRPr="002F55DC">
        <w:t>Quatro cartões numéricos (cardVisual).</w:t>
      </w:r>
    </w:p>
    <w:p w14:paraId="18BDCCBA" w14:textId="21AE2256" w:rsidR="00BE0595" w:rsidRPr="002F55DC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Filtros e interações: </w:t>
      </w:r>
      <w:r w:rsidRPr="002F55DC">
        <w:t>Segmentação por Ano (tabela Calendario), com 2025 selecionado por padrão; os cartões recalculam automaticamente ao trocar o ano.</w:t>
      </w:r>
    </w:p>
    <w:p w14:paraId="51BB16B6" w14:textId="77777777" w:rsidR="00296EB0" w:rsidRDefault="00000000" w:rsidP="00BF6D11">
      <w:pPr>
        <w:jc w:val="both"/>
      </w:pPr>
      <w:r w:rsidRPr="002F55DC">
        <w:rPr>
          <w:b/>
          <w:bCs/>
        </w:rPr>
        <w:t>Observação:</w:t>
      </w:r>
      <w:r>
        <w:t xml:space="preserve"> esta página (nome interno “KPIs”) está atualmente oculta na navegação padrão do relatório publicado (Hidden in view mode — ver seção 6.6); seus quatro indicadores também aparecem, agora com comparação mês a mês, na página visível “Visão Geral” (seção 6.7).</w:t>
      </w:r>
    </w:p>
    <w:p w14:paraId="688E4556" w14:textId="77777777" w:rsidR="00592092" w:rsidRDefault="00592092" w:rsidP="008E42B5">
      <w:r w:rsidRPr="00592092">
        <w:rPr>
          <w:noProof/>
        </w:rPr>
        <w:drawing>
          <wp:inline distT="0" distB="0" distL="0" distR="0" wp14:anchorId="0B06B54A" wp14:editId="6524D702">
            <wp:extent cx="6120130" cy="1318260"/>
            <wp:effectExtent l="0" t="0" r="0" b="0"/>
            <wp:docPr id="1955714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4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BC" w14:textId="515943E3" w:rsidR="00BE0595" w:rsidRDefault="00466357">
      <w:pPr>
        <w:pStyle w:val="Ttulo2"/>
      </w:pPr>
      <w:bookmarkStart w:id="34" w:name="_Toc238946540"/>
      <w:r>
        <w:t>6.2 KPI e Risco Operacional</w:t>
      </w:r>
      <w:bookmarkEnd w:id="34"/>
    </w:p>
    <w:p w14:paraId="18BDCCBD" w14:textId="128A1989" w:rsidR="00BE0595" w:rsidRPr="009D043B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Objetivo: </w:t>
      </w:r>
      <w:r w:rsidRPr="00592092">
        <w:t>Detalhar onde a Taxa de Violação e a quantidade de KPIs Violados estão concentradas, cruzando com as principais dimensões operacionais.</w:t>
      </w:r>
    </w:p>
    <w:p w14:paraId="18BDCCBE" w14:textId="3A004212" w:rsidR="00BE0595" w:rsidRPr="009D043B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KPIs: </w:t>
      </w:r>
      <w:r w:rsidRPr="00592092">
        <w:t>Taxa de Violação do KPI e KPIs Violados, segmentados por Categoria, Grupo designado, Prioridade e Produto.</w:t>
      </w:r>
    </w:p>
    <w:p w14:paraId="18BDCCBF" w14:textId="36F37DC3" w:rsidR="00BE0595" w:rsidRPr="009D043B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Visualizações: </w:t>
      </w:r>
      <w:r w:rsidRPr="00592092">
        <w:t>Oito gráficos de barras (barChart) — uma combinação por dimensão (Categoria, Grupo designado, Prioridade e Produto) × indicador (Taxa de Violação e KPIs Violados).</w:t>
      </w:r>
    </w:p>
    <w:p w14:paraId="18BDCCC0" w14:textId="362C77C9" w:rsidR="00BE0595" w:rsidRPr="009D043B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Filtros/interações: </w:t>
      </w:r>
      <w:r w:rsidRPr="00592092">
        <w:t>Interação entre visuais habilitada (selecionar uma barra filtra os demais gráficos da página); recomenda-se aplicar o agrupamento Top 5 + Outros em Grupo designado, conforme o ajuste da seção 4.6.</w:t>
      </w:r>
    </w:p>
    <w:p w14:paraId="11632899" w14:textId="77777777" w:rsidR="00296EB0" w:rsidRDefault="00000000" w:rsidP="00BF6D11">
      <w:pPr>
        <w:jc w:val="both"/>
      </w:pPr>
      <w:r w:rsidRPr="00592092">
        <w:rPr>
          <w:b/>
          <w:bCs/>
        </w:rPr>
        <w:t>Observação:</w:t>
      </w:r>
      <w:r>
        <w:t xml:space="preserve"> esta página (nome interno “Análises KPI”) está atualmente oculta na navegação padrão do relatório publicado (ver seção 6.6). A leitura de risco por equipe também passou a ter uma página própria, visível, com classificação de risco: “Priorização Operacional” (seção 6.8).</w:t>
      </w:r>
    </w:p>
    <w:p w14:paraId="7A15E54B" w14:textId="77777777" w:rsidR="00BB144D" w:rsidRDefault="00BB144D" w:rsidP="008E42B5">
      <w:r w:rsidRPr="00BB144D">
        <w:rPr>
          <w:noProof/>
        </w:rPr>
        <w:lastRenderedPageBreak/>
        <w:drawing>
          <wp:inline distT="0" distB="0" distL="0" distR="0" wp14:anchorId="16F25966" wp14:editId="4F33C059">
            <wp:extent cx="6120130" cy="4671695"/>
            <wp:effectExtent l="0" t="0" r="0" b="0"/>
            <wp:docPr id="188644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4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C2" w14:textId="0F66E96E" w:rsidR="00BE0595" w:rsidRDefault="00466357">
      <w:pPr>
        <w:pStyle w:val="Ttulo2"/>
      </w:pPr>
      <w:bookmarkStart w:id="35" w:name="_Toc238946541"/>
      <w:r>
        <w:t>6.3 Análise Operacional e Predição</w:t>
      </w:r>
      <w:bookmarkEnd w:id="35"/>
    </w:p>
    <w:p w14:paraId="18BDCCC3" w14:textId="073B858A" w:rsidR="00BE0595" w:rsidRPr="00BB144D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Objetivo: </w:t>
      </w:r>
      <w:r w:rsidRPr="00BB144D">
        <w:t>Reunir a análise exploratória de volume ao longo do tempo (AED) e a previsão de curto prazo (D+1/D+7) do modelo de Machine Learning, já incorporada ao dashboard.</w:t>
      </w:r>
    </w:p>
    <w:p w14:paraId="18BDCCC4" w14:textId="117EA8A5" w:rsidR="00BE0595" w:rsidRPr="009D043B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Informações históricas: </w:t>
      </w:r>
      <w:r w:rsidRPr="00BB144D">
        <w:t>Página “AED” do dashboard — evolução do Total de Incidentes por Ano/Ano-Mês (lineChart e columnChart), com segmentação por Categoria, Grupo designado, Prioridade, Produto e Aberto por.</w:t>
      </w:r>
    </w:p>
    <w:p w14:paraId="24193F50" w14:textId="77777777" w:rsidR="00296EB0" w:rsidRDefault="00000000" w:rsidP="00BF6D11">
      <w:pPr>
        <w:jc w:val="both"/>
      </w:pPr>
      <w:r>
        <w:t>Observação: a página “AED” está atualmente oculta na navegação padrão do relatório publicado (ver seção 6.6); a análise histórica nela descrita permanece documentada aqui como apoio.</w:t>
      </w:r>
    </w:p>
    <w:p w14:paraId="18BDCCC5" w14:textId="43188D8B" w:rsidR="00BE0595" w:rsidRPr="00BB144D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Informações preditivas: </w:t>
      </w:r>
      <w:r w:rsidRPr="00BB144D">
        <w:t>já incorporadas ao arquivo .pbix, em página própria e visível, “Previsão”. O modelo do Power BI passou a conter uma tabela “previsoes” (dados por horizonte D+1/D+7) e a série diária “Serie_Diaria_Elegiveis”, que une o histórico de incidentes elegíveis a OLA à previsão em um único gráfico de linha (Data Abertura × Volume, segmentado por Tipo), com a série “Histórico” e a série “Previsão” diferenciadas por cor. Dois pares de cartões (visual customizado de infográfico) mostram, um para D+1 e outro para D+7 (filtrados pela coluna dados.horizonte): o valor previsto mais recente e a faixa mín–máx do horizonte (“Previsto (mais recente)”, “Previsto (max)”, “Previsto (min)”), e o erro do modelo no conjunto de teste (“mae_teste”) — consistente com os valores de MAE reportados na seção 9 (14,10 em D+1 e 19,17 em D+7). Uma página de tooltip dedicada e oculta (“Tooltip Previsão”) alimenta o gráfico de linha com o detalhe de Data Abertura, Tipo e Volume ao passar o mouse sobre cada ponto da série.</w:t>
      </w:r>
    </w:p>
    <w:p w14:paraId="18BDCCC6" w14:textId="3290FFFB" w:rsidR="00BE0595" w:rsidRPr="00BB144D" w:rsidRDefault="00466357" w:rsidP="00BF6D11">
      <w:pPr>
        <w:spacing w:before="100" w:after="100"/>
        <w:jc w:val="both"/>
      </w:pPr>
      <w:r w:rsidRPr="009D043B">
        <w:rPr>
          <w:b/>
          <w:bCs/>
        </w:rPr>
        <w:t xml:space="preserve">Integração com resultados de Machine Learning: </w:t>
      </w:r>
      <w:r w:rsidRPr="00BB144D">
        <w:t>ver detalhamento completo na seção 9 (Prever) — modelo Poisson GLM, treinado sobre a série diária de incidentes elegíveis a OLA no ano de 2025 (365 dias, partição treino/validação/teste cronológica), com previsão D+1 e D+7 e faixa de incerteza calibrada fora da amostra. Essa integração está representada na página “Previsão”, descrita acima, que substitui, para o usuário final, a associação prevista anteriormente com a página “AED”.</w:t>
      </w:r>
    </w:p>
    <w:p w14:paraId="18BDCCC9" w14:textId="43B2D8ED" w:rsidR="00BE0595" w:rsidRDefault="00380E3B" w:rsidP="009D043B">
      <w:pPr>
        <w:spacing w:before="60" w:after="200"/>
      </w:pPr>
      <w:r w:rsidRPr="00380E3B">
        <w:rPr>
          <w:noProof/>
        </w:rPr>
        <w:lastRenderedPageBreak/>
        <w:drawing>
          <wp:inline distT="0" distB="0" distL="0" distR="0" wp14:anchorId="259E89C6" wp14:editId="2A53F48A">
            <wp:extent cx="6120130" cy="3444240"/>
            <wp:effectExtent l="0" t="0" r="0" b="3810"/>
            <wp:docPr id="1817888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88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7F4" w:rsidRPr="007E37F4">
        <w:rPr>
          <w:noProof/>
        </w:rPr>
        <w:drawing>
          <wp:inline distT="0" distB="0" distL="0" distR="0" wp14:anchorId="3F38E29A" wp14:editId="46B86F61">
            <wp:extent cx="6120130" cy="3436620"/>
            <wp:effectExtent l="0" t="0" r="0" b="0"/>
            <wp:docPr id="750560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0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41F0" w14:textId="77777777" w:rsidR="0083084B" w:rsidRDefault="00000000">
      <w:pPr>
        <w:pStyle w:val="Ttulo2"/>
      </w:pPr>
      <w:bookmarkStart w:id="36" w:name="_Toc238946542"/>
      <w:r>
        <w:t>6.4 Duração</w:t>
      </w:r>
      <w:bookmarkEnd w:id="36"/>
    </w:p>
    <w:p w14:paraId="613D8733" w14:textId="77777777" w:rsidR="0083084B" w:rsidRDefault="00000000" w:rsidP="00BF6D11">
      <w:pPr>
        <w:jc w:val="both"/>
      </w:pPr>
      <w:r w:rsidRPr="0018774E">
        <w:rPr>
          <w:b/>
          <w:bCs/>
        </w:rPr>
        <w:t xml:space="preserve">Objetivo da página: </w:t>
      </w:r>
      <w:r>
        <w:t>Detalhar a Mediana da Duração dos incidentes por Grupo designado e por Prioridade.</w:t>
      </w:r>
    </w:p>
    <w:p w14:paraId="1078A8C4" w14:textId="77777777" w:rsidR="0083084B" w:rsidRDefault="00000000" w:rsidP="00BF6D11">
      <w:pPr>
        <w:jc w:val="both"/>
      </w:pPr>
      <w:r w:rsidRPr="0018774E">
        <w:rPr>
          <w:b/>
          <w:bCs/>
        </w:rPr>
        <w:t>Visualizações:</w:t>
      </w:r>
      <w:r>
        <w:t xml:space="preserve"> Dois gráficos de colunas agrupadas (clusteredColumnChart).</w:t>
      </w:r>
    </w:p>
    <w:p w14:paraId="7FEF16A1" w14:textId="77777777" w:rsidR="0083084B" w:rsidRDefault="00000000" w:rsidP="00BF6D11">
      <w:pPr>
        <w:jc w:val="both"/>
      </w:pPr>
      <w:r>
        <w:t>Observação (mantida do desenvolvimento anterior): recomendava-se replicar nesta página a separação Manual vs. Monitoramento definida na seção 4.7 — ver como isso foi implementado logo abaixo.</w:t>
      </w:r>
    </w:p>
    <w:p w14:paraId="779EAFB5" w14:textId="77777777" w:rsidR="00296EB0" w:rsidRDefault="00000000" w:rsidP="00BF6D11">
      <w:pPr>
        <w:jc w:val="both"/>
      </w:pPr>
      <w:r w:rsidRPr="0018774E">
        <w:rPr>
          <w:b/>
          <w:bCs/>
        </w:rPr>
        <w:t>Atualização:</w:t>
      </w:r>
      <w:r>
        <w:t xml:space="preserve"> essa recomendação foi implementada em uma nova página, visível, “Duração e Análise”, que substitui esta página (“Duração”, agora oculta — ver seção 6.6) na navegação padrão do relatório publicado. Além dos dois gráficos de colunas agrupadas por Grupo designado e por Prioridade (medida com piso mínimo de 20 incidentes elegíveis por segmento, “(min 20)”), a nova página inclui: um gráfico de barras da Mediana da Duração por Aberto por; um visual de infográfico comparando a Mediana da Duração Manual à de Monitoramento, a razão entre as duas e as respectivas taxas de violação (Manual x Monitoramento), </w:t>
      </w:r>
      <w:r>
        <w:lastRenderedPageBreak/>
        <w:t>consistente com a análise da seção 4.7; e dois cartões de leitura narrativa automática (“Leitura Duracao Origem” e “Leitura Prioridade Duracao”).</w:t>
      </w:r>
    </w:p>
    <w:p w14:paraId="6E2B3C59" w14:textId="77777777" w:rsidR="00BF6D11" w:rsidRDefault="00BF6D11" w:rsidP="008E42B5">
      <w:r w:rsidRPr="00BF6D11">
        <w:rPr>
          <w:noProof/>
        </w:rPr>
        <w:drawing>
          <wp:inline distT="0" distB="0" distL="0" distR="0" wp14:anchorId="741B3F95" wp14:editId="47CCE531">
            <wp:extent cx="6120130" cy="3425825"/>
            <wp:effectExtent l="0" t="0" r="0" b="3175"/>
            <wp:docPr id="1182393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93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9F65" w14:textId="1A8151C9" w:rsidR="0083084B" w:rsidRDefault="00000000">
      <w:pPr>
        <w:pStyle w:val="Ttulo2"/>
      </w:pPr>
      <w:bookmarkStart w:id="37" w:name="_Toc238946543"/>
      <w:r>
        <w:t>6.5 Análise Anual (foco 2025)</w:t>
      </w:r>
      <w:bookmarkEnd w:id="37"/>
    </w:p>
    <w:p w14:paraId="1601C60D" w14:textId="77777777" w:rsidR="0083084B" w:rsidRDefault="00000000" w:rsidP="00D331BD">
      <w:pPr>
        <w:jc w:val="both"/>
      </w:pPr>
      <w:r w:rsidRPr="00BF6D11">
        <w:rPr>
          <w:b/>
          <w:bCs/>
        </w:rPr>
        <w:t>Objetivo da página:</w:t>
      </w:r>
      <w:r>
        <w:t xml:space="preserve"> Permitir a comparação, ano a ano, do Total de Incidentes e da Mediana da Duração, além do detalhamento incidente a incidente do ano selecionado.</w:t>
      </w:r>
    </w:p>
    <w:p w14:paraId="5D17AAD3" w14:textId="77777777" w:rsidR="0083084B" w:rsidRDefault="00000000" w:rsidP="00D331BD">
      <w:pPr>
        <w:jc w:val="both"/>
      </w:pPr>
      <w:r w:rsidRPr="00BF6D11">
        <w:rPr>
          <w:b/>
          <w:bCs/>
        </w:rPr>
        <w:t>Visualizações:</w:t>
      </w:r>
      <w:r>
        <w:t xml:space="preserve"> Duas tabelas (tableEx) — uma com o resumo por Ano e outra com o detalhe por incidente (Número, Duração, Status, Entrou para KPI?, KPI Violado?, datas de Aberto/Encerrado/Resolvido).</w:t>
      </w:r>
    </w:p>
    <w:p w14:paraId="70015324" w14:textId="77777777" w:rsidR="0083084B" w:rsidRDefault="00000000" w:rsidP="00D331BD">
      <w:pPr>
        <w:jc w:val="both"/>
      </w:pPr>
      <w:r>
        <w:t>Ajuste aplicado a partir do feedback da professora: a página foi renomeada de “Análise 2023 e 2024” para “Análise Anual (foco 2025)” e o slicer de Ano, antes fixado em 2023, passou a carregar 2025 por padrão (o usuário pode alternar para 2023/2024 para comparar períodos).</w:t>
      </w:r>
    </w:p>
    <w:p w14:paraId="1DC7B62E" w14:textId="77777777" w:rsidR="00296EB0" w:rsidRDefault="00000000" w:rsidP="00D331BD">
      <w:pPr>
        <w:jc w:val="both"/>
      </w:pPr>
      <w:r w:rsidRPr="00BF6D11">
        <w:rPr>
          <w:b/>
          <w:bCs/>
        </w:rPr>
        <w:t>Observação:</w:t>
      </w:r>
      <w:r>
        <w:t xml:space="preserve"> esta página (nome interno “Análise 2025”) está atualmente oculta na navegação padrão do relatório publicado (ver seção 6.6).</w:t>
      </w:r>
    </w:p>
    <w:p w14:paraId="7FCE18B2" w14:textId="77777777" w:rsidR="008B3E5F" w:rsidRDefault="008B3E5F" w:rsidP="008E42B5">
      <w:r w:rsidRPr="008B3E5F">
        <w:rPr>
          <w:noProof/>
        </w:rPr>
        <w:drawing>
          <wp:inline distT="0" distB="0" distL="0" distR="0" wp14:anchorId="1CFA73D0" wp14:editId="1BF26556">
            <wp:extent cx="6120130" cy="2822575"/>
            <wp:effectExtent l="0" t="0" r="0" b="0"/>
            <wp:docPr id="2076049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49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D852" w14:textId="77777777" w:rsidR="008E42B5" w:rsidRDefault="008E42B5" w:rsidP="008E42B5"/>
    <w:p w14:paraId="57B33269" w14:textId="77777777" w:rsidR="00B13CE9" w:rsidRDefault="00B13CE9">
      <w:pPr>
        <w:pStyle w:val="Ttulo2"/>
      </w:pPr>
    </w:p>
    <w:p w14:paraId="017A95E9" w14:textId="093880D5" w:rsidR="0083084B" w:rsidRDefault="00000000">
      <w:pPr>
        <w:pStyle w:val="Ttulo2"/>
      </w:pPr>
      <w:bookmarkStart w:id="38" w:name="_Toc238946544"/>
      <w:r>
        <w:lastRenderedPageBreak/>
        <w:t>6.6 Páginas Ocultas (apoio à construção)</w:t>
      </w:r>
      <w:bookmarkEnd w:id="38"/>
    </w:p>
    <w:p w14:paraId="56D5C2B7" w14:textId="77777777" w:rsidR="0083084B" w:rsidRDefault="00000000" w:rsidP="00B13CE9">
      <w:pPr>
        <w:jc w:val="both"/>
      </w:pPr>
      <w:r>
        <w:t>Após a consolidação das quatro páginas de apresentação final (seções 6.7, 6.8, 6.3 e 6.4), as páginas “KPIs” (6.1), “Análise 2025” (6.5), “AED” (parte da 6.3), “Análises KPI” (6.2) e “Duração” (6.4) foram marcadas como ocultas na navegação (Hidden in view mode) do relatório publicado. Elas permanecem no arquivo .pbix como apoio à documentação desta entrega — o detalhamento de cada uma está preservado nas seções acima — e podem ser reexibidas a qualquer momento no Power BI Desktop. Também estão ocultas quatro páginas de rascunho com sufixo “_v1” (VisãoGeral_v1, PriorizaçãoOperacional_v1, Previsão_v1 e Duração e Análise final_v1) — versões anteriores das páginas finais, mantidas apenas como histórico de iteração e sem conteúdo adicional em relação às páginas visíveis correspondentes; recomenda-se removê-las do arquivo antes de um eventual reenvio final, para reduzir o tamanho do .pbix.</w:t>
      </w:r>
    </w:p>
    <w:p w14:paraId="7A637946" w14:textId="77777777" w:rsidR="00296EB0" w:rsidRDefault="00000000" w:rsidP="00B13CE9">
      <w:pPr>
        <w:pStyle w:val="Ttulo2"/>
        <w:jc w:val="both"/>
      </w:pPr>
      <w:bookmarkStart w:id="39" w:name="_Toc238946545"/>
      <w:r>
        <w:t>6.7 Visão Geral (Painel Executivo)</w:t>
      </w:r>
      <w:bookmarkEnd w:id="39"/>
    </w:p>
    <w:p w14:paraId="55306EE2" w14:textId="77777777" w:rsidR="00296EB0" w:rsidRDefault="00000000" w:rsidP="00B13CE9">
      <w:pPr>
        <w:jc w:val="both"/>
      </w:pPr>
      <w:r>
        <w:rPr>
          <w:b/>
        </w:rPr>
        <w:t xml:space="preserve">Objetivo da página: </w:t>
      </w:r>
      <w:r w:rsidRPr="00B13CE9">
        <w:rPr>
          <w:bCs/>
        </w:rPr>
        <w:t>Servir como página de entrada do dashboard, resumindo em um único painel o volume, a elegibilidade ao KPI, a duração e a taxa de violação, com comparação entre os dois meses mais recentes da base (novembro e dezembro de 2025), além da distribuição por categoria e prioridade e da evolução mensal.</w:t>
      </w:r>
    </w:p>
    <w:p w14:paraId="3E1AC911" w14:textId="77777777" w:rsidR="00296EB0" w:rsidRPr="00B13CE9" w:rsidRDefault="00000000" w:rsidP="00B13CE9">
      <w:pPr>
        <w:jc w:val="both"/>
        <w:rPr>
          <w:bCs/>
        </w:rPr>
      </w:pPr>
      <w:r>
        <w:rPr>
          <w:b/>
        </w:rPr>
        <w:t xml:space="preserve">Visualizações: </w:t>
      </w:r>
      <w:r w:rsidRPr="00B13CE9">
        <w:rPr>
          <w:bCs/>
        </w:rPr>
        <w:t>um textbox de contexto (“Dados referentes ao ano de 2025”); quatro pares de cartões construídos com um visual customizado de infográfico, comparando dezembro/2025 a novembro/2025 para Total de Incidentes, Incidentes Elegíveis ao KPI, Mediana da Duração e Taxa de Violação do KPI (com indicador de variação em cada par); um gráfico de linha (Ano-Mês × Total de Incidentes e Taxa de Violação do KPI); e dois gráficos de colunas (Categoria × Total de Incidentes e Prioridade × Total de Incidentes).</w:t>
      </w:r>
    </w:p>
    <w:p w14:paraId="24A05969" w14:textId="77777777" w:rsidR="00296EB0" w:rsidRPr="00B13CE9" w:rsidRDefault="00000000" w:rsidP="00B13CE9">
      <w:pPr>
        <w:jc w:val="both"/>
        <w:rPr>
          <w:bCs/>
        </w:rPr>
      </w:pPr>
      <w:r w:rsidRPr="00B13CE9">
        <w:rPr>
          <w:bCs/>
        </w:rPr>
        <w:t>Como interpretar: a comparação dezembro vs. novembro/2025 é o mecanismo desta página para dar visibilidade à Taxa de Crescimento da Demanda (seção 5.5) — até então definida apenas como fórmula, sem página dedicada no dashboard.</w:t>
      </w:r>
    </w:p>
    <w:p w14:paraId="3692C884" w14:textId="77777777" w:rsidR="00296EB0" w:rsidRPr="00B13CE9" w:rsidRDefault="00000000" w:rsidP="00B13CE9">
      <w:pPr>
        <w:jc w:val="both"/>
        <w:rPr>
          <w:bCs/>
        </w:rPr>
      </w:pPr>
      <w:r>
        <w:rPr>
          <w:b/>
        </w:rPr>
        <w:t xml:space="preserve">Filtros e interações: </w:t>
      </w:r>
      <w:r w:rsidRPr="00B13CE9">
        <w:rPr>
          <w:bCs/>
        </w:rPr>
        <w:t>não há slicers nesta página; a interação entre visuais (cross-filtering) permanece habilitada entre o gráfico de linha e os gráficos de colunas.</w:t>
      </w:r>
    </w:p>
    <w:p w14:paraId="382352B6" w14:textId="77777777" w:rsidR="00296EB0" w:rsidRPr="00B13CE9" w:rsidRDefault="00000000" w:rsidP="00B13CE9">
      <w:pPr>
        <w:jc w:val="both"/>
        <w:rPr>
          <w:bCs/>
        </w:rPr>
      </w:pPr>
      <w:r w:rsidRPr="00B13CE9">
        <w:rPr>
          <w:bCs/>
        </w:rPr>
        <w:t>Relação com o FlowGuard: corresponde ao componente Monitorar (seção 9), como painel de leitura rápida da operação.</w:t>
      </w:r>
    </w:p>
    <w:p w14:paraId="4C2EAA21" w14:textId="77777777" w:rsidR="005C3759" w:rsidRDefault="005C3759" w:rsidP="008E42B5">
      <w:r w:rsidRPr="005C3759">
        <w:rPr>
          <w:noProof/>
        </w:rPr>
        <w:drawing>
          <wp:inline distT="0" distB="0" distL="0" distR="0" wp14:anchorId="78DEFDDD" wp14:editId="1753B630">
            <wp:extent cx="6120130" cy="3445510"/>
            <wp:effectExtent l="0" t="0" r="0" b="2540"/>
            <wp:docPr id="1497267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7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1088" w14:textId="77777777" w:rsidR="008E42B5" w:rsidRDefault="008E42B5" w:rsidP="008E42B5"/>
    <w:p w14:paraId="153F2B1E" w14:textId="77777777" w:rsidR="008E42B5" w:rsidRDefault="008E42B5" w:rsidP="008E42B5"/>
    <w:p w14:paraId="61A44462" w14:textId="77777777" w:rsidR="008E42B5" w:rsidRDefault="008E42B5" w:rsidP="008E42B5"/>
    <w:p w14:paraId="2DBB0B69" w14:textId="77777777" w:rsidR="008E42B5" w:rsidRDefault="008E42B5" w:rsidP="008E42B5"/>
    <w:p w14:paraId="75B5C6B1" w14:textId="77777777" w:rsidR="008E42B5" w:rsidRDefault="008E42B5" w:rsidP="008E42B5"/>
    <w:p w14:paraId="3F349540" w14:textId="0180FB20" w:rsidR="00296EB0" w:rsidRDefault="00000000" w:rsidP="00B13CE9">
      <w:pPr>
        <w:pStyle w:val="Ttulo2"/>
        <w:jc w:val="both"/>
      </w:pPr>
      <w:bookmarkStart w:id="40" w:name="_Toc238946546"/>
      <w:r>
        <w:lastRenderedPageBreak/>
        <w:t>6.8 Priorização Operacional</w:t>
      </w:r>
      <w:bookmarkEnd w:id="40"/>
    </w:p>
    <w:p w14:paraId="5F4E8CB1" w14:textId="77777777" w:rsidR="00296EB0" w:rsidRDefault="00000000" w:rsidP="005C3759">
      <w:pPr>
        <w:jc w:val="both"/>
      </w:pPr>
      <w:r>
        <w:rPr>
          <w:b/>
        </w:rPr>
        <w:t xml:space="preserve">Objetivo da página: </w:t>
      </w:r>
      <w:r w:rsidRPr="005C3759">
        <w:rPr>
          <w:bCs/>
        </w:rPr>
        <w:t>apoiar diretamente o componente Priorizar do FlowGuard (seção 9), classificando cada equipe (Grupo designado) por nível de risco de violação de KPI e detalhando a Taxa de Violação por equipe, produto, categoria e prioridade.</w:t>
      </w:r>
    </w:p>
    <w:p w14:paraId="63785756" w14:textId="77777777" w:rsidR="00296EB0" w:rsidRDefault="00000000" w:rsidP="005C3759">
      <w:pPr>
        <w:jc w:val="both"/>
      </w:pPr>
      <w:r>
        <w:rPr>
          <w:b/>
        </w:rPr>
        <w:t xml:space="preserve">Visualizações: </w:t>
      </w:r>
      <w:r w:rsidRPr="005C3759">
        <w:rPr>
          <w:bCs/>
        </w:rPr>
        <w:t>um cartão por equipe combinando Grupo designado, Nível de risco de quebra de OLA e a Taxa de violação de KPI em dezembro/2025; e quatro gráficos de barras/colunas da Taxa de Violação do KPI segmentada por Grupo designado, Produto e Categoria (medida com piso mínimo de 20 incidentes elegíveis por segmento, sufixo “(min 20)”, para não distorcer a taxa em segmentos com poucas ocorrências) e por Prioridade (sem piso mínimo, dado o volume já suficiente em cada uma das cinco prioridades).</w:t>
      </w:r>
    </w:p>
    <w:p w14:paraId="1ABB73CF" w14:textId="77777777" w:rsidR="00296EB0" w:rsidRDefault="00000000" w:rsidP="005C3759">
      <w:pPr>
        <w:jc w:val="both"/>
      </w:pPr>
      <w:r>
        <w:rPr>
          <w:b/>
        </w:rPr>
        <w:t xml:space="preserve">Método de classificação do risco: </w:t>
      </w:r>
      <w:r w:rsidRPr="005C3759">
        <w:rPr>
          <w:bCs/>
        </w:rPr>
        <w:t>segundo a métrica “Nível de Risco Equipe” documentada no pacote de medidas DAX do projeto, cada equipe é classificada como Crítico (taxa de violação ≥ 20%), Alto (≥ 10%), Médio (≥ 3%) ou Baixo (&lt; 3%), com base na Taxa de Violação do KPI (seção 5.3) da equipe no período mais recente.</w:t>
      </w:r>
    </w:p>
    <w:p w14:paraId="24567F74" w14:textId="77777777" w:rsidR="00296EB0" w:rsidRDefault="00000000" w:rsidP="005C3759">
      <w:pPr>
        <w:jc w:val="both"/>
      </w:pPr>
      <w:r>
        <w:rPr>
          <w:b/>
        </w:rPr>
        <w:t xml:space="preserve">Filtros e interações: </w:t>
      </w:r>
      <w:r w:rsidRPr="005C3759">
        <w:rPr>
          <w:bCs/>
        </w:rPr>
        <w:t>não há slicers nesta página; cross-filtering habilitado entre os quatro gráficos de barras/colunas.</w:t>
      </w:r>
    </w:p>
    <w:p w14:paraId="256441E9" w14:textId="77777777" w:rsidR="00296EB0" w:rsidRDefault="00000000" w:rsidP="005C3759">
      <w:pPr>
        <w:jc w:val="both"/>
      </w:pPr>
      <w:r>
        <w:rPr>
          <w:b/>
        </w:rPr>
        <w:t xml:space="preserve">Relação com o FlowGuard: </w:t>
      </w:r>
      <w:r w:rsidRPr="005C3759">
        <w:rPr>
          <w:bCs/>
        </w:rPr>
        <w:t>operacionaliza o componente Priorizar (seção 9), transformando a Taxa de Violação do KPI (5.3) e a distribuição por equipe (seção 4.6) em uma classificação de risco acionável; passa também a cobrir parcialmente a família “2.5 Risco e Prevenção” do documento de referência de KPIs de Gestão de Incidentes (ver tabela atualizada na seção 5.8).</w:t>
      </w:r>
    </w:p>
    <w:p w14:paraId="12414709" w14:textId="1410EBFF" w:rsidR="00296EB0" w:rsidRDefault="008354A7" w:rsidP="005C3759">
      <w:pPr>
        <w:jc w:val="both"/>
      </w:pPr>
      <w:r w:rsidRPr="008354A7">
        <w:rPr>
          <w:noProof/>
        </w:rPr>
        <w:drawing>
          <wp:inline distT="0" distB="0" distL="0" distR="0" wp14:anchorId="683A4D15" wp14:editId="34E4CAE5">
            <wp:extent cx="6120130" cy="3433445"/>
            <wp:effectExtent l="0" t="0" r="0" b="0"/>
            <wp:docPr id="311429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9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CC95" w14:textId="77777777" w:rsidR="008354A7" w:rsidRDefault="008354A7" w:rsidP="005C3759">
      <w:pPr>
        <w:jc w:val="both"/>
      </w:pPr>
    </w:p>
    <w:p w14:paraId="0CC9E53D" w14:textId="77777777" w:rsidR="008354A7" w:rsidRDefault="008354A7" w:rsidP="005C3759">
      <w:pPr>
        <w:jc w:val="both"/>
      </w:pPr>
    </w:p>
    <w:p w14:paraId="2380287E" w14:textId="77777777" w:rsidR="008354A7" w:rsidRDefault="008354A7" w:rsidP="005C3759">
      <w:pPr>
        <w:jc w:val="both"/>
      </w:pPr>
    </w:p>
    <w:p w14:paraId="22B4EBF7" w14:textId="77777777" w:rsidR="008354A7" w:rsidRDefault="008354A7" w:rsidP="005C3759">
      <w:pPr>
        <w:jc w:val="both"/>
      </w:pPr>
    </w:p>
    <w:p w14:paraId="012DBEE0" w14:textId="77777777" w:rsidR="008354A7" w:rsidRDefault="008354A7" w:rsidP="005C3759">
      <w:pPr>
        <w:jc w:val="both"/>
      </w:pPr>
    </w:p>
    <w:p w14:paraId="5085D7C2" w14:textId="77777777" w:rsidR="008354A7" w:rsidRDefault="008354A7" w:rsidP="005C3759">
      <w:pPr>
        <w:jc w:val="both"/>
      </w:pPr>
    </w:p>
    <w:p w14:paraId="42982CD7" w14:textId="77777777" w:rsidR="008354A7" w:rsidRDefault="008354A7" w:rsidP="005C3759">
      <w:pPr>
        <w:jc w:val="both"/>
      </w:pPr>
    </w:p>
    <w:p w14:paraId="4F6B48E3" w14:textId="77777777" w:rsidR="008354A7" w:rsidRDefault="008354A7" w:rsidP="005C3759">
      <w:pPr>
        <w:jc w:val="both"/>
      </w:pPr>
    </w:p>
    <w:p w14:paraId="2CCFA2ED" w14:textId="77777777" w:rsidR="008354A7" w:rsidRDefault="008354A7" w:rsidP="005C3759">
      <w:pPr>
        <w:jc w:val="both"/>
      </w:pPr>
    </w:p>
    <w:p w14:paraId="0CF1FAC8" w14:textId="77777777" w:rsidR="008354A7" w:rsidRDefault="008354A7" w:rsidP="005C3759">
      <w:pPr>
        <w:jc w:val="both"/>
      </w:pPr>
    </w:p>
    <w:p w14:paraId="629F5223" w14:textId="77777777" w:rsidR="008354A7" w:rsidRDefault="008354A7" w:rsidP="005C3759">
      <w:pPr>
        <w:jc w:val="both"/>
      </w:pPr>
    </w:p>
    <w:p w14:paraId="34FD0B8E" w14:textId="77777777" w:rsidR="008354A7" w:rsidRDefault="008354A7" w:rsidP="005C3759">
      <w:pPr>
        <w:jc w:val="both"/>
      </w:pPr>
    </w:p>
    <w:p w14:paraId="5CD196D6" w14:textId="77777777" w:rsidR="008354A7" w:rsidRDefault="008354A7" w:rsidP="005C3759">
      <w:pPr>
        <w:jc w:val="both"/>
      </w:pPr>
    </w:p>
    <w:p w14:paraId="1FA57F8A" w14:textId="77777777" w:rsidR="008354A7" w:rsidRDefault="008354A7" w:rsidP="005C3759">
      <w:pPr>
        <w:jc w:val="both"/>
      </w:pPr>
    </w:p>
    <w:p w14:paraId="1FC97269" w14:textId="77777777" w:rsidR="008354A7" w:rsidRDefault="008354A7" w:rsidP="005C3759">
      <w:pPr>
        <w:jc w:val="both"/>
      </w:pPr>
    </w:p>
    <w:p w14:paraId="18BDCCD2" w14:textId="2B7AF9FA" w:rsidR="00BE0595" w:rsidRDefault="00466357" w:rsidP="00F919C4">
      <w:pPr>
        <w:pStyle w:val="Ttulo1"/>
      </w:pPr>
      <w:bookmarkStart w:id="41" w:name="_Toc238946547"/>
      <w:r>
        <w:lastRenderedPageBreak/>
        <w:t>7. Interatividade do Dashboard</w:t>
      </w:r>
      <w:bookmarkEnd w:id="4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0"/>
      </w:tblGrid>
      <w:tr w:rsidR="00BE0595" w14:paraId="18BDCCD6" w14:textId="77777777">
        <w:trPr>
          <w:tblHeader/>
        </w:trPr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D3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D4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Onde foi utilizado</w:t>
            </w:r>
          </w:p>
        </w:tc>
        <w:tc>
          <w:tcPr>
            <w:tcW w:w="31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D5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BE0595" w14:paraId="18BDCCDA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236F9" w14:textId="77777777" w:rsidR="00DA398E" w:rsidRDefault="00466357">
            <w:r>
              <w:t>Segmentação por Ano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3BE8E" w14:textId="77777777" w:rsidR="00DA398E" w:rsidRDefault="00466357">
            <w:r>
              <w:t>Páginas de KPIs, AED e análises temporais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22E18" w14:textId="77777777" w:rsidR="00DA398E" w:rsidRDefault="00466357">
            <w:r>
              <w:t>Permitir a comparação dos indicadores e visualizações por período.</w:t>
            </w:r>
          </w:p>
        </w:tc>
      </w:tr>
      <w:tr w:rsidR="00BE0595" w14:paraId="18BDCCDE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F26C2" w14:textId="77777777" w:rsidR="00DA398E" w:rsidRDefault="00466357">
            <w:r>
              <w:t>Filtros no nível do visual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ECABA" w14:textId="77777777" w:rsidR="00DA398E" w:rsidRDefault="00466357">
            <w:r>
              <w:t>Rankings de Produto e Categoria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40AEE" w14:textId="77777777" w:rsidR="00DA398E" w:rsidRDefault="00466357">
            <w:r>
              <w:t>Excluir “Não informado” apenas do ranking e aplicar Top N sem remover registros da base.</w:t>
            </w:r>
          </w:p>
        </w:tc>
      </w:tr>
      <w:tr w:rsidR="00BE0595" w14:paraId="18BDCCE2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3F945" w14:textId="77777777" w:rsidR="00DA398E" w:rsidRDefault="00466357">
            <w:r>
              <w:t>Interações entre visuais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E975E" w14:textId="77777777" w:rsidR="00DA398E" w:rsidRDefault="00466357">
            <w:r>
              <w:t>Páginas analíticas do Power BI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1E00B" w14:textId="77777777" w:rsidR="00DA398E" w:rsidRDefault="00466357">
            <w:r>
              <w:t>Permitir que a seleção de categorias filtre e destaque os demais elementos relacionados na página.</w:t>
            </w:r>
          </w:p>
        </w:tc>
      </w:tr>
    </w:tbl>
    <w:p w14:paraId="18BDCCE3" w14:textId="77777777" w:rsidR="00BE0595" w:rsidRDefault="00466357" w:rsidP="00D331BD">
      <w:pPr>
        <w:jc w:val="both"/>
      </w:pPr>
      <w:r>
        <w:t>O dashboard FlowGuard utiliza os seguintes recursos de interatividade, implementados no Power BI:</w:t>
      </w:r>
    </w:p>
    <w:p w14:paraId="619BD3BA" w14:textId="77777777" w:rsidR="0083084B" w:rsidRDefault="00000000" w:rsidP="00D331BD">
      <w:pPr>
        <w:jc w:val="both"/>
      </w:pPr>
      <w:r>
        <w:t>• Segmentação por Ano (slicer ligado à tabela Calendario, coluna Ano): presente nas páginas “KPIs” e “Análise 2025”, ambas atualmente ocultas na navegação padrão do relatório publicado (seção 6.6); nelas, o filtro já é carregado com 2025 selecionado por padrão.</w:t>
      </w:r>
    </w:p>
    <w:p w14:paraId="3216656E" w14:textId="77777777" w:rsidR="0083084B" w:rsidRDefault="00000000" w:rsidP="00D331BD">
      <w:pPr>
        <w:jc w:val="both"/>
      </w:pPr>
      <w:r>
        <w:t>• Segmentação por “Entrou para KPI?”: disponível na página “Análise 2025” (também oculta na navegação padrão — seção 6.6), fixada em “SIM” para restringir a tabela detalhada ao universo elegível ao KPI.</w:t>
      </w:r>
    </w:p>
    <w:p w14:paraId="203E0527" w14:textId="77777777" w:rsidR="0083084B" w:rsidRDefault="00000000" w:rsidP="00D331BD">
      <w:pPr>
        <w:jc w:val="both"/>
      </w:pPr>
      <w:r>
        <w:t>• Filtros no nível do visual (Top N): aplicados aos rankings de Produto, Categoria e Grupo designado, removendo apenas do visual a categoria “Não informado” e limitando a exibição às posições mais relevantes, sem alterar a base subjacente.</w:t>
      </w:r>
    </w:p>
    <w:p w14:paraId="06587AFE" w14:textId="77777777" w:rsidR="0083084B" w:rsidRDefault="00000000" w:rsidP="00D331BD">
      <w:pPr>
        <w:jc w:val="both"/>
      </w:pPr>
      <w:r>
        <w:t>• Interação entre visuais (cross-filtering): habilitada em todos os visuais construídos, de forma que clicar em uma categoria, prioridade ou equipe em um gráfico filtra automaticamente os demais visuais da mesma página.</w:t>
      </w:r>
    </w:p>
    <w:p w14:paraId="0B73233D" w14:textId="77777777" w:rsidR="0083084B" w:rsidRDefault="00000000" w:rsidP="00D331BD">
      <w:pPr>
        <w:jc w:val="both"/>
      </w:pPr>
      <w:r>
        <w:t>• Cartões dinâmicos por filtro: na página “KPIs” (oculta — seção 6.6), os quatro indicadores recalculam conforme os filtros de ano aplicados. Já os cartões da página visível “Visão Geral” (seção 6.7) e os da página “Priorização Operacional” (seção 6.8) não dependem de slicer: comparam períodos fixos (dezembro vs. novembro/2025) definidos diretamente nas medidas DAX.</w:t>
      </w:r>
    </w:p>
    <w:p w14:paraId="6D4EF15E" w14:textId="77777777" w:rsidR="00296EB0" w:rsidRDefault="00000000" w:rsidP="00D331BD">
      <w:pPr>
        <w:jc w:val="both"/>
      </w:pPr>
      <w:r>
        <w:t>• Página de tooltip (“Tooltip Previsão”): ao passar o mouse sobre um ponto do gráfico de linha da página “Previsão” (seção 6.3), é exibido o detalhe de Data Abertura, Tipo e Volume daquele ponto, sem necessidade de navegação manual.</w:t>
      </w:r>
    </w:p>
    <w:p w14:paraId="088E9FD5" w14:textId="77777777" w:rsidR="00296EB0" w:rsidRDefault="00000000" w:rsidP="00D331BD">
      <w:pPr>
        <w:jc w:val="both"/>
      </w:pPr>
      <w:r>
        <w:t>Observação: nas quatro páginas atualmente visíveis (Visão Geral, Priorização Operacional, Previsão e Duração e Análise), não há slicers expostos ao usuário — a navegação nelas depende apenas do cross-filtering entre visuais e, na página “Previsão”, do tooltip. Caso se deseje permitir ao usuário final alternar o ano ou o período diretamente nessas páginas, recomenda-se reexpor um slicer equivalente ao das páginas ocultas.</w:t>
      </w:r>
    </w:p>
    <w:p w14:paraId="15ECD091" w14:textId="77777777" w:rsidR="008354A7" w:rsidRDefault="008354A7"/>
    <w:p w14:paraId="7EB9E4E2" w14:textId="77777777" w:rsidR="008354A7" w:rsidRDefault="008354A7"/>
    <w:p w14:paraId="7B492B40" w14:textId="77777777" w:rsidR="008354A7" w:rsidRDefault="008354A7"/>
    <w:p w14:paraId="673AB084" w14:textId="77777777" w:rsidR="008354A7" w:rsidRDefault="008354A7"/>
    <w:p w14:paraId="338126F2" w14:textId="77777777" w:rsidR="008354A7" w:rsidRDefault="008354A7"/>
    <w:p w14:paraId="68133FF8" w14:textId="77777777" w:rsidR="008354A7" w:rsidRDefault="008354A7"/>
    <w:p w14:paraId="50388655" w14:textId="77777777" w:rsidR="008354A7" w:rsidRDefault="008354A7"/>
    <w:p w14:paraId="14DF368C" w14:textId="77777777" w:rsidR="00D331BD" w:rsidRDefault="00D331BD"/>
    <w:p w14:paraId="3A093586" w14:textId="77777777" w:rsidR="008354A7" w:rsidRDefault="008354A7"/>
    <w:p w14:paraId="370591E2" w14:textId="77777777" w:rsidR="008354A7" w:rsidRDefault="008354A7"/>
    <w:p w14:paraId="24E5FCD6" w14:textId="77777777" w:rsidR="008354A7" w:rsidRDefault="008354A7"/>
    <w:p w14:paraId="3FB29AB6" w14:textId="77777777" w:rsidR="008354A7" w:rsidRDefault="008354A7"/>
    <w:p w14:paraId="1A43023F" w14:textId="77777777" w:rsidR="008354A7" w:rsidRDefault="008354A7"/>
    <w:p w14:paraId="18BDCCE4" w14:textId="77777777" w:rsidR="00BE0595" w:rsidRDefault="00466357">
      <w:pPr>
        <w:pStyle w:val="Ttulo1"/>
      </w:pPr>
      <w:bookmarkStart w:id="42" w:name="_Toc238946548"/>
      <w:r>
        <w:lastRenderedPageBreak/>
        <w:t>8. Principais Insights</w:t>
      </w:r>
      <w:bookmarkEnd w:id="42"/>
    </w:p>
    <w:p w14:paraId="18BDCCE6" w14:textId="77777777" w:rsidR="00BE0595" w:rsidRDefault="00466357" w:rsidP="00CE6CC9">
      <w:pPr>
        <w:pStyle w:val="Ttulo2"/>
        <w:jc w:val="both"/>
      </w:pPr>
      <w:bookmarkStart w:id="43" w:name="_Toc238946549"/>
      <w:r>
        <w:t>8.1 Apenas parte do volume total é elegível aos KPIs</w:t>
      </w:r>
      <w:bookmarkEnd w:id="43"/>
    </w:p>
    <w:p w14:paraId="18BDCCE7" w14:textId="77777777" w:rsidR="00BE0595" w:rsidRDefault="00466357" w:rsidP="00CE6CC9">
      <w:pPr>
        <w:spacing w:before="100" w:after="100"/>
        <w:jc w:val="both"/>
      </w:pPr>
      <w:r w:rsidRPr="008354A7">
        <w:rPr>
          <w:b/>
          <w:bCs/>
        </w:rPr>
        <w:t>Evidência:</w:t>
      </w:r>
      <w:r>
        <w:t xml:space="preserve"> 122.543 incidentes totais e 25.600 incidentes com Entrou para KPI? = SIM.</w:t>
      </w:r>
    </w:p>
    <w:p w14:paraId="18BDCCE8" w14:textId="77777777" w:rsidR="00BE0595" w:rsidRDefault="00466357" w:rsidP="00CE6CC9">
      <w:pPr>
        <w:spacing w:before="100" w:after="100"/>
        <w:jc w:val="both"/>
      </w:pPr>
      <w:r>
        <w:t>Análise: Aproximadamente 20,9% dos incidentes registrados compõem o universo efetivamente considerado na medição dos KPIs.</w:t>
      </w:r>
    </w:p>
    <w:p w14:paraId="18BDCCE9" w14:textId="77777777" w:rsidR="00BE0595" w:rsidRDefault="00466357" w:rsidP="00CE6CC9">
      <w:pPr>
        <w:spacing w:before="100" w:after="100"/>
        <w:jc w:val="both"/>
      </w:pPr>
      <w:r w:rsidRPr="008354A7">
        <w:rPr>
          <w:b/>
          <w:bCs/>
        </w:rPr>
        <w:t>Interpretação:</w:t>
      </w:r>
      <w:r>
        <w:t xml:space="preserve"> O volume operacional geral e o universo de desempenho medido pelos KPIs representam recortes diferentes da operação.</w:t>
      </w:r>
    </w:p>
    <w:p w14:paraId="18BDCCEA" w14:textId="77777777" w:rsidR="00BE0595" w:rsidRDefault="00466357" w:rsidP="00CE6CC9">
      <w:pPr>
        <w:spacing w:before="100" w:after="100"/>
        <w:jc w:val="both"/>
      </w:pPr>
      <w:r w:rsidRPr="008354A7">
        <w:rPr>
          <w:b/>
          <w:bCs/>
        </w:rPr>
        <w:t>Possível impacto:</w:t>
      </w:r>
      <w:r>
        <w:t xml:space="preserve"> Avaliar violações sobre o total de incidentes poderia diluir ou distorcer a leitura do desempenho.</w:t>
      </w:r>
    </w:p>
    <w:p w14:paraId="18BDCCEB" w14:textId="77777777" w:rsidR="00BE0595" w:rsidRDefault="00466357" w:rsidP="00CE6CC9">
      <w:pPr>
        <w:spacing w:before="100" w:after="100"/>
        <w:jc w:val="both"/>
      </w:pPr>
      <w:r w:rsidRPr="008354A7">
        <w:rPr>
          <w:b/>
          <w:bCs/>
        </w:rPr>
        <w:t>Ação recomendada:</w:t>
      </w:r>
      <w:r>
        <w:t xml:space="preserve"> Manter no dashboard a distinção entre Total de Incidentes e Incidentes Elegíveis ao KPI e utilizar o conjunto elegível como denominador das taxas.</w:t>
      </w:r>
    </w:p>
    <w:p w14:paraId="18BDCCEC" w14:textId="77777777" w:rsidR="00BE0595" w:rsidRDefault="00466357" w:rsidP="00CE6CC9">
      <w:pPr>
        <w:spacing w:before="100" w:after="100"/>
        <w:jc w:val="both"/>
      </w:pPr>
      <w:r w:rsidRPr="008354A7">
        <w:rPr>
          <w:b/>
          <w:bCs/>
        </w:rPr>
        <w:t>Visualização relacionada:</w:t>
      </w:r>
      <w:r>
        <w:t xml:space="preserve"> Página KPIs / cartões de Total de Incidentes e Incidentes Elegíveis KPI.</w:t>
      </w:r>
    </w:p>
    <w:p w14:paraId="18BDCCED" w14:textId="77777777" w:rsidR="00BE0595" w:rsidRDefault="00466357" w:rsidP="00CE6CC9">
      <w:pPr>
        <w:pStyle w:val="Ttulo2"/>
        <w:jc w:val="both"/>
      </w:pPr>
      <w:bookmarkStart w:id="44" w:name="_Toc238946550"/>
      <w:r>
        <w:t>8.2 A taxa global de violação é inferior a 1%</w:t>
      </w:r>
      <w:bookmarkEnd w:id="44"/>
    </w:p>
    <w:p w14:paraId="18BDCCEE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>Evidência:</w:t>
      </w:r>
      <w:r>
        <w:t xml:space="preserve"> 248 incidentes classificados com KPI Violado? = SIM entre 25.600 elegíveis, resultando em aproximadamente 0,97%.</w:t>
      </w:r>
    </w:p>
    <w:p w14:paraId="18BDCCEF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>Análise:</w:t>
      </w:r>
      <w:r>
        <w:t xml:space="preserve"> As violações representam uma parcela pequena do conjunto elegível quando observadas globalmente.</w:t>
      </w:r>
    </w:p>
    <w:p w14:paraId="18BDCCF0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>Interpretação:</w:t>
      </w:r>
      <w:r>
        <w:t xml:space="preserve"> O indicador agregado é baixo, mas pode ocultar concentrações em prioridades, equipes, produtos, categorias ou períodos específicos.</w:t>
      </w:r>
    </w:p>
    <w:p w14:paraId="18BDCCF1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>Possível impacto:</w:t>
      </w:r>
      <w:r>
        <w:t xml:space="preserve"> Uma leitura apenas global pode deixar de evidenciar segmentos com risco proporcionalmente maior.</w:t>
      </w:r>
    </w:p>
    <w:p w14:paraId="18BDCCF2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 xml:space="preserve">Ação recomendada: </w:t>
      </w:r>
      <w:r>
        <w:t>Acompanhar a taxa global em conjunto com as segmentações de quantidade e taxa de violação.</w:t>
      </w:r>
    </w:p>
    <w:p w14:paraId="18BDCCF3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>Visualização relacionada:</w:t>
      </w:r>
      <w:r>
        <w:t xml:space="preserve"> Página KPIs e página Análises KPI.</w:t>
      </w:r>
    </w:p>
    <w:p w14:paraId="18BDCCF4" w14:textId="77777777" w:rsidR="00BE0595" w:rsidRDefault="00466357" w:rsidP="00CE6CC9">
      <w:pPr>
        <w:pStyle w:val="Ttulo2"/>
        <w:jc w:val="both"/>
      </w:pPr>
      <w:bookmarkStart w:id="45" w:name="_Toc238946551"/>
      <w:r>
        <w:t>8.3 A duração apresenta forte ruptura temporal</w:t>
      </w:r>
      <w:bookmarkEnd w:id="45"/>
    </w:p>
    <w:p w14:paraId="18BDCCF5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>Evidência:</w:t>
      </w:r>
      <w:r>
        <w:t xml:space="preserve"> Entre os elegíveis, a mediana da duração foi de 942.839 min em 2023, 269.811 min em 2024 e 72 min em 2025.</w:t>
      </w:r>
    </w:p>
    <w:p w14:paraId="18BDCCF6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>Análise:</w:t>
      </w:r>
      <w:r>
        <w:t xml:space="preserve"> O comportamento da duração muda drasticamente entre os anos, e os registros antigos apresentam tempos muito superiores aos observados em 2025.</w:t>
      </w:r>
    </w:p>
    <w:p w14:paraId="18BDCCF7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>Interpretação:</w:t>
      </w:r>
      <w:r>
        <w:t xml:space="preserve"> A diferença não deve ser atribuída automaticamente a ganho de eficiência, pois a própria cobertura temporal e o perfil dos registros diferem entre os períodos.</w:t>
      </w:r>
    </w:p>
    <w:p w14:paraId="18BDCCF8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 xml:space="preserve">Possível impacto: </w:t>
      </w:r>
      <w:r>
        <w:t>Comparações históricas de duração sem contexto podem gerar conclusões incorretas sobre desempenho.</w:t>
      </w:r>
    </w:p>
    <w:p w14:paraId="18BDCCF9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 xml:space="preserve">Ação recomendada: </w:t>
      </w:r>
      <w:r>
        <w:t>Exibir duração com filtro temporal e registrar explicitamente a limitação antes de utilizar o indicador para comparação entre anos.</w:t>
      </w:r>
    </w:p>
    <w:p w14:paraId="18BDCCFA" w14:textId="77777777" w:rsidR="00BE0595" w:rsidRDefault="00466357" w:rsidP="00CE6CC9">
      <w:pPr>
        <w:spacing w:before="100" w:after="100"/>
        <w:jc w:val="both"/>
      </w:pPr>
      <w:r w:rsidRPr="000042CA">
        <w:rPr>
          <w:b/>
          <w:bCs/>
        </w:rPr>
        <w:t xml:space="preserve">Visualização relacionada: </w:t>
      </w:r>
      <w:r>
        <w:t>Página Duração e página Análise Anual (foco 2025).</w:t>
      </w:r>
    </w:p>
    <w:p w14:paraId="18BDCCFB" w14:textId="77777777" w:rsidR="00BE0595" w:rsidRDefault="00466357" w:rsidP="00CE6CC9">
      <w:pPr>
        <w:pStyle w:val="Ttulo2"/>
        <w:jc w:val="both"/>
      </w:pPr>
      <w:bookmarkStart w:id="46" w:name="_Toc238946552"/>
      <w:r>
        <w:t>8.4 Os incidentes elegíveis estão fortemente concentrados em 2025</w:t>
      </w:r>
      <w:bookmarkEnd w:id="46"/>
    </w:p>
    <w:p w14:paraId="18BDCCFC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Evidência:</w:t>
      </w:r>
      <w:r>
        <w:t xml:space="preserve"> Dos 25.600 incidentes elegíveis, 25.156 pertencem a 2025; 357 a 2024 e 87 a 2023.</w:t>
      </w:r>
    </w:p>
    <w:p w14:paraId="18BDCCFD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Análise:</w:t>
      </w:r>
      <w:r>
        <w:t xml:space="preserve"> Aproximadamente 98,3% do universo elegível está concentrado em 2025.</w:t>
      </w:r>
    </w:p>
    <w:p w14:paraId="18BDCCFE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Interpretação:</w:t>
      </w:r>
      <w:r>
        <w:t xml:space="preserve"> 2023 e 2024 possuem amostras muito menores para o recorte de KPI, reduzindo a comparabilidade direta com 2025.</w:t>
      </w:r>
    </w:p>
    <w:p w14:paraId="18BDCCFF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lastRenderedPageBreak/>
        <w:t>Possível impacto:</w:t>
      </w:r>
      <w:r>
        <w:t xml:space="preserve"> Variações percentuais ou de duração dos anos anteriores podem parecer mais expressivas devido ao baixo número de observações.</w:t>
      </w:r>
    </w:p>
    <w:p w14:paraId="18BDCD00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Ação recomendada:</w:t>
      </w:r>
      <w:r>
        <w:t xml:space="preserve"> Sempre apresentar volume de casos junto aos indicadores por ano e evitar conclusões históricas baseadas apenas nas taxas ou medianas.</w:t>
      </w:r>
    </w:p>
    <w:p w14:paraId="18BDCD01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Visualização relacionada:</w:t>
      </w:r>
      <w:r>
        <w:t xml:space="preserve"> Página Análise Anual (foco 2025).</w:t>
      </w:r>
    </w:p>
    <w:p w14:paraId="18BDCD02" w14:textId="77777777" w:rsidR="00BE0595" w:rsidRDefault="00466357" w:rsidP="00CE6CC9">
      <w:pPr>
        <w:pStyle w:val="Ttulo2"/>
        <w:jc w:val="both"/>
      </w:pPr>
      <w:bookmarkStart w:id="47" w:name="_Toc238946553"/>
      <w:r>
        <w:t>8.5 A ausência de classificação limita rankings de produto e categoria</w:t>
      </w:r>
      <w:bookmarkEnd w:id="47"/>
    </w:p>
    <w:p w14:paraId="18BDCD03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Evidência:</w:t>
      </w:r>
      <w:r>
        <w:t xml:space="preserve"> Produto, Categoria e Subcategoria possuem registros ausentes, preservados na base como “Não informado”; nos rankings Top 10, essa categoria foi retirada apenas do visual.</w:t>
      </w:r>
    </w:p>
    <w:p w14:paraId="18BDCD04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Análise:</w:t>
      </w:r>
      <w:r>
        <w:t xml:space="preserve"> A categoria “Não informado” tende a dominar os rankings e dificultar a comparação entre classificações conhecidas.</w:t>
      </w:r>
    </w:p>
    <w:p w14:paraId="18BDCD05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Interpretação:</w:t>
      </w:r>
      <w:r>
        <w:t xml:space="preserve"> Os rankings de produtos e categorias representam somente os registros com classificação disponível e não devem ser lidos como distribuição completa da base.</w:t>
      </w:r>
    </w:p>
    <w:p w14:paraId="18BDCD06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Possível impacto:</w:t>
      </w:r>
      <w:r>
        <w:t xml:space="preserve"> A ausência de preenchimento reduz a capacidade de localizar com precisão onde os incidentes estão concentrados.</w:t>
      </w:r>
    </w:p>
    <w:p w14:paraId="18BDCD07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Ação recomendada:</w:t>
      </w:r>
      <w:r>
        <w:t xml:space="preserve"> Monitorar a completude desses campos e deixar explícito no dashboard quando rankings considerarem apenas registros informados.</w:t>
      </w:r>
    </w:p>
    <w:p w14:paraId="18BDCD08" w14:textId="77777777" w:rsidR="00BE0595" w:rsidRDefault="00466357" w:rsidP="00CE6CC9">
      <w:pPr>
        <w:spacing w:before="100" w:after="100"/>
        <w:jc w:val="both"/>
      </w:pPr>
      <w:r w:rsidRPr="003207E8">
        <w:rPr>
          <w:b/>
          <w:bCs/>
        </w:rPr>
        <w:t>Visualização relacionada:</w:t>
      </w:r>
      <w:r>
        <w:t xml:space="preserve"> Página AED / Top 10 Produtos e Top 10 Categorias.</w:t>
      </w:r>
    </w:p>
    <w:p w14:paraId="18BDCD09" w14:textId="77777777" w:rsidR="00BE0595" w:rsidRDefault="00466357">
      <w:r>
        <w:br w:type="page"/>
      </w:r>
    </w:p>
    <w:p w14:paraId="18BDCD0A" w14:textId="77777777" w:rsidR="00BE0595" w:rsidRDefault="00466357">
      <w:pPr>
        <w:pStyle w:val="Ttulo1"/>
      </w:pPr>
      <w:bookmarkStart w:id="48" w:name="_Toc238946554"/>
      <w:r>
        <w:lastRenderedPageBreak/>
        <w:t>9. Integração com o FlowGuard</w:t>
      </w:r>
      <w:bookmarkEnd w:id="48"/>
    </w:p>
    <w:p w14:paraId="18BDCD0C" w14:textId="77777777" w:rsidR="00BE0595" w:rsidRDefault="00466357" w:rsidP="00CE6CC9">
      <w:pPr>
        <w:pStyle w:val="Ttulo2"/>
        <w:jc w:val="both"/>
      </w:pPr>
      <w:bookmarkStart w:id="49" w:name="_Toc238946555"/>
      <w:r>
        <w:t>Monitorar</w:t>
      </w:r>
      <w:bookmarkEnd w:id="49"/>
    </w:p>
    <w:p w14:paraId="18BDCD0D" w14:textId="5B27CE33" w:rsidR="00BE0595" w:rsidRDefault="00F9780C" w:rsidP="00CE6CC9">
      <w:pPr>
        <w:spacing w:before="60" w:after="200"/>
        <w:jc w:val="both"/>
      </w:pPr>
      <w:r>
        <w:t>É</w:t>
      </w:r>
      <w:r w:rsidR="00466357">
        <w:t xml:space="preserve"> representado pelos indicadores e visualizações históricas do Power BI, incluindo volume total de incidentes, elegibilidade aos KPIs, violações, taxa de violação, duração e análises por tempo, prioridade, equipe, produto e categoria.</w:t>
      </w:r>
    </w:p>
    <w:p w14:paraId="18BDCD0E" w14:textId="77777777" w:rsidR="00BE0595" w:rsidRDefault="00466357" w:rsidP="00CE6CC9">
      <w:pPr>
        <w:pStyle w:val="Ttulo2"/>
        <w:jc w:val="both"/>
      </w:pPr>
      <w:bookmarkStart w:id="50" w:name="_Toc238946556"/>
      <w:r>
        <w:t>Prever</w:t>
      </w:r>
      <w:bookmarkEnd w:id="50"/>
    </w:p>
    <w:p w14:paraId="18BDCD0F" w14:textId="01A8A834" w:rsidR="00BE0595" w:rsidRDefault="00F9780C" w:rsidP="00CE6CC9">
      <w:pPr>
        <w:spacing w:before="60" w:after="200"/>
        <w:jc w:val="both"/>
      </w:pPr>
      <w:r>
        <w:t>Passa</w:t>
      </w:r>
      <w:r w:rsidR="00466357">
        <w:t xml:space="preserve"> a contar com a versão final do Motor Preditivo, entregue no notebook oficial da Sprint 3 de Machine Learning (grupo FiveSight). O modelo escolhido foi um Poisson GLM, adequado a dados de contagem, treinado sobre os incidentes elegíveis a OLA (campo Entrou para KPI? = SIM) ao longo de todo o ano de 2025 — não sobre o volume total de incidentes, pois a AED da própria disciplina de ML identificou que o volume bruto sofre uma ruptura de instrumentação em setembro/2025 sem contrapartida na demanda real com OLA (ver seção 4.3). Dois conjuntos de features foram usados: calendário + lags (17 variáveis, D+1) e apenas calendário (10 variáveis, D+7), com bandas de erro calibradas na validação e verificadas no teste. Esse modelo já está em produção: a disciplina de Cloud Solutions publicou uma API que executa o mesmo Poisson GLM sobre o Azure Database for MySQL (http://flowguard-2569.southafricanorth.azurecontainer.io:8000/previsoes), e que já alimenta a tabela “previsoes” do modelo do Power BI, exibida na página “Previsão” do dashboard (seção 6.3).</w:t>
      </w:r>
    </w:p>
    <w:p w14:paraId="18BDCD10" w14:textId="77777777" w:rsidR="00BE0595" w:rsidRDefault="00466357" w:rsidP="00CE6CC9">
      <w:pPr>
        <w:pStyle w:val="Ttulo2"/>
        <w:jc w:val="both"/>
      </w:pPr>
      <w:bookmarkStart w:id="51" w:name="_Toc238946557"/>
      <w:r>
        <w:t>Priorizar</w:t>
      </w:r>
      <w:bookmarkEnd w:id="51"/>
    </w:p>
    <w:p w14:paraId="18BDCD11" w14:textId="6E1A2CE0" w:rsidR="00BE0595" w:rsidRDefault="00F9780C" w:rsidP="00CE6CC9">
      <w:pPr>
        <w:spacing w:before="60" w:after="200"/>
        <w:jc w:val="both"/>
      </w:pPr>
      <w:r>
        <w:t>Utiliza</w:t>
      </w:r>
      <w:r w:rsidR="00466357">
        <w:t xml:space="preserve"> a combinação entre volume, elegibilidade, quantidade de violações e taxa de violação para destacar segmentos que merecem investigação. As análises por prioridade, equipe, produto e categoria permitem comparar concentração absoluta e proporcional.</w:t>
      </w:r>
    </w:p>
    <w:p w14:paraId="18BDCD12" w14:textId="77777777" w:rsidR="00BE0595" w:rsidRDefault="00466357" w:rsidP="00CE6CC9">
      <w:pPr>
        <w:pStyle w:val="Ttulo2"/>
        <w:jc w:val="both"/>
      </w:pPr>
      <w:bookmarkStart w:id="52" w:name="_Toc238946558"/>
      <w:r>
        <w:t>Agir</w:t>
      </w:r>
      <w:bookmarkEnd w:id="52"/>
    </w:p>
    <w:p w14:paraId="18BDCD13" w14:textId="7C6006BC" w:rsidR="00BE0595" w:rsidRDefault="00F9780C" w:rsidP="00CE6CC9">
      <w:pPr>
        <w:spacing w:before="60" w:after="200"/>
        <w:jc w:val="both"/>
      </w:pPr>
      <w:r>
        <w:t>É</w:t>
      </w:r>
      <w:r w:rsidR="00466357">
        <w:t xml:space="preserve"> apoiado pela apresentação dos pontos de atenção de forma visual e filtrável, permitindo que gestores utilizem os resultados para direcionar investigações, acompanhar segmentos críticos e avaliar possíveis ações operacionais. O dashboard não determina causalidade nem prescreve automaticamente uma ação.</w:t>
      </w:r>
    </w:p>
    <w:p w14:paraId="76B416DA" w14:textId="7B6E201D" w:rsidR="00197302" w:rsidRPr="00197302" w:rsidRDefault="00197302" w:rsidP="00CE6CC9">
      <w:pPr>
        <w:pStyle w:val="Ttulo2"/>
        <w:jc w:val="both"/>
      </w:pPr>
      <w:bookmarkStart w:id="53" w:name="_Toc238946559"/>
      <w:r>
        <w:t xml:space="preserve">Análise </w:t>
      </w:r>
      <w:r w:rsidR="00F919C4">
        <w:t>obtida da matéria de Machine Learning</w:t>
      </w:r>
      <w:bookmarkEnd w:id="53"/>
    </w:p>
    <w:p w14:paraId="18BDCD15" w14:textId="6CEA61BA" w:rsidR="00BE0595" w:rsidRDefault="00466357" w:rsidP="00CE6CC9">
      <w:pPr>
        <w:spacing w:before="60" w:after="200"/>
        <w:jc w:val="both"/>
      </w:pPr>
      <w:r>
        <w:t>Os resultados da versão final devem ser lidos com o mesmo rigor com que foram reportados no notebook: no teste (56 dias, 03/11 a 28/12/2025), o modelo alcança MAE de 14,10 incidentes/dia em D+1 (MASE 0,95) e 19,17 em D+7 (MASE 1,29). O backtest walk-forward — várias janelas de treino/teste ao longo do ano, e não apenas uma — confirma que em D+1 o modelo vence o baseline sazonal de forma estatisticamente consistente (delta médio de MAE de -3,38, IC95 [-5,80; -0,97], p=0,031), enquanto em D+7 o resultado empata com o baseline (IC95 cruza o zero, p=0,148): o próprio grupo de ML optou por reportar esse empate em vez de maquiá-lo. A banda de incerteza p90, calibrada na validação, cobriu 73% dos dias no teste em D+1 e 64% em D+7 — abaixo do 90% nominal —, portanto deve ser apresentada no dashboard como uma faixa histórica de referência, e não como promessa de cobertura futura. A integração ao dashboard deve preservar a distinção visual entre valores “Histórico” e “Previsão”, exibir a faixa mín–máx ao lado do valor previsto, e mostrar o próprio erro do modelo nos últimos 30 dias — o desenho mínimo de painel de previsão recomendado pelo próprio notebook oficial para não perder credibilidade com o uso.</w:t>
      </w:r>
    </w:p>
    <w:p w14:paraId="18BDCD16" w14:textId="77777777" w:rsidR="00BE0595" w:rsidRDefault="00466357" w:rsidP="00CE6CC9">
      <w:pPr>
        <w:jc w:val="both"/>
      </w:pPr>
      <w:r>
        <w:br w:type="page"/>
      </w:r>
    </w:p>
    <w:p w14:paraId="18BDCD17" w14:textId="77777777" w:rsidR="00BE0595" w:rsidRDefault="00466357">
      <w:pPr>
        <w:pStyle w:val="Ttulo1"/>
      </w:pPr>
      <w:bookmarkStart w:id="54" w:name="_Toc238946560"/>
      <w:r>
        <w:lastRenderedPageBreak/>
        <w:t>10. Limitações da Análise</w:t>
      </w:r>
      <w:bookmarkEnd w:id="54"/>
    </w:p>
    <w:p w14:paraId="5408204B" w14:textId="77777777" w:rsidR="0019489B" w:rsidRDefault="00466357" w:rsidP="00CE6CC9">
      <w:pPr>
        <w:spacing w:before="60" w:after="200"/>
        <w:jc w:val="both"/>
      </w:pPr>
      <w:r>
        <w:t xml:space="preserve">Foram confirmadas limitações relacionadas à completude e à cobertura temporal da base. </w:t>
      </w:r>
    </w:p>
    <w:p w14:paraId="7102DEBE" w14:textId="77777777" w:rsidR="00205884" w:rsidRDefault="00466357" w:rsidP="00CE6CC9">
      <w:pPr>
        <w:spacing w:before="60" w:after="200"/>
        <w:jc w:val="both"/>
      </w:pPr>
      <w:r>
        <w:t xml:space="preserve">Os campos Resolvido, Solução e Incidente Pai apresentam aproximadamente 99% de valores vazios e são opcionais segundo o dicionário. Produto, Categoria e Subcategoria também possuem ausências, o que limita análises de concentração por classificação. </w:t>
      </w:r>
    </w:p>
    <w:p w14:paraId="30615F3D" w14:textId="77777777" w:rsidR="00095AED" w:rsidRDefault="00466357" w:rsidP="00CE6CC9">
      <w:pPr>
        <w:spacing w:before="60" w:after="200"/>
        <w:jc w:val="both"/>
      </w:pPr>
      <w:r>
        <w:t xml:space="preserve">Os campos de data apresentam coberturas diferentes: Aberto contém registros desde 02/01/2023, enquanto Resolvido possui valores preenchidos somente a partir de 27/12/2024 e Encerrado a partir de 01/01/2025. Além disso, a duração apresenta comportamento estruturalmente distinto entre 2023, 2024 e 2025, exigindo cautela em comparações históricas. </w:t>
      </w:r>
    </w:p>
    <w:p w14:paraId="770406C8" w14:textId="77777777" w:rsidR="00095AED" w:rsidRDefault="00466357" w:rsidP="00CE6CC9">
      <w:pPr>
        <w:spacing w:before="60" w:after="200"/>
        <w:jc w:val="both"/>
      </w:pPr>
      <w:r>
        <w:t xml:space="preserve">O campo KPI Violado? contém N/A fora dos valores SIM/NAO descritos no dicionário; na base analisada, todos esses registros possuem Entrou para KPI? = NAO. </w:t>
      </w:r>
    </w:p>
    <w:p w14:paraId="3BF1DD1F" w14:textId="77777777" w:rsidR="00095AED" w:rsidRDefault="00466357" w:rsidP="00CE6CC9">
      <w:pPr>
        <w:spacing w:before="60" w:after="200"/>
        <w:jc w:val="both"/>
      </w:pPr>
      <w:r>
        <w:t xml:space="preserve">Os dados permitem identificar padrões, concentrações e mudanças temporais, mas não permitem atribuir causalidade às diferenças observadas. </w:t>
      </w:r>
    </w:p>
    <w:p w14:paraId="18BDCD1F" w14:textId="70851134" w:rsidR="00BE0595" w:rsidRDefault="00466357" w:rsidP="00CE6CC9">
      <w:pPr>
        <w:spacing w:before="60" w:after="200"/>
        <w:jc w:val="both"/>
      </w:pPr>
      <w:r>
        <w:t>Quanto ao modelo preditivo (seção 9), a versão final foi treinada com toda a série de 2025 (365 dias, target = incidentes elegíveis a OLA), com partição cronológica em treino, validação e teste — uma amostra bem maior do que a da versão preliminar. Ainda assim, a banda de incerteza calibrada mostrou-se otimista (cobertura real de 73% em D+1 e 64% em D+7, contra 90% nominal), e em D+7 o modelo não supera de forma estatística o baseline sazonal (previsão simples repetindo o mesmo dia da semana anterior) no backtest walk-forward. Em D+1, por outro lado, há evidência estatisticamente consistente de ganho sobre o baseline. Essas conclusões — e não apenas o resultado agregado — devem ser comunicadas explicitamente no dashboard, evitando apresentar a previsão de D+7 como equivalente em confiabilidade à de D+1.</w:t>
      </w:r>
    </w:p>
    <w:p w14:paraId="18BDCD20" w14:textId="77777777" w:rsidR="00BE0595" w:rsidRDefault="00466357" w:rsidP="00CE6CC9">
      <w:pPr>
        <w:jc w:val="both"/>
      </w:pPr>
      <w:r>
        <w:br w:type="page"/>
      </w:r>
    </w:p>
    <w:p w14:paraId="18BDCD21" w14:textId="77777777" w:rsidR="00BE0595" w:rsidRDefault="00466357">
      <w:pPr>
        <w:pStyle w:val="Ttulo1"/>
      </w:pPr>
      <w:bookmarkStart w:id="55" w:name="_Toc238946561"/>
      <w:r>
        <w:lastRenderedPageBreak/>
        <w:t>11. Conclusão</w:t>
      </w:r>
      <w:bookmarkEnd w:id="55"/>
    </w:p>
    <w:p w14:paraId="18BDCD28" w14:textId="3A9B0B94" w:rsidR="00BE0595" w:rsidRDefault="00466357" w:rsidP="00CE6CC9">
      <w:pPr>
        <w:spacing w:before="60" w:after="200"/>
        <w:jc w:val="both"/>
      </w:pPr>
      <w:r>
        <w:t xml:space="preserve">A análise exploratória permitiu estruturar uma visão consolidada dos 122.543 incidentes disponibilizados pela Locaweb e construir indicadores voltados ao monitoramento operacional e aos KPIs. Foram identificados 25.600 incidentes elegíveis, 248 violações e taxa global de violação de aproximadamente 0,97%, além de diferenças relevantes na distribuição temporal e no comportamento da duração. O dashboard do FlowGuard organiza essas informações de forma interativa e permite aprofundar a análise por período, prioridade, equipe, produto e categoria. Nesta versão, o foco temporal foi ajustado para 2025 conforme orientação da professora, os cinco KPIs originais foram validados e complementados (Taxa de Crescimento da Demanda e Distribuição por Severidade) frente ao documento de referência KPIs de Gestão de Incidentes, e a versão final da previsão D+1/D+7 (modelo Poisson GLM, treinado sobre os incidentes elegíveis a OLA de todo o ano de 2025) já foi validada pela disciplina de Machine Learning e está disponível tanto em notebook quanto em uma API pública publicada pela disciplina de Cloud Solutions, pronta para ser consultada como fonte de dados no Power BI. O link público do dashboard já foi inserido (seção 12) e a previsão D+1/D+7 já foi incorporada à página “Previsão” (seção 6.3). </w:t>
      </w:r>
    </w:p>
    <w:p w14:paraId="18BDCD29" w14:textId="77777777" w:rsidR="00BE0595" w:rsidRDefault="00466357">
      <w:r>
        <w:br w:type="page"/>
      </w:r>
    </w:p>
    <w:p w14:paraId="18BDCD2A" w14:textId="77777777" w:rsidR="00BE0595" w:rsidRDefault="00466357">
      <w:pPr>
        <w:pStyle w:val="Ttulo1"/>
      </w:pPr>
      <w:bookmarkStart w:id="56" w:name="_Toc238946562"/>
      <w:r>
        <w:lastRenderedPageBreak/>
        <w:t>12. Link do Dashboard</w:t>
      </w:r>
      <w:bookmarkEnd w:id="56"/>
    </w:p>
    <w:p w14:paraId="18BDCD2B" w14:textId="0C4376EB" w:rsidR="00BE0595" w:rsidRDefault="00466357">
      <w:pPr>
        <w:spacing w:before="100" w:after="100"/>
      </w:pPr>
      <w:r>
        <w:rPr>
          <w:b/>
          <w:bCs/>
        </w:rPr>
        <w:t xml:space="preserve">Dashboard: </w:t>
      </w:r>
      <w:hyperlink r:id="rId23" w:history="1">
        <w:r w:rsidRPr="00D331BD">
          <w:rPr>
            <w:rStyle w:val="Hyperlink"/>
            <w:b/>
            <w:bCs/>
            <w:iCs/>
          </w:rPr>
          <w:t>https://app.powerbi.com/links/Xck4iSyIym?ctid=11dbbfe2-89b8-4549-be10-cec364e59551&amp;pbi_source=linkShare</w:t>
        </w:r>
      </w:hyperlink>
    </w:p>
    <w:p w14:paraId="18BDCD2C" w14:textId="77777777" w:rsidR="00BE0595" w:rsidRDefault="00466357">
      <w:pPr>
        <w:spacing w:before="100" w:after="100"/>
      </w:pPr>
      <w:r>
        <w:t>Ferramenta: Microsoft Power BI</w:t>
      </w:r>
    </w:p>
    <w:p w14:paraId="18BDCD2D" w14:textId="77777777" w:rsidR="00BE0595" w:rsidRDefault="00466357">
      <w:pPr>
        <w:spacing w:before="100" w:after="100"/>
      </w:pPr>
      <w:r>
        <w:t>Data de publicação: 30/08/2026</w:t>
      </w:r>
    </w:p>
    <w:p w14:paraId="18BDCD2E" w14:textId="77777777" w:rsidR="00BE0595" w:rsidRDefault="00466357">
      <w:r>
        <w:br w:type="page"/>
      </w:r>
    </w:p>
    <w:p w14:paraId="18BDCD2F" w14:textId="77777777" w:rsidR="00BE0595" w:rsidRDefault="00466357">
      <w:pPr>
        <w:pStyle w:val="Ttulo1"/>
      </w:pPr>
      <w:bookmarkStart w:id="57" w:name="_Toc238946563"/>
      <w:r>
        <w:lastRenderedPageBreak/>
        <w:t>13. Referências</w:t>
      </w:r>
      <w:bookmarkEnd w:id="57"/>
    </w:p>
    <w:p w14:paraId="18BDCD35" w14:textId="77777777" w:rsidR="00BE0595" w:rsidRDefault="00466357" w:rsidP="00CE6CC9">
      <w:pPr>
        <w:spacing w:before="60" w:after="200"/>
      </w:pPr>
      <w:r>
        <w:t>• Dataset de Incidentes LW-DATASET, fornecido pela Locaweb para o Challenge AIOps.</w:t>
      </w:r>
      <w:r>
        <w:br/>
        <w:t>• Dicionário de Dados – Challenge AIOps v2, fornecido pela Locaweb.</w:t>
      </w:r>
      <w:r>
        <w:br/>
        <w:t>• Regras Gerais e materiais da Sprint 3 do Challenge Locaweb AIOps.</w:t>
      </w:r>
      <w:r>
        <w:br/>
        <w:t>• Microsoft Power BI, utilizado para preparação, modelagem, análise exploratória e construção das visualizações.</w:t>
      </w:r>
    </w:p>
    <w:sectPr w:rsidR="00BE0595">
      <w:headerReference w:type="default" r:id="rId24"/>
      <w:footerReference w:type="default" r:id="rId2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9FC9" w14:textId="77777777" w:rsidR="00560545" w:rsidRDefault="00560545">
      <w:r>
        <w:separator/>
      </w:r>
    </w:p>
  </w:endnote>
  <w:endnote w:type="continuationSeparator" w:id="0">
    <w:p w14:paraId="6C6CEC6F" w14:textId="77777777" w:rsidR="00560545" w:rsidRDefault="0056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CD37" w14:textId="4631D324" w:rsidR="00BE0595" w:rsidRDefault="00466357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C71F3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FC9F4" w14:textId="77777777" w:rsidR="00560545" w:rsidRDefault="00560545">
      <w:r>
        <w:separator/>
      </w:r>
    </w:p>
  </w:footnote>
  <w:footnote w:type="continuationSeparator" w:id="0">
    <w:p w14:paraId="1D975422" w14:textId="77777777" w:rsidR="00560545" w:rsidRDefault="00560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CD36" w14:textId="3AEFAFB2" w:rsidR="00BE0595" w:rsidRDefault="00466357">
    <w:pPr>
      <w:pBdr>
        <w:bottom w:val="single" w:sz="4" w:space="4" w:color="BFBFBF"/>
      </w:pBdr>
      <w:jc w:val="right"/>
    </w:pPr>
    <w:r>
      <w:rPr>
        <w:color w:val="808080"/>
        <w:sz w:val="16"/>
        <w:szCs w:val="16"/>
      </w:rPr>
      <w:t>FlowGuard | Challenge Locaweb AIOps | Sprint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33F"/>
    <w:multiLevelType w:val="hybridMultilevel"/>
    <w:tmpl w:val="86D28B52"/>
    <w:lvl w:ilvl="0" w:tplc="2990DD5C">
      <w:start w:val="1"/>
      <w:numFmt w:val="bullet"/>
      <w:lvlText w:val="•"/>
      <w:lvlJc w:val="left"/>
      <w:pPr>
        <w:ind w:left="720" w:hanging="360"/>
      </w:pPr>
    </w:lvl>
    <w:lvl w:ilvl="1" w:tplc="D3F88594">
      <w:numFmt w:val="decimal"/>
      <w:lvlText w:val=""/>
      <w:lvlJc w:val="left"/>
    </w:lvl>
    <w:lvl w:ilvl="2" w:tplc="F66886E0">
      <w:numFmt w:val="decimal"/>
      <w:lvlText w:val=""/>
      <w:lvlJc w:val="left"/>
    </w:lvl>
    <w:lvl w:ilvl="3" w:tplc="D6FE5C62">
      <w:numFmt w:val="decimal"/>
      <w:lvlText w:val=""/>
      <w:lvlJc w:val="left"/>
    </w:lvl>
    <w:lvl w:ilvl="4" w:tplc="78CA4EA8">
      <w:numFmt w:val="decimal"/>
      <w:lvlText w:val=""/>
      <w:lvlJc w:val="left"/>
    </w:lvl>
    <w:lvl w:ilvl="5" w:tplc="E93E6FD0">
      <w:numFmt w:val="decimal"/>
      <w:lvlText w:val=""/>
      <w:lvlJc w:val="left"/>
    </w:lvl>
    <w:lvl w:ilvl="6" w:tplc="DC264AAA">
      <w:numFmt w:val="decimal"/>
      <w:lvlText w:val=""/>
      <w:lvlJc w:val="left"/>
    </w:lvl>
    <w:lvl w:ilvl="7" w:tplc="CC3CA202">
      <w:numFmt w:val="decimal"/>
      <w:lvlText w:val=""/>
      <w:lvlJc w:val="left"/>
    </w:lvl>
    <w:lvl w:ilvl="8" w:tplc="D9C4EDFA">
      <w:numFmt w:val="decimal"/>
      <w:lvlText w:val=""/>
      <w:lvlJc w:val="left"/>
    </w:lvl>
  </w:abstractNum>
  <w:abstractNum w:abstractNumId="1" w15:restartNumberingAfterBreak="0">
    <w:nsid w:val="34490BA5"/>
    <w:multiLevelType w:val="multilevel"/>
    <w:tmpl w:val="D68AFA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4437839"/>
    <w:multiLevelType w:val="hybridMultilevel"/>
    <w:tmpl w:val="4EF45BEC"/>
    <w:lvl w:ilvl="0" w:tplc="02C24252">
      <w:start w:val="1"/>
      <w:numFmt w:val="bullet"/>
      <w:lvlText w:val="●"/>
      <w:lvlJc w:val="left"/>
      <w:pPr>
        <w:ind w:left="720" w:hanging="360"/>
      </w:pPr>
    </w:lvl>
    <w:lvl w:ilvl="1" w:tplc="A2CE6596">
      <w:start w:val="1"/>
      <w:numFmt w:val="bullet"/>
      <w:lvlText w:val="○"/>
      <w:lvlJc w:val="left"/>
      <w:pPr>
        <w:ind w:left="1440" w:hanging="360"/>
      </w:pPr>
    </w:lvl>
    <w:lvl w:ilvl="2" w:tplc="A0FA0AF8">
      <w:start w:val="1"/>
      <w:numFmt w:val="bullet"/>
      <w:lvlText w:val="■"/>
      <w:lvlJc w:val="left"/>
      <w:pPr>
        <w:ind w:left="2160" w:hanging="360"/>
      </w:pPr>
    </w:lvl>
    <w:lvl w:ilvl="3" w:tplc="1C704AD4">
      <w:start w:val="1"/>
      <w:numFmt w:val="bullet"/>
      <w:lvlText w:val="●"/>
      <w:lvlJc w:val="left"/>
      <w:pPr>
        <w:ind w:left="2880" w:hanging="360"/>
      </w:pPr>
    </w:lvl>
    <w:lvl w:ilvl="4" w:tplc="3540272A">
      <w:start w:val="1"/>
      <w:numFmt w:val="bullet"/>
      <w:lvlText w:val="○"/>
      <w:lvlJc w:val="left"/>
      <w:pPr>
        <w:ind w:left="3600" w:hanging="360"/>
      </w:pPr>
    </w:lvl>
    <w:lvl w:ilvl="5" w:tplc="E416BD82">
      <w:start w:val="1"/>
      <w:numFmt w:val="bullet"/>
      <w:lvlText w:val="■"/>
      <w:lvlJc w:val="left"/>
      <w:pPr>
        <w:ind w:left="4320" w:hanging="360"/>
      </w:pPr>
    </w:lvl>
    <w:lvl w:ilvl="6" w:tplc="B18A898C">
      <w:start w:val="1"/>
      <w:numFmt w:val="bullet"/>
      <w:lvlText w:val="●"/>
      <w:lvlJc w:val="left"/>
      <w:pPr>
        <w:ind w:left="5040" w:hanging="360"/>
      </w:pPr>
    </w:lvl>
    <w:lvl w:ilvl="7" w:tplc="5CCA4930">
      <w:start w:val="1"/>
      <w:numFmt w:val="bullet"/>
      <w:lvlText w:val="●"/>
      <w:lvlJc w:val="left"/>
      <w:pPr>
        <w:ind w:left="5760" w:hanging="360"/>
      </w:pPr>
    </w:lvl>
    <w:lvl w:ilvl="8" w:tplc="1BB095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851C7B"/>
    <w:multiLevelType w:val="hybridMultilevel"/>
    <w:tmpl w:val="74041FD0"/>
    <w:lvl w:ilvl="0" w:tplc="20F25B14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874805">
    <w:abstractNumId w:val="2"/>
    <w:lvlOverride w:ilvl="0">
      <w:startOverride w:val="1"/>
    </w:lvlOverride>
  </w:num>
  <w:num w:numId="2" w16cid:durableId="1378626008">
    <w:abstractNumId w:val="3"/>
  </w:num>
  <w:num w:numId="3" w16cid:durableId="182223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595"/>
    <w:rsid w:val="000042CA"/>
    <w:rsid w:val="00064A21"/>
    <w:rsid w:val="00095AED"/>
    <w:rsid w:val="000B24BC"/>
    <w:rsid w:val="00121B6F"/>
    <w:rsid w:val="001320B6"/>
    <w:rsid w:val="00151E6D"/>
    <w:rsid w:val="0018774E"/>
    <w:rsid w:val="0019489B"/>
    <w:rsid w:val="00197302"/>
    <w:rsid w:val="00205884"/>
    <w:rsid w:val="00235A5C"/>
    <w:rsid w:val="00247A69"/>
    <w:rsid w:val="00253B5A"/>
    <w:rsid w:val="0028348E"/>
    <w:rsid w:val="00283E2B"/>
    <w:rsid w:val="00296EB0"/>
    <w:rsid w:val="002B1841"/>
    <w:rsid w:val="002D10B2"/>
    <w:rsid w:val="002D3E1D"/>
    <w:rsid w:val="002D5804"/>
    <w:rsid w:val="002F55DC"/>
    <w:rsid w:val="00316AC0"/>
    <w:rsid w:val="003207E8"/>
    <w:rsid w:val="00322EFF"/>
    <w:rsid w:val="003507B4"/>
    <w:rsid w:val="00373FCB"/>
    <w:rsid w:val="00380E3B"/>
    <w:rsid w:val="00397A57"/>
    <w:rsid w:val="003B0565"/>
    <w:rsid w:val="003F5743"/>
    <w:rsid w:val="00464B40"/>
    <w:rsid w:val="00466357"/>
    <w:rsid w:val="0049154D"/>
    <w:rsid w:val="004B51D1"/>
    <w:rsid w:val="00502ED8"/>
    <w:rsid w:val="00535CC6"/>
    <w:rsid w:val="00553B69"/>
    <w:rsid w:val="00560545"/>
    <w:rsid w:val="005678C5"/>
    <w:rsid w:val="00592092"/>
    <w:rsid w:val="00593D4E"/>
    <w:rsid w:val="00597C89"/>
    <w:rsid w:val="005A77E2"/>
    <w:rsid w:val="005C3759"/>
    <w:rsid w:val="00623CE0"/>
    <w:rsid w:val="0065391B"/>
    <w:rsid w:val="006A5703"/>
    <w:rsid w:val="006A640F"/>
    <w:rsid w:val="006F1C49"/>
    <w:rsid w:val="00714D5D"/>
    <w:rsid w:val="007322CD"/>
    <w:rsid w:val="007557D2"/>
    <w:rsid w:val="007666EF"/>
    <w:rsid w:val="007A74FE"/>
    <w:rsid w:val="007B6993"/>
    <w:rsid w:val="007C5191"/>
    <w:rsid w:val="007E37F4"/>
    <w:rsid w:val="0081738E"/>
    <w:rsid w:val="008206C1"/>
    <w:rsid w:val="0083084B"/>
    <w:rsid w:val="008354A7"/>
    <w:rsid w:val="00835775"/>
    <w:rsid w:val="0087763F"/>
    <w:rsid w:val="00886270"/>
    <w:rsid w:val="008B3E5F"/>
    <w:rsid w:val="008C792D"/>
    <w:rsid w:val="008E42B5"/>
    <w:rsid w:val="009317A4"/>
    <w:rsid w:val="009526E7"/>
    <w:rsid w:val="00954D3E"/>
    <w:rsid w:val="0097005B"/>
    <w:rsid w:val="00970513"/>
    <w:rsid w:val="009A04A1"/>
    <w:rsid w:val="009D043B"/>
    <w:rsid w:val="00A1171F"/>
    <w:rsid w:val="00A1684E"/>
    <w:rsid w:val="00A277C9"/>
    <w:rsid w:val="00A4779C"/>
    <w:rsid w:val="00A47808"/>
    <w:rsid w:val="00A72C9C"/>
    <w:rsid w:val="00AE343D"/>
    <w:rsid w:val="00B13CE9"/>
    <w:rsid w:val="00B22882"/>
    <w:rsid w:val="00B65245"/>
    <w:rsid w:val="00B95DC1"/>
    <w:rsid w:val="00BB144D"/>
    <w:rsid w:val="00BB2911"/>
    <w:rsid w:val="00BE0595"/>
    <w:rsid w:val="00BE4060"/>
    <w:rsid w:val="00BE4551"/>
    <w:rsid w:val="00BF6D11"/>
    <w:rsid w:val="00C209F9"/>
    <w:rsid w:val="00C437D3"/>
    <w:rsid w:val="00C62802"/>
    <w:rsid w:val="00C74B83"/>
    <w:rsid w:val="00C82569"/>
    <w:rsid w:val="00CC60CA"/>
    <w:rsid w:val="00CE5CAB"/>
    <w:rsid w:val="00CE6A6E"/>
    <w:rsid w:val="00CE6CC9"/>
    <w:rsid w:val="00D331BD"/>
    <w:rsid w:val="00D33426"/>
    <w:rsid w:val="00D65C65"/>
    <w:rsid w:val="00D71B73"/>
    <w:rsid w:val="00DA398E"/>
    <w:rsid w:val="00DB34E7"/>
    <w:rsid w:val="00DD620B"/>
    <w:rsid w:val="00DD78A2"/>
    <w:rsid w:val="00DE1244"/>
    <w:rsid w:val="00E03351"/>
    <w:rsid w:val="00E06F49"/>
    <w:rsid w:val="00E13D35"/>
    <w:rsid w:val="00E70A60"/>
    <w:rsid w:val="00E7389F"/>
    <w:rsid w:val="00EA25DA"/>
    <w:rsid w:val="00EA5D74"/>
    <w:rsid w:val="00EC5B43"/>
    <w:rsid w:val="00EF0D80"/>
    <w:rsid w:val="00F1259E"/>
    <w:rsid w:val="00F31F03"/>
    <w:rsid w:val="00F34DFE"/>
    <w:rsid w:val="00F431B7"/>
    <w:rsid w:val="00F919C4"/>
    <w:rsid w:val="00F9780C"/>
    <w:rsid w:val="00FA3B07"/>
    <w:rsid w:val="00FC0F55"/>
    <w:rsid w:val="00FC4F25"/>
    <w:rsid w:val="00FC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CBE5"/>
  <w15:docId w15:val="{537915ED-A8BB-43EE-BFFE-B8813638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743"/>
  </w:style>
  <w:style w:type="paragraph" w:styleId="Ttulo1">
    <w:name w:val="heading 1"/>
    <w:uiPriority w:val="9"/>
    <w:qFormat/>
    <w:pPr>
      <w:pBdr>
        <w:bottom w:val="single" w:sz="6" w:space="4" w:color="2E74B5"/>
      </w:pBd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link w:val="Ttulo2Char"/>
    <w:uiPriority w:val="9"/>
    <w:unhideWhenUsed/>
    <w:qFormat/>
    <w:pPr>
      <w:spacing w:before="200" w:after="120"/>
      <w:outlineLvl w:val="1"/>
    </w:pPr>
    <w:rPr>
      <w:b/>
      <w:bCs/>
      <w:color w:val="2E74B5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i/>
      <w:iCs/>
      <w:color w:val="44546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678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78C5"/>
  </w:style>
  <w:style w:type="paragraph" w:styleId="Rodap">
    <w:name w:val="footer"/>
    <w:basedOn w:val="Normal"/>
    <w:link w:val="RodapChar"/>
    <w:uiPriority w:val="99"/>
    <w:unhideWhenUsed/>
    <w:rsid w:val="005678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78C5"/>
  </w:style>
  <w:style w:type="character" w:customStyle="1" w:styleId="Ttulo2Char">
    <w:name w:val="Título 2 Char"/>
    <w:basedOn w:val="Fontepargpadro"/>
    <w:link w:val="Ttulo2"/>
    <w:uiPriority w:val="9"/>
    <w:rsid w:val="00C209F9"/>
    <w:rPr>
      <w:b/>
      <w:bCs/>
      <w:color w:val="2E74B5"/>
      <w:sz w:val="25"/>
      <w:szCs w:val="2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65C65"/>
    <w:pPr>
      <w:keepNext/>
      <w:keepLines/>
      <w:pBdr>
        <w:bottom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D65C6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65C65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766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app.powerbi.com/groups/84e0f0f5-a4b6-41a4-a82b-1f0e6f2b1090/reports/26b0a0e3-9f52-43db-983d-e7bdcfad8f1c/b6202ada76bd146f468c?ctid=11dbbfe2-89b8-4549-be10-cec364e59551&amp;experience=power-bi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pp.powerbi.com/groups/me/reports/26b0a0e3-9f52-43db-983d-e7bdcfad8f1c/b6202ada76bd146f468c?ctid=11dbbfe2-89b8-4549-be10-cec364e59551&amp;experience=power-bi" TargetMode="External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779643-E9A0-449D-AA0B-BEA85CB07384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c30248b9-44ab-4b66-ad4d-f3ee786f132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F80EF-E70C-4C02-B895-5C511F2CB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31</Pages>
  <Words>10175</Words>
  <Characters>54948</Characters>
  <Application>Microsoft Office Word</Application>
  <DocSecurity>0</DocSecurity>
  <Lines>457</Lines>
  <Paragraphs>129</Paragraphs>
  <ScaleCrop>false</ScaleCrop>
  <Company/>
  <LinksUpToDate>false</LinksUpToDate>
  <CharactersWithSpaces>64994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Locaweb Sprint 3 - FlowGuard</dc:title>
  <dc:creator>FiveSight</dc:creator>
  <cp:lastModifiedBy>Karen Oliveira</cp:lastModifiedBy>
  <cp:revision>108</cp:revision>
  <dcterms:created xsi:type="dcterms:W3CDTF">2026-08-19T18:42:00Z</dcterms:created>
  <dcterms:modified xsi:type="dcterms:W3CDTF">2026-08-30T18:58:00Z</dcterms:modified>
</cp:coreProperties>
</file>