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Itinerary</w:t>
      </w:r>
    </w:p>
    <w:p>
      <w:pPr>
        <w:spacing w:after="200"/>
        <w:jc w:val="center"/>
      </w:pPr>
      <w:r>
        <w:rPr>
          <w:rFonts w:ascii="Heiti SC" w:hAnsi="Heiti SC" w:eastAsia="Heiti SC"/>
          <w:color w:val="555555"/>
          <w:sz w:val="22"/>
        </w:rPr>
        <w:t>Italy and France  |  16 July 2026 to 30 July 2026</w:t>
      </w:r>
    </w:p>
    <w:p>
      <w:pPr>
        <w:spacing w:after="160"/>
      </w:pPr>
      <w:r>
        <w:rPr>
          <w:b/>
        </w:rPr>
        <w:t xml:space="preserve">Purpose. </w:t>
      </w:r>
      <w:r>
        <w:t>本行程为欧洲观光旅行，路线覆盖法国巴黎、尼斯，以及意大利佛罗伦萨、罗马。以下中文说明用于解释每日旅游安排，英文城市和景点名称与机票及预订材料保持一致。请在递交前根据最终订单核对酒店、火车和航班信息。</w:t>
      </w:r>
    </w:p>
    <w:p>
      <w:pPr>
        <w:pStyle w:val="Heading1"/>
      </w:pPr>
      <w:r>
        <w:t>Trip Overview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2664"/>
        <w:gridCol w:w="2664"/>
        <w:gridCol w:w="2664"/>
      </w:tblGrid>
      <w:tr>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Travel dates</w:t>
            </w:r>
          </w:p>
        </w:tc>
        <w:tc>
          <w:tcPr>
            <w:tcW w:type="dxa" w:w="288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16 Jul 2026 - 30 Jul 2026</w:t>
            </w:r>
          </w:p>
        </w:tc>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Route</w:t>
            </w:r>
          </w:p>
        </w:tc>
        <w:tc>
          <w:tcPr>
            <w:tcW w:type="dxa" w:w="432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Shenzhen / Hong Kong - Paris - Nice - Florence - Rome - Hong Kong / Shenzhen</w:t>
            </w:r>
          </w:p>
        </w:tc>
      </w:tr>
      <w:tr>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Countries</w:t>
            </w:r>
          </w:p>
        </w:tc>
        <w:tc>
          <w:tcPr>
            <w:tcW w:type="dxa" w:w="288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China, France and Italy</w:t>
            </w:r>
          </w:p>
        </w:tc>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Purpose</w:t>
            </w:r>
          </w:p>
        </w:tc>
        <w:tc>
          <w:tcPr>
            <w:tcW w:type="dxa" w:w="432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Tourism and cultural visits / 旅游观光与文化参访</w:t>
            </w:r>
          </w:p>
        </w:tc>
      </w:tr>
      <w:tr>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France stay</w:t>
            </w:r>
          </w:p>
        </w:tc>
        <w:tc>
          <w:tcPr>
            <w:tcW w:type="dxa" w:w="288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Paris 16-22 Jul; Nice 22-26 Jul</w:t>
            </w:r>
          </w:p>
        </w:tc>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Italy stay</w:t>
            </w:r>
          </w:p>
        </w:tc>
        <w:tc>
          <w:tcPr>
            <w:tcW w:type="dxa" w:w="432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Florence 26-28 Jul; Rome 28-30 Jul</w:t>
            </w:r>
          </w:p>
        </w:tc>
      </w:tr>
      <w:tr>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Entry / exit plan</w:t>
            </w:r>
          </w:p>
        </w:tc>
        <w:tc>
          <w:tcPr>
            <w:tcW w:type="dxa" w:w="288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Arrive in Paris; depart from Rome</w:t>
            </w:r>
          </w:p>
        </w:tc>
        <w:tc>
          <w:tcPr>
            <w:tcW w:type="dxa" w:w="1656"/>
            <w:vAlign w:val="center"/>
            <w:tcMar>
              <w:top w:w="80" w:type="dxa"/>
              <w:start w:w="100" w:type="dxa"/>
              <w:bottom w:w="80" w:type="dxa"/>
              <w:end w:w="100" w:type="dxa"/>
            </w:tcMar>
            <w:shd w:fill="EAF0F6"/>
          </w:tcPr>
          <w:p>
            <w:pPr>
              <w:spacing w:after="0" w:line="250" w:lineRule="auto"/>
            </w:pPr>
            <w:r/>
            <w:r>
              <w:rPr>
                <w:rFonts w:ascii="Heiti SC" w:hAnsi="Heiti SC" w:eastAsia="Heiti SC"/>
                <w:b/>
                <w:color w:val="000000"/>
                <w:sz w:val="17"/>
              </w:rPr>
              <w:t>Main transport</w:t>
            </w:r>
          </w:p>
        </w:tc>
        <w:tc>
          <w:tcPr>
            <w:tcW w:type="dxa" w:w="4320"/>
            <w:vAlign w:val="center"/>
            <w:tcMar>
              <w:top w:w="80" w:type="dxa"/>
              <w:start w:w="100" w:type="dxa"/>
              <w:bottom w:w="80" w:type="dxa"/>
              <w:end w:w="100" w:type="dxa"/>
            </w:tcMar>
          </w:tcPr>
          <w:p>
            <w:pPr>
              <w:spacing w:after="0" w:line="250" w:lineRule="auto"/>
            </w:pPr>
            <w:r/>
            <w:r>
              <w:rPr>
                <w:rFonts w:ascii="Heiti SC" w:hAnsi="Heiti SC" w:eastAsia="Heiti SC"/>
                <w:b w:val="0"/>
                <w:color w:val="000000"/>
                <w:sz w:val="17"/>
              </w:rPr>
              <w:t>Air China flights; trains; local public transport and walking</w:t>
            </w:r>
          </w:p>
        </w:tc>
      </w:tr>
    </w:tbl>
    <w:p>
      <w:pPr>
        <w:pStyle w:val="Heading1"/>
      </w:pPr>
      <w:r>
        <w:t>Daily Itinerary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31"/>
        <w:gridCol w:w="2131"/>
        <w:gridCol w:w="2131"/>
        <w:gridCol w:w="2131"/>
        <w:gridCol w:w="2131"/>
      </w:tblGrid>
      <w:tr>
        <w:trPr>
          <w:tblHeader w:val="true"/>
        </w:trPr>
        <w:tc>
          <w:tcPr>
            <w:tcW w:type="dxa" w:w="1123"/>
            <w:vAlign w:val="center"/>
            <w:tcMar>
              <w:top w:w="80" w:type="dxa"/>
              <w:start w:w="100" w:type="dxa"/>
              <w:bottom w:w="80" w:type="dxa"/>
              <w:end w:w="100" w:type="dxa"/>
            </w:tcMar>
            <w:shd w:fill="34495E"/>
          </w:tcPr>
          <w:p>
            <w:pPr>
              <w:spacing w:after="0" w:line="250" w:lineRule="auto"/>
              <w:jc w:val="center"/>
            </w:pPr>
            <w:r/>
            <w:r>
              <w:rPr>
                <w:rFonts w:ascii="Heiti SC" w:hAnsi="Heiti SC" w:eastAsia="Heiti SC"/>
                <w:b/>
                <w:color w:val="FFFFFF"/>
                <w:sz w:val="16"/>
              </w:rPr>
              <w:t>Day / Date</w:t>
            </w:r>
          </w:p>
        </w:tc>
        <w:tc>
          <w:tcPr>
            <w:tcW w:type="dxa" w:w="1699"/>
            <w:vAlign w:val="center"/>
            <w:tcMar>
              <w:top w:w="80" w:type="dxa"/>
              <w:start w:w="100" w:type="dxa"/>
              <w:bottom w:w="80" w:type="dxa"/>
              <w:end w:w="100" w:type="dxa"/>
            </w:tcMar>
            <w:shd w:fill="34495E"/>
          </w:tcPr>
          <w:p>
            <w:pPr>
              <w:spacing w:after="0" w:line="250" w:lineRule="auto"/>
              <w:jc w:val="center"/>
            </w:pPr>
            <w:r/>
            <w:r>
              <w:rPr>
                <w:rFonts w:ascii="Heiti SC" w:hAnsi="Heiti SC" w:eastAsia="Heiti SC"/>
                <w:b/>
                <w:color w:val="FFFFFF"/>
                <w:sz w:val="16"/>
              </w:rPr>
              <w:t>Country / City</w:t>
            </w:r>
          </w:p>
        </w:tc>
        <w:tc>
          <w:tcPr>
            <w:tcW w:type="dxa" w:w="3528"/>
            <w:vAlign w:val="center"/>
            <w:tcMar>
              <w:top w:w="80" w:type="dxa"/>
              <w:start w:w="100" w:type="dxa"/>
              <w:bottom w:w="80" w:type="dxa"/>
              <w:end w:w="100" w:type="dxa"/>
            </w:tcMar>
            <w:shd w:fill="34495E"/>
          </w:tcPr>
          <w:p>
            <w:pPr>
              <w:spacing w:after="0" w:line="250" w:lineRule="auto"/>
              <w:jc w:val="center"/>
            </w:pPr>
            <w:r/>
            <w:r>
              <w:rPr>
                <w:rFonts w:ascii="Heiti SC" w:hAnsi="Heiti SC" w:eastAsia="Heiti SC"/>
                <w:b/>
                <w:color w:val="FFFFFF"/>
                <w:sz w:val="16"/>
              </w:rPr>
              <w:t>Planned activities / 具体行程</w:t>
            </w:r>
          </w:p>
        </w:tc>
        <w:tc>
          <w:tcPr>
            <w:tcW w:type="dxa" w:w="1915"/>
            <w:vAlign w:val="center"/>
            <w:tcMar>
              <w:top w:w="80" w:type="dxa"/>
              <w:start w:w="100" w:type="dxa"/>
              <w:bottom w:w="80" w:type="dxa"/>
              <w:end w:w="100" w:type="dxa"/>
            </w:tcMar>
            <w:shd w:fill="34495E"/>
          </w:tcPr>
          <w:p>
            <w:pPr>
              <w:spacing w:after="0" w:line="250" w:lineRule="auto"/>
              <w:jc w:val="center"/>
            </w:pPr>
            <w:r/>
            <w:r>
              <w:rPr>
                <w:rFonts w:ascii="Heiti SC" w:hAnsi="Heiti SC" w:eastAsia="Heiti SC"/>
                <w:b/>
                <w:color w:val="FFFFFF"/>
                <w:sz w:val="16"/>
              </w:rPr>
              <w:t>Transportation / 交通</w:t>
            </w:r>
          </w:p>
        </w:tc>
        <w:tc>
          <w:tcPr>
            <w:tcW w:type="dxa" w:w="2131"/>
            <w:vAlign w:val="center"/>
            <w:tcMar>
              <w:top w:w="80" w:type="dxa"/>
              <w:start w:w="100" w:type="dxa"/>
              <w:bottom w:w="80" w:type="dxa"/>
              <w:end w:w="100" w:type="dxa"/>
            </w:tcMar>
            <w:shd w:fill="34495E"/>
          </w:tcPr>
          <w:p>
            <w:pPr>
              <w:spacing w:after="0" w:line="250" w:lineRule="auto"/>
              <w:jc w:val="center"/>
            </w:pPr>
            <w:r/>
            <w:r>
              <w:rPr>
                <w:rFonts w:ascii="Heiti SC" w:hAnsi="Heiti SC" w:eastAsia="Heiti SC"/>
                <w:b/>
                <w:color w:val="FFFFFF"/>
                <w:sz w:val="16"/>
              </w:rPr>
              <w:t>Accommodation / 住宿</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1</w:t>
              <w:br/>
              <w:t>16 Jul Thu</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China → France</w:t>
              <w:br/>
              <w:t>Shenzhen / Hong Kong / Paris</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从深圳前往香港机场，乘坐国航航班经北京飞往巴黎。抵达后前往住宿地办理入住并休息。</w:t>
              <w:br/>
              <w:t>CA118 HKG-PEK 08:30-12:00; CA933 PEK-CDG 13:30-18:15</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Taxi; international flight; airport transfer</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Paris accommodation</w:t>
              <w:br/>
              <w:t>Details to match actual reservation</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2</w:t>
              <w:br/>
              <w:t>17 Jul Fri</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France</w:t>
              <w:br/>
              <w:t>Paris</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游览凯旋门、香榭丽舍大街和埃菲尔铁塔，晚间安排塞纳河游船，感受巴黎城市景观。</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Metro, bus, walk and Uber</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3</w:t>
              <w:br/>
              <w:t>18 Jul Sat</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France</w:t>
              <w:br/>
              <w:t>Paris</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参观奥赛博物馆、巴黎圣母院和圣礼拜堂，了解巴黎的艺术与宗教建筑文化。</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Metro, bus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4</w:t>
              <w:br/>
              <w:t>19 Jul Sun</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France</w:t>
              <w:br/>
              <w:t>Paris</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参观卢浮宫，随后游览杜乐丽花园和协和广场，安排城市文化观光。</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Metro, bus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5</w:t>
              <w:br/>
              <w:t>20 Jul Mon</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France</w:t>
              <w:br/>
              <w:t>Paris</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前往巴黎迪士尼乐园进行一日休闲游览，晚上返回巴黎住宿。</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RER / public transport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6</w:t>
              <w:br/>
              <w:t>21 Jul Tue</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France</w:t>
              <w:br/>
              <w:t>Paris</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参观凡尔赛宫及其花园，了解法国王室历史与建筑艺术，结束后返回巴黎。</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RER / public transport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7</w:t>
              <w:br/>
              <w:t>22 Jul Wed</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France</w:t>
              <w:br/>
              <w:t>Paris to Nice</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离开巴黎前往尼斯。抵达后游览英国人漫步大道和尼斯老城区，进行海滨城市观光。</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TGV train; local transport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Nice accommodation</w:t>
              <w:br/>
              <w:t>Details to match actual reservation</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8</w:t>
              <w:br/>
              <w:t>23 Jul Thu</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France</w:t>
              <w:br/>
              <w:t>Nice</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游览梅德森大街、马塞纳广场、萨雷亚花市和城堡山公园，欣赏尼斯市区与地中海景色。</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Bus, tram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9</w:t>
              <w:br/>
              <w:t>24 Jul Fri</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France</w:t>
              <w:br/>
              <w:t>Nice / Menton</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乘火车前往芒通，游览海滩、圣米歇尔大教堂及老城街区，下午返回尼斯。</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Train, bus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10</w:t>
              <w:br/>
              <w:t>25 Jul Sat</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France</w:t>
              <w:br/>
              <w:t>Nice / Èze</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前往埃兹，参观埃兹植物园和山城景观，随后返回尼斯休息。</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Uber and train / bus</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11</w:t>
              <w:br/>
              <w:t>26 Jul Sun</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France → Italy</w:t>
              <w:br/>
              <w:t>Nice / Florence</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办理退房，从尼斯前往佛罗伦萨。抵达后办理入住，并在米开朗琪罗广场欣赏佛罗伦萨城市全景。</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FlixBus or train; bus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Florence accommodation</w:t>
              <w:br/>
              <w:t>Details to match actual reservation</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12</w:t>
              <w:br/>
              <w:t>27 Jul Mon</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Italy</w:t>
              <w:br/>
              <w:t>Florence</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参观圣母百花大教堂，游览领主广场和老桥，体验佛罗伦萨历史中心的艺术与建筑。</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Bus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13</w:t>
              <w:br/>
              <w:t>28 Jul Tue</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Italy</w:t>
              <w:br/>
              <w:t>Florence to Rome</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从佛罗伦萨乘火车前往罗马。抵达后游览古罗马广场和斗兽场，开始罗马历史文化之旅。</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Train; bus and walk</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Rome accommodation</w:t>
              <w:br/>
              <w:t>Details to match actual reservation</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14</w:t>
              <w:br/>
              <w:t>29 Jul Wed</w:t>
            </w:r>
          </w:p>
        </w:tc>
        <w:tc>
          <w:tcPr>
            <w:tcW w:type="dxa" w:w="1699"/>
            <w:vAlign w:val="center"/>
            <w:tcMar>
              <w:top w:w="80" w:type="dxa"/>
              <w:start w:w="100" w:type="dxa"/>
              <w:bottom w:w="80" w:type="dxa"/>
              <w:end w:w="100" w:type="dxa"/>
            </w:tcMar>
            <w:shd w:fill="F7F9FB"/>
          </w:tcPr>
          <w:p>
            <w:pPr>
              <w:spacing w:after="0" w:line="250" w:lineRule="auto"/>
              <w:jc w:val="center"/>
            </w:pPr>
            <w:r/>
            <w:r>
              <w:rPr>
                <w:rFonts w:ascii="Heiti SC" w:hAnsi="Heiti SC" w:eastAsia="Heiti SC"/>
                <w:b w:val="0"/>
                <w:color w:val="000000"/>
                <w:sz w:val="16"/>
              </w:rPr>
              <w:t>Italy</w:t>
              <w:br/>
              <w:t>Rome</w:t>
            </w:r>
          </w:p>
        </w:tc>
        <w:tc>
          <w:tcPr>
            <w:tcW w:type="dxa" w:w="3528"/>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游览特莱维喷泉、万神殿和纳沃纳广场，漫步罗马历史中心，感受古城建筑与城市生活。</w:t>
            </w:r>
          </w:p>
        </w:tc>
        <w:tc>
          <w:tcPr>
            <w:tcW w:type="dxa" w:w="1915"/>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Bus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Heiti SC" w:hAnsi="Heiti SC" w:eastAsia="Heiti SC"/>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15</w:t>
              <w:br/>
              <w:t>30 Jul Thu</w:t>
            </w:r>
          </w:p>
        </w:tc>
        <w:tc>
          <w:tcPr>
            <w:tcW w:type="dxa" w:w="1699"/>
            <w:vAlign w:val="center"/>
            <w:tcMar>
              <w:top w:w="80" w:type="dxa"/>
              <w:start w:w="100" w:type="dxa"/>
              <w:bottom w:w="80" w:type="dxa"/>
              <w:end w:w="100" w:type="dxa"/>
            </w:tcMar>
          </w:tcPr>
          <w:p>
            <w:pPr>
              <w:spacing w:after="0" w:line="250" w:lineRule="auto"/>
              <w:jc w:val="center"/>
            </w:pPr>
            <w:r/>
            <w:r>
              <w:rPr>
                <w:rFonts w:ascii="Heiti SC" w:hAnsi="Heiti SC" w:eastAsia="Heiti SC"/>
                <w:b w:val="0"/>
                <w:color w:val="000000"/>
                <w:sz w:val="16"/>
              </w:rPr>
              <w:t>Italy → China</w:t>
              <w:br/>
              <w:t>Rome / Hong Kong / Shenzhen</w:t>
            </w:r>
          </w:p>
        </w:tc>
        <w:tc>
          <w:tcPr>
            <w:tcW w:type="dxa" w:w="3528"/>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办理退房并前往机场，乘坐国航航班经北京返回香港，再转往深圳。</w:t>
              <w:br/>
              <w:t>CA624 FCO-PEK 12:55-05:10+1; CA763 PKX-HKG 13:40-17:10 (31 Jul)</w:t>
            </w:r>
          </w:p>
        </w:tc>
        <w:tc>
          <w:tcPr>
            <w:tcW w:type="dxa" w:w="1915"/>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Airport transfer; international flight; taxi</w:t>
            </w:r>
          </w:p>
        </w:tc>
        <w:tc>
          <w:tcPr>
            <w:tcW w:type="dxa" w:w="2131"/>
            <w:vAlign w:val="center"/>
            <w:tcMar>
              <w:top w:w="80" w:type="dxa"/>
              <w:start w:w="100" w:type="dxa"/>
              <w:bottom w:w="80" w:type="dxa"/>
              <w:end w:w="100" w:type="dxa"/>
            </w:tcMar>
          </w:tcPr>
          <w:p>
            <w:pPr>
              <w:spacing w:after="0" w:line="250" w:lineRule="auto"/>
              <w:jc w:val="left"/>
            </w:pPr>
            <w:r/>
            <w:r>
              <w:rPr>
                <w:rFonts w:ascii="Heiti SC" w:hAnsi="Heiti SC" w:eastAsia="Heiti SC"/>
                <w:b w:val="0"/>
                <w:color w:val="000000"/>
                <w:sz w:val="16"/>
              </w:rPr>
              <w:t>Return home on 31 Jul</w:t>
            </w:r>
          </w:p>
        </w:tc>
      </w:tr>
    </w:tbl>
    <w:p>
      <w:pPr>
        <w:pStyle w:val="Heading1"/>
      </w:pPr>
      <w:r>
        <w:t>Reservation and Documentation Notes</w:t>
      </w:r>
    </w:p>
    <w:p>
      <w:pPr>
        <w:ind w:left="230" w:hanging="230"/>
      </w:pPr>
      <w:r>
        <w:rPr>
          <w:b/>
        </w:rPr>
        <w:t xml:space="preserve">• </w:t>
      </w:r>
      <w:r>
        <w:t>The flight details above are transcribed from the provided ticket itinerary: CA118 and CA933 on 16 Jul; CA624 and CA763 on 30-31 Jul. Please check the issued ticket before submission.</w:t>
      </w:r>
    </w:p>
    <w:p>
      <w:pPr>
        <w:ind w:left="230" w:hanging="230"/>
      </w:pPr>
      <w:r>
        <w:rPr>
          <w:b/>
        </w:rPr>
        <w:t xml:space="preserve">• </w:t>
      </w:r>
      <w:r>
        <w:t>The accommodation fields are placeholders unless supported by a separate reservation confirmation. Before submission, replace them with the actual hotel names, addresses, telephone numbers and booking confirmations.</w:t>
      </w:r>
    </w:p>
    <w:p>
      <w:pPr>
        <w:ind w:left="230" w:hanging="230"/>
      </w:pPr>
      <w:r>
        <w:rPr>
          <w:b/>
        </w:rPr>
        <w:t xml:space="preserve">• </w:t>
      </w:r>
      <w:r>
        <w:t>This ticket-based route currently gives France a longer stay than Italy. If the application is specifically for an Italian visa, review the city nights, accommodation bookings and supporting itinerary so that Italy is genuinely the principal destination. Do not submit information that does not match the actual reservations.</w:t>
      </w:r>
    </w:p>
    <w:p>
      <w:pPr>
        <w:ind w:left="230" w:hanging="230"/>
      </w:pPr>
      <w:r>
        <w:rPr>
          <w:b/>
        </w:rPr>
        <w:t xml:space="preserve">• </w:t>
      </w:r>
      <w:r>
        <w:t>Train routes and sightseeing arrangements are planned for tourism purposes and may be adjusted according to ticket availability, opening hours and weather.</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Travel Itinerary  |  16 July 2026 to 30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Heiti SC" w:hAnsi="Heiti SC" w:eastAsia="Heiti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iti SC" w:hAnsi="Heiti SC" w:eastAsia="Heiti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