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2019-09-17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4:00PM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tareas.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Redistribución trabajo.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Castigos ejemplares a Karen y Camilo.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Trabajar cada uno.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Completar el 30% de su trabajo en el 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Parcialmente completado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Añadir descripción 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Atomizar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Preguntar: Cómo usar interfaces, asociación, composición, y los ciclos (Se forman cuadrados entre clases, relación petfriend-usuario-reporte-petfriend).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Somos re troncos para estimar.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