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2019-08-09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Inicial: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1H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8:30PM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Definición de acta.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Definición de reglas.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Voz final de las herramientas a usar.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División del SPMP.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Dorian Moreno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Karen Celis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Camilo Muñoz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Leyder 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Leyder F. Vera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Logo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Dorian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Mínimo 40% de SPMP asignado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ff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Aprender Angular para Front-End y Spring para Back-End.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División de la presentación (Análisis y control de riesgos) a través de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