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7A4C2" w14:textId="77777777" w:rsidR="00BA3DFA" w:rsidRPr="000B6B00" w:rsidRDefault="00BA3DFA" w:rsidP="00BA3DFA">
      <w:pPr>
        <w:rPr>
          <w:rFonts w:ascii="Times New Roman" w:hAnsi="Times New Roman" w:cs="Times New Roman"/>
          <w:b/>
          <w:bCs/>
        </w:rPr>
      </w:pPr>
      <w:r w:rsidRPr="000B6B00">
        <w:rPr>
          <w:rFonts w:ascii="Times New Roman" w:hAnsi="Times New Roman" w:cs="Times New Roman"/>
          <w:b/>
          <w:bCs/>
        </w:rPr>
        <w:t>Introducción</w:t>
      </w:r>
    </w:p>
    <w:p w14:paraId="04D8A9C1" w14:textId="57E0D40C" w:rsidR="00BA3DFA" w:rsidRPr="000B6B00" w:rsidRDefault="00BA3DFA" w:rsidP="00BA3DFA">
      <w:pPr>
        <w:rPr>
          <w:rFonts w:ascii="Times New Roman" w:hAnsi="Times New Roman" w:cs="Times New Roman"/>
        </w:rPr>
      </w:pPr>
      <w:r w:rsidRPr="000B6B00">
        <w:rPr>
          <w:rFonts w:ascii="Times New Roman" w:hAnsi="Times New Roman" w:cs="Times New Roman"/>
        </w:rPr>
        <w:t xml:space="preserve">Los carbohidratos son fundamentales para las funciones </w:t>
      </w:r>
      <w:commentRangeStart w:id="0"/>
      <w:r w:rsidRPr="000B6B00">
        <w:rPr>
          <w:rFonts w:ascii="Times New Roman" w:hAnsi="Times New Roman" w:cs="Times New Roman"/>
        </w:rPr>
        <w:t>metabólicas de las plantas</w:t>
      </w:r>
      <w:commentRangeEnd w:id="0"/>
      <w:r w:rsidR="00DD7636">
        <w:rPr>
          <w:rStyle w:val="CommentReference"/>
        </w:rPr>
        <w:commentReference w:id="0"/>
      </w:r>
      <w:r w:rsidRPr="000B6B00">
        <w:rPr>
          <w:rFonts w:ascii="Times New Roman" w:hAnsi="Times New Roman" w:cs="Times New Roman"/>
        </w:rPr>
        <w:t>, ya que proporcionan tanto los componentes básicos para la biomasa como la energía necesaria para las reacciones químicas y la síntesis de compuestos orgánicos. Entre ellos, se distinguen dos grandes grupos: los carbohidratos estructurales, que forman parte de la biomasa sólida (como la celulosa y hemicelulosa), y los carbohidratos no estructurales (NSC), que actúan como reservas movilizables esenciales para el metabolismo vegetal. Dentro de este último grupo, el almidón ocupa un lugar central por ser osmóticamente inactivo, lo que permite a las plantas almacenarlo en grandes cantidades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{"citationID":"EudipOu0","properties":{"formattedCitation":"(Hartmann y Trumbore 2016)","plainCitation":"(Hartmann y Trumbore 2016)","noteIndex":0},"citationItems":[{"id":211,"uris":["http://zotero.org/users/local/qfxcqEpx/items/PQU8SSZ5"],"itemData":{"id":211,"type":"article-journal","abstract":"SummaryCarbohydrates provide the building blocks for plant structures as well as versatile resources for metabolic processes. The nonstructural carbohydrates (NSC), mainly sugars and starch, fulfil distinct functional roles, including transport, energy metabolism and osmoregulation, and provide substrates for the synthesis of defence compounds or exchange with symbionts involved in nutrient acquisition or defence. At the whole‐plant level, NSC storage buffers the asynchrony of supply and demand on diel, seasonal or decadal temporal scales and across plant organs. Despite its central role in plant function and in stand‐level carbon cycling, our understanding of storage dynamics, its controls and response to environmental stresses is very limited, even after a century of research. This reflects the fact that often storage is defined by what we can measure, that is, NSC concentrations, and the interpretation of these as a proxy for a single function, storage, rather than the outcome of a range of NSC source and sink functions. New isotopic tools allow direct quantification of timescales involved in NSC dynamics, and show that NSC‐C fixed years to decades previously is used to support tree functions. Here we review recent advances, with emphasis on the context of the interactions between NSC, drought and tree mortality.ContentsSummary386I.Introduction386II.NSC in plant function: synthesis, classes, roles and responses to drought388III.Tools and approaches for quantifying NSC dynamics392IV.What is the spatial and temporal distribution of NSC in trees?392V.Studies on the use of NSC in plant functioning – progress towards answering longstanding questions396VI.Summary and conclusion399Acknowledgements399References399","container-title":"New Phytologist","DOI":"10.1111/nph.13955","ISSN":"0028-646X, 1469-8137","issue":"2","language":"en","license":"http://onlinelibrary.wiley.com/termsAndConditions#vor","note":"publisher: Wiley","page":"386-403","source":"Crossref","title":"Understanding the roles of nonstructural carbohydrates in forest trees – from what we can measure to what we want to know","volume":"211","author":[{"family":"Hartmann","given":"Henrik"},{"family":"Trumbore","given":"Susan"}],"issued":{"date-parts":[["2016",7]]}}}],"schema":"https://github.com/citation-style-language/schema/raw/master/csl-citation.json"} </w:instrText>
      </w:r>
      <w:r>
        <w:rPr>
          <w:rFonts w:ascii="Times New Roman" w:hAnsi="Times New Roman" w:cs="Times New Roman"/>
        </w:rPr>
        <w:fldChar w:fldCharType="separate"/>
      </w:r>
      <w:r w:rsidRPr="000B6B00">
        <w:rPr>
          <w:rFonts w:ascii="Times New Roman" w:hAnsi="Times New Roman" w:cs="Times New Roman"/>
        </w:rPr>
        <w:t>(Hartmann y Trumbore 2016)</w:t>
      </w:r>
      <w:r>
        <w:rPr>
          <w:rFonts w:ascii="Times New Roman" w:hAnsi="Times New Roman" w:cs="Times New Roman"/>
        </w:rPr>
        <w:fldChar w:fldCharType="end"/>
      </w:r>
      <w:r>
        <w:rPr>
          <w:rFonts w:ascii="Times New Roman" w:hAnsi="Times New Roman" w:cs="Times New Roman"/>
        </w:rPr>
        <w:t xml:space="preserve">. </w:t>
      </w:r>
      <w:r w:rsidRPr="000B6B00">
        <w:rPr>
          <w:rFonts w:ascii="Times New Roman" w:hAnsi="Times New Roman" w:cs="Times New Roman"/>
        </w:rPr>
        <w:t>Durante periodos de baja fotosíntesis</w:t>
      </w:r>
      <w:r>
        <w:rPr>
          <w:rFonts w:ascii="Times New Roman" w:hAnsi="Times New Roman" w:cs="Times New Roman"/>
        </w:rPr>
        <w:t xml:space="preserve">, </w:t>
      </w:r>
      <w:r w:rsidRPr="000B6B00">
        <w:rPr>
          <w:rFonts w:ascii="Times New Roman" w:hAnsi="Times New Roman" w:cs="Times New Roman"/>
        </w:rPr>
        <w:t>como la noche o condiciones de estrés hídrico</w:t>
      </w:r>
      <w:r>
        <w:rPr>
          <w:rFonts w:ascii="Times New Roman" w:hAnsi="Times New Roman" w:cs="Times New Roman"/>
        </w:rPr>
        <w:t xml:space="preserve">, </w:t>
      </w:r>
      <w:r w:rsidRPr="000B6B00">
        <w:rPr>
          <w:rFonts w:ascii="Times New Roman" w:hAnsi="Times New Roman" w:cs="Times New Roman"/>
        </w:rPr>
        <w:t>el almidón puede degradarse en azúcares solubles, que a su vez son utilizados para sostener procesos metabólicos clave, incluyendo el crecimiento</w:t>
      </w:r>
      <w:r w:rsidR="002648AA">
        <w:rPr>
          <w:rFonts w:ascii="Times New Roman" w:hAnsi="Times New Roman" w:cs="Times New Roman"/>
        </w:rPr>
        <w:fldChar w:fldCharType="begin"/>
      </w:r>
      <w:r w:rsidR="002648AA">
        <w:rPr>
          <w:rFonts w:ascii="Times New Roman" w:hAnsi="Times New Roman" w:cs="Times New Roman"/>
        </w:rPr>
        <w:instrText xml:space="preserve"> ADDIN ZOTERO_ITEM CSL_CITATION {"citationID":"VoV0N6td","properties":{"formattedCitation":"(Gibon et\\uc0\\u160{}al. 2004; Muller et\\uc0\\u160{}al. 2011)","plainCitation":"(Gibon et al. 2004; Muller et al. 2011)","noteIndex":0},"citationItems":[{"id":322,"uris":["http://zotero.org/users/local/qfxcqEpx/items/MFA5YD6Q"],"itemData":{"id":322,"type":"article-journal","abstract":"SummaryA larger proportion of the fixed carbon is retained as starch in the leaf in short days, providing a larger store to support metabolism and carbon export during the long night. The mechanisms that facilitate this adjustment of the sink–source balance are unknown. Starchless pgm mutants were analysed to discover responses that are triggered when diurnal starch turnover is disturbed. Sugars accumulated to high levels during the day, and fell to very low levels by the middle of the night. Sugars rose rapidly in the roots and rosette after illumination, and decreased later in the light period. Global transcript profiling revealed only small differences between pgm and Col0 at the end of the day but large differences at the end of the night, when pgm resembled Col0 after a 4–6 h prolongation of the night and many genes required for biosynthesis and growth were repressed [Plant J. 37 (2004) 914]. It is concluded that transient sugar depletion at the end of the night inhibits carbon utilization at the start of the ensuing light period. A second set of experiments investigated the stimulation of starch synthesis in response to short days in wild‐type Col0. In short days, sugars were very low in the roots and rosette at the end of the dark period, and after illumination accumulated rapidly in both organs to levels that were higher than in long days. The response resembles pgm, except that carbohydrate accumulated in the leaf as starch instead of sugars. A similar response was found after transfer from long to short days. Inclusion of sugar in the rooting medium attenuated the stimulation of starch synthesis. Post‐translational activation of ADP‐glucose pyrophosphorylase (AGPase) was increased in pgm, and in Col0 in short days. It is concluded that starch synthesis is stimulated in short day conditions because sugar depletion at the end of the night triggers a temporary inhibition of growth and carbohydrate utilization in the first part of the light period, leading to transient accumulation of sugar and activation of AGPase.","container-title":"The Plant Journal","DOI":"10.1111/j.1365-313x.2004.02173.x","ISSN":"0960-7412, 1365-313X","issue":"6","language":"en","license":"http://onlinelibrary.wiley.com/termsAndConditions#vor","note":"publisher: Wiley","page":"847-862","source":"Crossref","title":"Adjustment of diurnal starch turnover to short days: depletion of sugar during the night leads to a temporary inhibition of carbohydrate utilization, accumulation of sugars and post‐translational activation of ADP‐glucose pyrophosphorylase in the following light period","title-short":"Adjustment of diurnal starch turnover to short days","volume":"39","author":[{"family":"Gibon","given":"Yves"},{"family":"Bläsing","given":"Oliver E."},{"family":"Palacios‐Rojas","given":"Natalia"},{"family":"Pankovic","given":"Dejana"},{"family":"Hendriks","given":"Janneke H.M."},{"family":"Fisahn","given":"Joachim"},{"family":"Höhne","given":"Melanie"},{"family":"Günther","given":"Manuela"},{"family":"Stitt","given":"Mark"}],"issued":{"date-parts":[["2004",9]]}}},{"id":324,"uris":["http://zotero.org/users/local/qfxcqEpx/items/L66D7977"],"itemData":{"id":324,"type":"article-journal","container-title":"Journal of Experimental Botany","DOI":"10.1093/jxb/erq438","ISSN":"1460-2431, 0022-0957","issue":"6","language":"en","note":"publisher: Oxford University Press (OUP)","page":"1715-1729","source":"Crossref","title":"Water deficits uncouple growth from photosynthesis, increase C content, and modify the relationships between C and growth in sink organs","volume":"62","author":[{"family":"Muller","given":"Bertrand"},{"family":"Pantin","given":"Florent"},{"family":"Génard","given":"Michel"},{"family":"Turc","given":"Olivier"},{"family":"Freixes","given":"Sandra"},{"family":"Piques","given":"Maria"},{"family":"Gibon","given":"Yves"}],"issued":{"date-parts":[["2011",3]]}}}],"schema":"https://github.com/citation-style-language/schema/raw/master/csl-citation.json"} </w:instrText>
      </w:r>
      <w:r w:rsidR="002648AA">
        <w:rPr>
          <w:rFonts w:ascii="Times New Roman" w:hAnsi="Times New Roman" w:cs="Times New Roman"/>
        </w:rPr>
        <w:fldChar w:fldCharType="separate"/>
      </w:r>
      <w:r w:rsidR="002648AA" w:rsidRPr="002648AA">
        <w:rPr>
          <w:rFonts w:ascii="Times New Roman" w:hAnsi="Times New Roman" w:cs="Times New Roman"/>
          <w:szCs w:val="24"/>
        </w:rPr>
        <w:t>(Gibon et al. 2004; Muller et al. 2011)</w:t>
      </w:r>
      <w:r w:rsidR="002648AA">
        <w:rPr>
          <w:rFonts w:ascii="Times New Roman" w:hAnsi="Times New Roman" w:cs="Times New Roman"/>
        </w:rPr>
        <w:fldChar w:fldCharType="end"/>
      </w:r>
      <w:r w:rsidR="002648AA">
        <w:rPr>
          <w:rFonts w:ascii="Times New Roman" w:hAnsi="Times New Roman" w:cs="Times New Roman"/>
        </w:rPr>
        <w:t>.</w:t>
      </w:r>
    </w:p>
    <w:p w14:paraId="06F50D96" w14:textId="77777777" w:rsidR="00BA3DFA" w:rsidRPr="000B6B00" w:rsidRDefault="00BA3DFA" w:rsidP="00BA3DFA">
      <w:pPr>
        <w:rPr>
          <w:rFonts w:ascii="Times New Roman" w:hAnsi="Times New Roman" w:cs="Times New Roman"/>
        </w:rPr>
      </w:pPr>
      <w:r w:rsidRPr="000B6B00">
        <w:rPr>
          <w:rFonts w:ascii="Times New Roman" w:hAnsi="Times New Roman" w:cs="Times New Roman"/>
        </w:rPr>
        <w:t>Este papel del almidón es especialmente importante durante la formación de nuevas células del</w:t>
      </w:r>
      <w:r>
        <w:rPr>
          <w:rFonts w:ascii="Times New Roman" w:hAnsi="Times New Roman" w:cs="Times New Roman"/>
        </w:rPr>
        <w:t xml:space="preserve"> </w:t>
      </w:r>
      <w:r w:rsidRPr="000B6B00">
        <w:rPr>
          <w:rFonts w:ascii="Times New Roman" w:hAnsi="Times New Roman" w:cs="Times New Roman"/>
        </w:rPr>
        <w:t>xilema (</w:t>
      </w:r>
      <w:proofErr w:type="spellStart"/>
      <w:r w:rsidRPr="000B6B00">
        <w:rPr>
          <w:rFonts w:ascii="Times New Roman" w:hAnsi="Times New Roman" w:cs="Times New Roman"/>
        </w:rPr>
        <w:t>xilogénesis</w:t>
      </w:r>
      <w:proofErr w:type="spellEnd"/>
      <w:r w:rsidRPr="000B6B00">
        <w:rPr>
          <w:rFonts w:ascii="Times New Roman" w:hAnsi="Times New Roman" w:cs="Times New Roman"/>
        </w:rPr>
        <w:t xml:space="preserve">). </w:t>
      </w:r>
      <w:commentRangeStart w:id="1"/>
      <w:commentRangeStart w:id="2"/>
      <w:r w:rsidRPr="000B6B00">
        <w:rPr>
          <w:rFonts w:ascii="Times New Roman" w:hAnsi="Times New Roman" w:cs="Times New Roman"/>
        </w:rPr>
        <w:t>Diversos estudios han evidenciado que, durante los picos de crecimiento radial, la concentración de almidón disminuye, mientras que la de azúcares solubles aumenta. Esto se interpreta como una movilización activa del almidón para sostener procesos como la expansión celular y la lignificación</w:t>
      </w:r>
      <w:r>
        <w:rPr>
          <w:rFonts w:ascii="Times New Roman" w:hAnsi="Times New Roman" w:cs="Times New Roman"/>
        </w:rPr>
        <w:fldChar w:fldCharType="begin"/>
      </w:r>
      <w:r>
        <w:rPr>
          <w:rFonts w:ascii="Times New Roman" w:hAnsi="Times New Roman" w:cs="Times New Roman"/>
        </w:rPr>
        <w:instrText xml:space="preserve"> ADDIN ZOTERO_ITEM CSL_CITATION {"citationID":"lTagBpIO","properties":{"formattedCitation":"(Qian et\\uc0\\u160{}al. 2025; Simard et\\uc0\\u160{}al. 2013)","plainCitation":"(Qian et al. 2025; Simard et al. 2013)","noteIndex":0},"citationItems":[{"id":227,"uris":["http://zotero.org/users/local/qfxcqEpx/items/3HSCIGHS"],"itemData":{"id":227,"type":"article-journal","abstract":"Understanding the dynamics of wood formation and non-structural carbohydrates (NSCs) in trees is essential for unraveling mechanisms underlying carbon allocation and storage. While temperature is widely acknowledged as a key driver of growth initiation in temperate trees, the relative contributions of air and soil temperatures remain poorly quantified. In addition, the role of temperature in regulating the cessation of wood formation has received limited attention. In this study, we monitored intra-annual wood formation of Picea koraiensis and Larix olgensis across an altitudinal gradient and assessed seasonal variation in NSC concentrations in leaves, xylem, and phloem in Changbai Mountain. Growth onset was delayed by 3.3 per 100 m increase in altitude for Picea and 2.5 days for Larix. Picea initiated growth earlier and ceased later than Larix, reflecting species-specific phenological strate­ gies. Growth onset was primarily driven by cumulative thermal conditions, particularly growing degree days, whereas cold degree days emerged as the sole temperature-related factor significantly associated with growth cessation. Despite contrasting seasonal patterns of NSC dynamics between deciduous Larix and evergreen Picea, the mobilization of NSCs was closely synchronized with cambial activity in both species. Starch concentrations reached their annual minima, and sugar concentrations peaked during periods of maximum width of cell enlargement and wall thickening, suggesting a conserved physiological mechanism for carbon utilization during xylem development. These findings reveal the interplay between temperature, phenology, and NSC dynamics in regulating xylem growth and carbon allocation. By elucidating these processes, this study advances our under­ standing of how temperate forests may respond to shifting climatic conditions.","container-title":"Environmental and Experimental Botany","DOI":"10.1016/j.envexpbot.2025.106141","ISSN":"0098-8472","language":"en","license":"https://www.elsevier.com/tdm/userlicense/1.0/","note":"publisher: Elsevier BV","page":"106141","source":"Crossref","title":"Seasonal patterns between wood formation and non-structural carbohydrate in two conifers with distinct life-history traits","volume":"233","author":[{"family":"Qian","given":"Nipeng"},{"family":"Wang","given":"Linxu"},{"family":"Li","given":"Gangdun"},{"family":"Dong","given":"Chunchao"},{"family":"Liu","given":"Qijing"},{"family":"Zhou","given":"Guang"}],"issued":{"date-parts":[["2025",5]]}}},{"id":216,"uris":["http://zotero.org/users/local/qfxcqEpx/items/6EK22X43"],"itemData":{"id":216,"type":"article-journal","abstract":"The presence of soluble carbohydrates in the cambial zone, either from sugars recently produced during photosynthesis or from starch remobilized from storage organs, is necessary for radial tree growth. However, considerable uncertainties on carbohydrate dynamics and the consequences on tree productivity exist. This study aims to better understand the variation in different carbon pools at intra-annual resolution by quantifying how cambial zone sugar and starch concentrations fluctuate over the season and in relation to cambial phenology. A comparison between two physiologically different species growing at the same site, i.e., the evergreen Picea abies Karst. and the deciduous Larix decidua Mill., and between L. decidua from two contrasting elevations, is presented to identify mechanisms of growth limitation. Results indicate that the annual cycle of sugar concentration within the cambial zone is coupled to the process of wood formation. The highest sugar concentration is observed when the number of cells in secondary wall formation and lignification stages is at a maximum, subsequent to most radial growth. Starch disappears in winter, while other freeze-resistant non-structural carbohydrates (NSCs) increase. Slight differences in NSC concentration between species are consistent with the differing climate sensitivity of the evergreen and deciduous species investigated. The general absence of differences between elevations suggests that the cambial activity of trees growing at the treeline was not limited by the availability of carbohydrates at the cambial zone but instead by environmental controls on the growing season duration.","container-title":"Tree Physiology","DOI":"10.1093/treephys/tpt075","ISSN":"0829-318X, 1758-4469","issue":"9","language":"en","note":"publisher: Oxford University Press (OUP)","page":"913-923","source":"Crossref","title":"Intra-annual dynamics of non-structural carbohydrates in the cambium of mature conifer trees reflects radial growth demands","volume":"33","author":[{"family":"Simard","given":"S."},{"family":"Giovannelli","given":"A."},{"family":"Treydte","given":"K."},{"family":"Traversi","given":"M. L."},{"family":"King","given":"G. M."},{"family":"Frank","given":"D."},{"family":"Fonti","given":"P."}],"issued":{"date-parts":[["2013",9,1]]}}}],"schema":"https://github.com/citation-style-language/schema/raw/master/csl-citation.json"} </w:instrText>
      </w:r>
      <w:r>
        <w:rPr>
          <w:rFonts w:ascii="Times New Roman" w:hAnsi="Times New Roman" w:cs="Times New Roman"/>
        </w:rPr>
        <w:fldChar w:fldCharType="separate"/>
      </w:r>
      <w:r w:rsidRPr="000B6B00">
        <w:rPr>
          <w:rFonts w:ascii="Times New Roman" w:hAnsi="Times New Roman" w:cs="Times New Roman"/>
          <w:szCs w:val="24"/>
        </w:rPr>
        <w:t>(Qian et al. 2025; Simard et al. 2013)</w:t>
      </w:r>
      <w:r>
        <w:rPr>
          <w:rFonts w:ascii="Times New Roman" w:hAnsi="Times New Roman" w:cs="Times New Roman"/>
        </w:rPr>
        <w:fldChar w:fldCharType="end"/>
      </w:r>
      <w:r>
        <w:rPr>
          <w:rFonts w:ascii="Times New Roman" w:hAnsi="Times New Roman" w:cs="Times New Roman"/>
        </w:rPr>
        <w:t>,</w:t>
      </w:r>
      <w:r w:rsidRPr="000B6B00">
        <w:rPr>
          <w:rFonts w:ascii="Times New Roman" w:hAnsi="Times New Roman" w:cs="Times New Roman"/>
        </w:rPr>
        <w:t xml:space="preserve"> mediada por mecanismos de osmorregulación.</w:t>
      </w:r>
      <w:commentRangeEnd w:id="1"/>
      <w:r w:rsidR="00DD7636">
        <w:rPr>
          <w:rStyle w:val="CommentReference"/>
        </w:rPr>
        <w:commentReference w:id="1"/>
      </w:r>
      <w:commentRangeEnd w:id="2"/>
      <w:r w:rsidR="00DD7636">
        <w:rPr>
          <w:rStyle w:val="CommentReference"/>
        </w:rPr>
        <w:commentReference w:id="2"/>
      </w:r>
    </w:p>
    <w:p w14:paraId="0216D703" w14:textId="5424F1AC" w:rsidR="00BA3DFA" w:rsidRPr="000B6B00" w:rsidRDefault="00BA3DFA" w:rsidP="00BA3DFA">
      <w:pPr>
        <w:rPr>
          <w:rFonts w:ascii="Times New Roman" w:hAnsi="Times New Roman" w:cs="Times New Roman"/>
        </w:rPr>
      </w:pPr>
      <w:r w:rsidRPr="000B6B00">
        <w:rPr>
          <w:rFonts w:ascii="Times New Roman" w:hAnsi="Times New Roman" w:cs="Times New Roman"/>
        </w:rPr>
        <w:t xml:space="preserve">Históricamente, la cuantificación de NSC se ha realizado mediante métodos destructivos, como los propuestos por </w:t>
      </w:r>
      <w:commentRangeStart w:id="3"/>
      <w:r w:rsidR="002648AA">
        <w:rPr>
          <w:rFonts w:ascii="Times New Roman" w:hAnsi="Times New Roman" w:cs="Times New Roman"/>
        </w:rPr>
        <w:fldChar w:fldCharType="begin"/>
      </w:r>
      <w:r w:rsidR="002648AA">
        <w:rPr>
          <w:rFonts w:ascii="Times New Roman" w:hAnsi="Times New Roman" w:cs="Times New Roman"/>
        </w:rPr>
        <w:instrText xml:space="preserve"> ADDIN ZOTERO_ITEM CSL_CITATION {"citationID":"lQUrtweV","properties":{"formattedCitation":"(Giovannelli et\\uc0\\u160{}al. 2011)","plainCitation":"(Giovannelli et al. 2011)","noteIndex":0},"citationItems":[{"id":326,"uris":["http://zotero.org/users/local/qfxcqEpx/items/DSRV8LLR"],"itemData":{"id":326,"type":"article-journal","container-title":"Dendrochronologia","DOI":"10.1016/j.dendro.2011.01.001","ISSN":"1125-7865","issue":"3","language":"en","license":"https://www.elsevier.com/tdm/userlicense/1.0/","note":"publisher: Elsevier BV","page":"177-182","source":"Crossref","title":"Sampling cambial region and mature xylem for non structural carbohydrates and starch analyses","volume":"29","author":[{"family":"Giovannelli","given":"Alessio"},{"family":"Emiliani","given":"Giovanni"},{"family":"Traversi","given":"Maria Laura"},{"family":"Deslauriers","given":"Annie"},{"family":"Rossi","given":"Sergio"}],"issued":{"date-parts":[["2011",1]]}}}],"schema":"https://github.com/citation-style-language/schema/raw/master/csl-citation.json"} </w:instrText>
      </w:r>
      <w:r w:rsidR="002648AA">
        <w:rPr>
          <w:rFonts w:ascii="Times New Roman" w:hAnsi="Times New Roman" w:cs="Times New Roman"/>
        </w:rPr>
        <w:fldChar w:fldCharType="separate"/>
      </w:r>
      <w:r w:rsidR="002648AA" w:rsidRPr="002648AA">
        <w:rPr>
          <w:rFonts w:ascii="Times New Roman" w:hAnsi="Times New Roman" w:cs="Times New Roman"/>
          <w:szCs w:val="24"/>
        </w:rPr>
        <w:t>(Giovannelli et al. 2011)</w:t>
      </w:r>
      <w:r w:rsidR="002648AA">
        <w:rPr>
          <w:rFonts w:ascii="Times New Roman" w:hAnsi="Times New Roman" w:cs="Times New Roman"/>
        </w:rPr>
        <w:fldChar w:fldCharType="end"/>
      </w:r>
      <w:commentRangeEnd w:id="3"/>
      <w:r w:rsidR="00DD7636">
        <w:rPr>
          <w:rStyle w:val="CommentReference"/>
        </w:rPr>
        <w:commentReference w:id="3"/>
      </w:r>
      <w:r w:rsidR="002648AA">
        <w:rPr>
          <w:rFonts w:ascii="Times New Roman" w:hAnsi="Times New Roman" w:cs="Times New Roman"/>
        </w:rPr>
        <w:t>,</w:t>
      </w:r>
      <w:r w:rsidRPr="000B6B00">
        <w:rPr>
          <w:rFonts w:ascii="Times New Roman" w:hAnsi="Times New Roman" w:cs="Times New Roman"/>
        </w:rPr>
        <w:t xml:space="preserve"> que requieren triturar los tejidos vegetales para extraer los azúcares y, posteriormente, el almidón. Aunque eficaces para estimar concentraciones globales, estos métodos no permiten analizar la distribución espacial fina del almidón dentro del tejido. Incluso estudios recientes que utilizan micro-</w:t>
      </w:r>
      <w:proofErr w:type="spellStart"/>
      <w:r w:rsidRPr="000B6B00">
        <w:rPr>
          <w:rFonts w:ascii="Times New Roman" w:hAnsi="Times New Roman" w:cs="Times New Roman"/>
        </w:rPr>
        <w:t>cores</w:t>
      </w:r>
      <w:proofErr w:type="spellEnd"/>
      <w:r w:rsidRPr="000B6B00">
        <w:rPr>
          <w:rFonts w:ascii="Times New Roman" w:hAnsi="Times New Roman" w:cs="Times New Roman"/>
        </w:rPr>
        <w:t xml:space="preserve"> extraídos con dispositivos como el </w:t>
      </w:r>
      <w:proofErr w:type="spellStart"/>
      <w:r w:rsidRPr="000B6B00">
        <w:rPr>
          <w:rFonts w:ascii="Times New Roman" w:hAnsi="Times New Roman" w:cs="Times New Roman"/>
        </w:rPr>
        <w:t>Trephor</w:t>
      </w:r>
      <w:proofErr w:type="spellEnd"/>
      <w:r w:rsidRPr="000B6B00">
        <w:rPr>
          <w:rFonts w:ascii="Times New Roman" w:hAnsi="Times New Roman" w:cs="Times New Roman"/>
        </w:rPr>
        <w:t xml:space="preserve"> ofrecen una resolución limitada, ya que la cuantificación de NSC se realiza a escala del núcleo completo</w:t>
      </w:r>
      <w:r>
        <w:rPr>
          <w:rFonts w:ascii="Times New Roman" w:hAnsi="Times New Roman" w:cs="Times New Roman"/>
        </w:rPr>
        <w:fldChar w:fldCharType="begin"/>
      </w:r>
      <w:r>
        <w:rPr>
          <w:rFonts w:ascii="Times New Roman" w:hAnsi="Times New Roman" w:cs="Times New Roman"/>
        </w:rPr>
        <w:instrText xml:space="preserve"> ADDIN ZOTERO_ITEM CSL_CITATION {"citationID":"KwTx2mMX","properties":{"formattedCitation":"(Lloret et\\uc0\\u160{}al. 2018; P\\uc0\\u233{}rez-de-Lis et\\uc0\\u160{}al. 2016)","plainCitation":"(Lloret et al. 2018; Pérez-de-Lis et al. 2016)","noteIndex":0},"citationItems":[{"id":221,"uris":["http://zotero.org/users/local/qfxcqEpx/items/RD3RLBBX"],"itemData":{"id":221,"type":"article-journal","container-title":"Annals of Botany","DOI":"10.1093/aob/mcy039","ISSN":"0305-7364, 1095-8290","issue":"7","language":"en","license":"https://academic.oup.com/journals/pages/about_us/legal/notices","note":"publisher: Oxford University Press (OUP)","page":"1383-1396","source":"Crossref","title":"Non-structural carbohydrate dynamics associated with drought-induced die-off in woody species of a shrubland community","volume":"121","author":[{"family":"Lloret","given":"Francisco"},{"family":"Sapes","given":"Gerard"},{"family":"Rosas","given":"Teresa"},{"family":"Galiano","given":"Lucía"},{"family":"Saura-Mas","given":"Sandra"},{"family":"Sala","given":"Anna"},{"family":"Martínez-Vilalta","given":"Jordi"}],"issued":{"date-parts":[["2018",6,8]]}}},{"id":223,"uris":["http://zotero.org/users/local/qfxcqEpx/items/U9ZJY8RM"],"itemData":{"id":223,"type":"article-journal","abstract":"Abstract. Non-structural carbohydrates (NSC) play a central role in the construction and maintenance of a tree's vascular system, but feedbacks between the NSC status of trees and wood formation are not fully understood. We aimed to evaluate multiple dependencies among wood anatomy, winter NSC, and phenology for coexisting temperate (Quercus robur) and sub-Mediterranean (Q. pyrenaica) oaks along a water-availability gradient in the NW Iberian Peninsula. Sapwood NSC concentrations were quantified at three sites in December 2012 (N =  240). Leaf phenology and wood anatomy were surveyed in 2013. Structural equation modelling was used to analyse the interplay among hydraulic diameter (Dh), winter NSC, budburst date, and earlywood vessel production (EVP), while the effect of Dh and EVP on latewood width was assessed by using a mixed-effects model. NSC and wood production increased under drier conditions for both species. Q. robur showed a narrower Dh and lower soluble sugar (SS) concentration (3.88–5.08 % dry matter) than Q. pyrenaica (4.06–5.57 % dry matter), but Q. robur exhibited larger EVP and wider latewood (1403 µm) than Q. pyrenaica (667 µm). Stem diameter and Dh had a positive effect on SS concentrations, which were related to an earlier leaf flushing in both species. Sapwood sugar content appeared to limit EVP exclusively in Q. pyrenaica. In turn, Dh and EVP were found to be key predictors of latewood growth. Our results confirm that sapwood SS concentrations are involved in modulating growth resumption and xylem production in spring. Q. pyrenaica exhibited a tighter control of carbohydrate allocation to wood formation than Q. robur, which would play a role in protecting against environmental stress in the sub-Mediterranean area.","container-title":"Biogeosciences","DOI":"10.5194/bg-13-5499-2016","ISSN":"1726-4189","issue":"19","language":"en","license":"https://creativecommons.org/licenses/by/3.0/","note":"publisher: Copernicus GmbH","page":"5499-5510","source":"Crossref","title":"Feedbacks between earlywood anatomy and non-structural carbohydrates affectspring phenology and wood production in ring-porous oaks","volume":"13","author":[{"family":"Pérez-de-Lis","given":"Gonzalo"},{"family":"García-González","given":"Ignacio"},{"family":"Rozas","given":"Vicente"},{"family":"Olano","given":"José Miguel"}],"issued":{"date-parts":[["2016",10,5]]}}}],"schema":"https://github.com/citation-style-language/schema/raw/master/csl-citation.json"} </w:instrText>
      </w:r>
      <w:r>
        <w:rPr>
          <w:rFonts w:ascii="Times New Roman" w:hAnsi="Times New Roman" w:cs="Times New Roman"/>
        </w:rPr>
        <w:fldChar w:fldCharType="separate"/>
      </w:r>
      <w:r w:rsidRPr="003F6815">
        <w:rPr>
          <w:rFonts w:ascii="Times New Roman" w:hAnsi="Times New Roman" w:cs="Times New Roman"/>
          <w:szCs w:val="24"/>
        </w:rPr>
        <w:t>(Lloret et al. 2018; Pérez-de-Lis et al. 2016)</w:t>
      </w:r>
      <w:r>
        <w:rPr>
          <w:rFonts w:ascii="Times New Roman" w:hAnsi="Times New Roman" w:cs="Times New Roman"/>
        </w:rPr>
        <w:fldChar w:fldCharType="end"/>
      </w:r>
      <w:r>
        <w:rPr>
          <w:rFonts w:ascii="Times New Roman" w:hAnsi="Times New Roman" w:cs="Times New Roman"/>
        </w:rPr>
        <w:t>.</w:t>
      </w:r>
    </w:p>
    <w:p w14:paraId="41434550" w14:textId="77777777" w:rsidR="00BA3DFA" w:rsidRPr="000B6B00" w:rsidRDefault="00BA3DFA" w:rsidP="00BA3DFA">
      <w:pPr>
        <w:rPr>
          <w:rFonts w:ascii="Times New Roman" w:hAnsi="Times New Roman" w:cs="Times New Roman"/>
        </w:rPr>
      </w:pPr>
      <w:r w:rsidRPr="000B6B00">
        <w:rPr>
          <w:rFonts w:ascii="Times New Roman" w:hAnsi="Times New Roman" w:cs="Times New Roman"/>
        </w:rPr>
        <w:t xml:space="preserve">En este contexto, la presente investigación utiliza una metodología no destructiva basada en imágenes, </w:t>
      </w:r>
      <w:r>
        <w:rPr>
          <w:rFonts w:ascii="Times New Roman" w:hAnsi="Times New Roman" w:cs="Times New Roman"/>
        </w:rPr>
        <w:t>adaptada</w:t>
      </w:r>
      <w:r w:rsidRPr="000B6B00">
        <w:rPr>
          <w:rFonts w:ascii="Times New Roman" w:hAnsi="Times New Roman" w:cs="Times New Roman"/>
        </w:rPr>
        <w:t xml:space="preserve"> por Herrera-Ramírez et al. (2021)</w:t>
      </w:r>
      <w:r>
        <w:rPr>
          <w:rFonts w:ascii="Times New Roman" w:hAnsi="Times New Roman" w:cs="Times New Roman"/>
        </w:rPr>
        <w:t xml:space="preserve">  y empleada en otros análisis histológicos</w:t>
      </w:r>
      <w:r w:rsidRPr="000B6B00">
        <w:rPr>
          <w:rFonts w:ascii="Times New Roman" w:hAnsi="Times New Roman" w:cs="Times New Roman"/>
        </w:rPr>
        <w:t xml:space="preserve">, que permite visualizar y cuantificar la distribución de almidón mediante tinción con </w:t>
      </w:r>
      <w:proofErr w:type="spellStart"/>
      <w:r w:rsidRPr="000B6B00">
        <w:rPr>
          <w:rFonts w:ascii="Times New Roman" w:hAnsi="Times New Roman" w:cs="Times New Roman"/>
        </w:rPr>
        <w:t>lugol</w:t>
      </w:r>
      <w:proofErr w:type="spellEnd"/>
      <w:r w:rsidRPr="000B6B00">
        <w:rPr>
          <w:rFonts w:ascii="Times New Roman" w:hAnsi="Times New Roman" w:cs="Times New Roman"/>
        </w:rPr>
        <w:t xml:space="preserve"> sobre cortes del núcleo. Esta técnica no solo mejora la visualización del almidón a lo largo del radio, sino que también permite observar directamente el estado de la </w:t>
      </w:r>
      <w:proofErr w:type="spellStart"/>
      <w:r w:rsidRPr="000B6B00">
        <w:rPr>
          <w:rFonts w:ascii="Times New Roman" w:hAnsi="Times New Roman" w:cs="Times New Roman"/>
        </w:rPr>
        <w:t>xilogénesis</w:t>
      </w:r>
      <w:proofErr w:type="spellEnd"/>
      <w:r w:rsidRPr="000B6B00">
        <w:rPr>
          <w:rFonts w:ascii="Times New Roman" w:hAnsi="Times New Roman" w:cs="Times New Roman"/>
        </w:rPr>
        <w:t>, incluyendo la localización del cambium y la identificación de la zona de crecimiento activo.</w:t>
      </w:r>
    </w:p>
    <w:p w14:paraId="4CC6E2E2" w14:textId="32B76799" w:rsidR="00BA3DFA" w:rsidRDefault="00BA3DFA" w:rsidP="00BA3DFA">
      <w:pPr>
        <w:rPr>
          <w:rFonts w:ascii="Times New Roman" w:hAnsi="Times New Roman" w:cs="Times New Roman"/>
        </w:rPr>
      </w:pPr>
      <w:r w:rsidRPr="000B6B00">
        <w:rPr>
          <w:rFonts w:ascii="Times New Roman" w:hAnsi="Times New Roman" w:cs="Times New Roman"/>
        </w:rPr>
        <w:t xml:space="preserve">El estudio se centra en tres especies arbóreas del bosque estacionalmente seco de </w:t>
      </w:r>
      <w:proofErr w:type="spellStart"/>
      <w:r w:rsidRPr="000B6B00">
        <w:rPr>
          <w:rFonts w:ascii="Times New Roman" w:hAnsi="Times New Roman" w:cs="Times New Roman"/>
        </w:rPr>
        <w:t>Tanguro</w:t>
      </w:r>
      <w:proofErr w:type="spellEnd"/>
      <w:r w:rsidRPr="000B6B00">
        <w:rPr>
          <w:rFonts w:ascii="Times New Roman" w:hAnsi="Times New Roman" w:cs="Times New Roman"/>
        </w:rPr>
        <w:t>, Brasil</w:t>
      </w:r>
      <w:r>
        <w:rPr>
          <w:rFonts w:ascii="Times New Roman" w:hAnsi="Times New Roman" w:cs="Times New Roman"/>
        </w:rPr>
        <w:t>,</w:t>
      </w:r>
      <w:r w:rsidRPr="000B6B00">
        <w:rPr>
          <w:rFonts w:ascii="Times New Roman" w:hAnsi="Times New Roman" w:cs="Times New Roman"/>
        </w:rPr>
        <w:t xml:space="preserve"> </w:t>
      </w:r>
      <w:proofErr w:type="spellStart"/>
      <w:r w:rsidRPr="003F6815">
        <w:rPr>
          <w:rFonts w:ascii="Times New Roman" w:hAnsi="Times New Roman" w:cs="Times New Roman"/>
          <w:i/>
          <w:iCs/>
        </w:rPr>
        <w:t>Dacryodes</w:t>
      </w:r>
      <w:proofErr w:type="spellEnd"/>
      <w:r w:rsidRPr="003F6815">
        <w:rPr>
          <w:rFonts w:ascii="Times New Roman" w:hAnsi="Times New Roman" w:cs="Times New Roman"/>
          <w:i/>
          <w:iCs/>
        </w:rPr>
        <w:t xml:space="preserve"> </w:t>
      </w:r>
      <w:proofErr w:type="spellStart"/>
      <w:r w:rsidRPr="003F6815">
        <w:rPr>
          <w:rFonts w:ascii="Times New Roman" w:hAnsi="Times New Roman" w:cs="Times New Roman"/>
          <w:i/>
          <w:iCs/>
        </w:rPr>
        <w:t>micro</w:t>
      </w:r>
      <w:r w:rsidR="00DD7636">
        <w:rPr>
          <w:rFonts w:ascii="Times New Roman" w:hAnsi="Times New Roman" w:cs="Times New Roman"/>
          <w:i/>
          <w:iCs/>
        </w:rPr>
        <w:t>carpa</w:t>
      </w:r>
      <w:proofErr w:type="spellEnd"/>
      <w:r w:rsidRPr="003F6815">
        <w:rPr>
          <w:rFonts w:ascii="Times New Roman" w:hAnsi="Times New Roman" w:cs="Times New Roman"/>
          <w:i/>
          <w:iCs/>
        </w:rPr>
        <w:t xml:space="preserve">, </w:t>
      </w:r>
      <w:proofErr w:type="spellStart"/>
      <w:r w:rsidRPr="003F6815">
        <w:rPr>
          <w:rFonts w:ascii="Times New Roman" w:hAnsi="Times New Roman" w:cs="Times New Roman"/>
          <w:i/>
          <w:iCs/>
        </w:rPr>
        <w:t>Sacoglottis</w:t>
      </w:r>
      <w:proofErr w:type="spellEnd"/>
      <w:r w:rsidRPr="003F6815">
        <w:rPr>
          <w:rFonts w:ascii="Times New Roman" w:hAnsi="Times New Roman" w:cs="Times New Roman"/>
          <w:i/>
          <w:iCs/>
        </w:rPr>
        <w:t xml:space="preserve"> </w:t>
      </w:r>
      <w:proofErr w:type="spellStart"/>
      <w:r w:rsidRPr="003F6815">
        <w:rPr>
          <w:rFonts w:ascii="Times New Roman" w:hAnsi="Times New Roman" w:cs="Times New Roman"/>
          <w:i/>
          <w:iCs/>
        </w:rPr>
        <w:t>guianensis</w:t>
      </w:r>
      <w:proofErr w:type="spellEnd"/>
      <w:r w:rsidRPr="000B6B00">
        <w:rPr>
          <w:rFonts w:ascii="Times New Roman" w:hAnsi="Times New Roman" w:cs="Times New Roman"/>
        </w:rPr>
        <w:t xml:space="preserve"> y </w:t>
      </w:r>
      <w:proofErr w:type="spellStart"/>
      <w:r w:rsidRPr="003F6815">
        <w:rPr>
          <w:rFonts w:ascii="Times New Roman" w:hAnsi="Times New Roman" w:cs="Times New Roman"/>
          <w:i/>
          <w:iCs/>
        </w:rPr>
        <w:t>Ocotea</w:t>
      </w:r>
      <w:proofErr w:type="spellEnd"/>
      <w:r w:rsidRPr="003F6815">
        <w:rPr>
          <w:rFonts w:ascii="Times New Roman" w:hAnsi="Times New Roman" w:cs="Times New Roman"/>
          <w:i/>
          <w:iCs/>
        </w:rPr>
        <w:t xml:space="preserve"> </w:t>
      </w:r>
      <w:proofErr w:type="spellStart"/>
      <w:r w:rsidRPr="003F6815">
        <w:rPr>
          <w:rFonts w:ascii="Times New Roman" w:hAnsi="Times New Roman" w:cs="Times New Roman"/>
          <w:i/>
          <w:iCs/>
        </w:rPr>
        <w:t>acutangula</w:t>
      </w:r>
      <w:proofErr w:type="spellEnd"/>
      <w:r w:rsidRPr="000B6B00">
        <w:rPr>
          <w:rFonts w:ascii="Times New Roman" w:hAnsi="Times New Roman" w:cs="Times New Roman"/>
        </w:rPr>
        <w:t xml:space="preserve"> que presentan estrategias contrastantes de almacenamiento de carbohidratos. Se comparó la concentración y distribución de almidón, así como el crecimiento radial, entre </w:t>
      </w:r>
      <w:commentRangeStart w:id="4"/>
      <w:r w:rsidRPr="000B6B00">
        <w:rPr>
          <w:rFonts w:ascii="Times New Roman" w:hAnsi="Times New Roman" w:cs="Times New Roman"/>
        </w:rPr>
        <w:t>dos momentos climáticamente contrastantes</w:t>
      </w:r>
      <w:commentRangeEnd w:id="4"/>
      <w:r w:rsidR="00DD7636">
        <w:rPr>
          <w:rStyle w:val="CommentReference"/>
        </w:rPr>
        <w:commentReference w:id="4"/>
      </w:r>
      <w:r w:rsidRPr="000B6B00">
        <w:rPr>
          <w:rFonts w:ascii="Times New Roman" w:hAnsi="Times New Roman" w:cs="Times New Roman"/>
        </w:rPr>
        <w:t>: época húmeda y época seca. Esto permite evaluar cómo responde cada especie al ambiente en términos de uso de reservas y producción de madera.</w:t>
      </w:r>
      <w:r>
        <w:rPr>
          <w:rFonts w:ascii="Times New Roman" w:hAnsi="Times New Roman" w:cs="Times New Roman"/>
        </w:rPr>
        <w:t xml:space="preserve"> </w:t>
      </w:r>
      <w:r w:rsidRPr="000B6B00">
        <w:rPr>
          <w:rFonts w:ascii="Times New Roman" w:hAnsi="Times New Roman" w:cs="Times New Roman"/>
        </w:rPr>
        <w:t>Adicionalmente, se incorporarán datos de crecimiento de alta resolución obtenidos mediante dendrómetros, lo cual permitirá establecer relaciones directas entre el contenido de almidón y el crecimiento radial reciente.</w:t>
      </w:r>
    </w:p>
    <w:p w14:paraId="04FADA43" w14:textId="28DC2938" w:rsidR="00BA3DFA" w:rsidRDefault="00BA3DFA" w:rsidP="00BA3DFA">
      <w:pPr>
        <w:rPr>
          <w:rFonts w:ascii="Times New Roman" w:hAnsi="Times New Roman" w:cs="Times New Roman"/>
        </w:rPr>
      </w:pPr>
      <w:commentRangeStart w:id="5"/>
      <w:r w:rsidRPr="000B6B00">
        <w:rPr>
          <w:rFonts w:ascii="Times New Roman" w:hAnsi="Times New Roman" w:cs="Times New Roman"/>
        </w:rPr>
        <w:t xml:space="preserve"> En etapas posteriores del proyecto, se prevé integrar datos de isotopos estables (δ¹³C y δ¹⁸O) y concentraciones de azúcares solubles a nivel de todo el núcleo, con el fin de obtener una visión más integral del funcionamiento </w:t>
      </w:r>
      <w:proofErr w:type="spellStart"/>
      <w:r w:rsidRPr="000B6B00">
        <w:rPr>
          <w:rFonts w:ascii="Times New Roman" w:hAnsi="Times New Roman" w:cs="Times New Roman"/>
        </w:rPr>
        <w:t>ecofisiológico</w:t>
      </w:r>
      <w:proofErr w:type="spellEnd"/>
      <w:r w:rsidRPr="000B6B00">
        <w:rPr>
          <w:rFonts w:ascii="Times New Roman" w:hAnsi="Times New Roman" w:cs="Times New Roman"/>
        </w:rPr>
        <w:t xml:space="preserve"> de estas especies y de los mecanismos subyacentes al crecimiento del xilema.</w:t>
      </w:r>
      <w:commentRangeEnd w:id="5"/>
      <w:r w:rsidR="00DD7636">
        <w:rPr>
          <w:rStyle w:val="CommentReference"/>
        </w:rPr>
        <w:commentReference w:id="5"/>
      </w:r>
    </w:p>
    <w:p w14:paraId="212619BE" w14:textId="75236BCE" w:rsidR="00F01065" w:rsidRPr="003D36E0" w:rsidRDefault="00F01065" w:rsidP="00BA3DFA">
      <w:pPr>
        <w:rPr>
          <w:rFonts w:ascii="Times New Roman" w:hAnsi="Times New Roman" w:cs="Times New Roman"/>
          <w:b/>
          <w:bCs/>
        </w:rPr>
      </w:pPr>
      <w:r w:rsidRPr="003D36E0">
        <w:rPr>
          <w:rFonts w:ascii="Times New Roman" w:hAnsi="Times New Roman" w:cs="Times New Roman"/>
          <w:b/>
          <w:bCs/>
        </w:rPr>
        <w:lastRenderedPageBreak/>
        <w:t>Pregunta de investigación:</w:t>
      </w:r>
    </w:p>
    <w:p w14:paraId="33755291" w14:textId="7D9CD6CA" w:rsidR="00F01065" w:rsidRDefault="006638AE" w:rsidP="00BA3DFA">
      <w:pPr>
        <w:rPr>
          <w:rFonts w:ascii="Times New Roman" w:hAnsi="Times New Roman" w:cs="Times New Roman"/>
        </w:rPr>
      </w:pPr>
      <w:r w:rsidRPr="006638AE">
        <w:rPr>
          <w:rFonts w:ascii="Times New Roman" w:hAnsi="Times New Roman" w:cs="Times New Roman"/>
        </w:rPr>
        <w:t>¿Cómo se relacionan la concentración y la distribución espacial del almidón e</w:t>
      </w:r>
      <w:commentRangeStart w:id="6"/>
      <w:r w:rsidRPr="006638AE">
        <w:rPr>
          <w:rFonts w:ascii="Times New Roman" w:hAnsi="Times New Roman" w:cs="Times New Roman"/>
        </w:rPr>
        <w:t>n los primeros milímetros del xilema</w:t>
      </w:r>
      <w:commentRangeEnd w:id="6"/>
      <w:r w:rsidR="00DD7636">
        <w:rPr>
          <w:rStyle w:val="CommentReference"/>
        </w:rPr>
        <w:commentReference w:id="6"/>
      </w:r>
      <w:r w:rsidRPr="006638AE">
        <w:rPr>
          <w:rFonts w:ascii="Times New Roman" w:hAnsi="Times New Roman" w:cs="Times New Roman"/>
        </w:rPr>
        <w:t xml:space="preserve"> con el crecimiento radial de tres especies con estrategias de almacenamiento contrastantes, en un bosque estacionalmente seco durante las épocas seca y húmeda?</w:t>
      </w:r>
    </w:p>
    <w:p w14:paraId="04E8F3B4" w14:textId="77867292" w:rsidR="006638AE" w:rsidRPr="003D36E0" w:rsidRDefault="003D36E0" w:rsidP="00BA3DFA">
      <w:pPr>
        <w:rPr>
          <w:rFonts w:ascii="Times New Roman" w:hAnsi="Times New Roman" w:cs="Times New Roman"/>
          <w:b/>
          <w:bCs/>
        </w:rPr>
      </w:pPr>
      <w:r w:rsidRPr="003D36E0">
        <w:rPr>
          <w:rFonts w:ascii="Times New Roman" w:hAnsi="Times New Roman" w:cs="Times New Roman"/>
          <w:b/>
          <w:bCs/>
        </w:rPr>
        <w:t>Hipótesis:</w:t>
      </w:r>
    </w:p>
    <w:p w14:paraId="36BCEAF9" w14:textId="315E16A5" w:rsidR="003D36E0" w:rsidRDefault="003D36E0" w:rsidP="00BA3DFA">
      <w:pPr>
        <w:rPr>
          <w:rFonts w:ascii="Times New Roman" w:hAnsi="Times New Roman" w:cs="Times New Roman"/>
        </w:rPr>
      </w:pPr>
      <w:r w:rsidRPr="003D36E0">
        <w:rPr>
          <w:rFonts w:ascii="Times New Roman" w:hAnsi="Times New Roman" w:cs="Times New Roman"/>
        </w:rPr>
        <w:t xml:space="preserve">La concentración y distribución espacial del almidón en los primeros milímetros del xilema </w:t>
      </w:r>
      <w:commentRangeStart w:id="7"/>
      <w:r w:rsidRPr="003D36E0">
        <w:rPr>
          <w:rFonts w:ascii="Times New Roman" w:hAnsi="Times New Roman" w:cs="Times New Roman"/>
        </w:rPr>
        <w:t>varían de forma inversa con el crecimiento radial. Esta relación depende de la estrategia de almacenamiento de carbohidratos de cada especie y de las condiciones estacionales.</w:t>
      </w:r>
      <w:commentRangeEnd w:id="7"/>
      <w:r w:rsidR="00DD7636">
        <w:rPr>
          <w:rStyle w:val="CommentReference"/>
        </w:rPr>
        <w:commentReference w:id="7"/>
      </w:r>
    </w:p>
    <w:p w14:paraId="01977D1B" w14:textId="19D35ECD" w:rsidR="003D36E0" w:rsidRPr="003D36E0" w:rsidRDefault="003D36E0" w:rsidP="00BA3DFA">
      <w:pPr>
        <w:rPr>
          <w:rFonts w:ascii="Times New Roman" w:hAnsi="Times New Roman" w:cs="Times New Roman"/>
          <w:b/>
          <w:bCs/>
        </w:rPr>
      </w:pPr>
      <w:r w:rsidRPr="003D36E0">
        <w:rPr>
          <w:rFonts w:ascii="Times New Roman" w:hAnsi="Times New Roman" w:cs="Times New Roman"/>
          <w:b/>
          <w:bCs/>
        </w:rPr>
        <w:t>Objetivo general:</w:t>
      </w:r>
    </w:p>
    <w:p w14:paraId="5CE89BD6" w14:textId="61171D18" w:rsidR="003D36E0" w:rsidRDefault="003D36E0" w:rsidP="00BA3DFA">
      <w:pPr>
        <w:rPr>
          <w:rFonts w:ascii="Times New Roman" w:hAnsi="Times New Roman" w:cs="Times New Roman"/>
        </w:rPr>
      </w:pPr>
      <w:r w:rsidRPr="003D36E0">
        <w:rPr>
          <w:rFonts w:ascii="Times New Roman" w:hAnsi="Times New Roman" w:cs="Times New Roman"/>
        </w:rPr>
        <w:t>Evaluar cómo se relacionan la concentración y distribución espacial del almidón en los primeros milímetros del xilema con el crecimiento radial reciente en tres especies de un bosque estacionalmente seco, con estrategias de almacenamiento contrastantes, durante la estación seca y la estación húmeda.</w:t>
      </w:r>
    </w:p>
    <w:p w14:paraId="4EC40BAB" w14:textId="7199B7B6" w:rsidR="00D11417" w:rsidRPr="00D11417" w:rsidRDefault="00D11417" w:rsidP="00BA3DFA">
      <w:pPr>
        <w:rPr>
          <w:rFonts w:ascii="Times New Roman" w:hAnsi="Times New Roman" w:cs="Times New Roman"/>
          <w:b/>
          <w:bCs/>
        </w:rPr>
      </w:pPr>
      <w:r w:rsidRPr="00D11417">
        <w:rPr>
          <w:rFonts w:ascii="Times New Roman" w:hAnsi="Times New Roman" w:cs="Times New Roman"/>
          <w:b/>
          <w:bCs/>
        </w:rPr>
        <w:t>Objetivos específicos</w:t>
      </w:r>
      <w:r>
        <w:rPr>
          <w:rFonts w:ascii="Times New Roman" w:hAnsi="Times New Roman" w:cs="Times New Roman"/>
          <w:b/>
          <w:bCs/>
        </w:rPr>
        <w:t>:</w:t>
      </w:r>
    </w:p>
    <w:p w14:paraId="0EE0C261" w14:textId="1A720081" w:rsidR="003D36E0" w:rsidRPr="00B73EA6" w:rsidRDefault="003D36E0" w:rsidP="00B73EA6">
      <w:pPr>
        <w:pStyle w:val="ListParagraph"/>
        <w:numPr>
          <w:ilvl w:val="0"/>
          <w:numId w:val="1"/>
        </w:numPr>
        <w:rPr>
          <w:rFonts w:ascii="Times New Roman" w:hAnsi="Times New Roman" w:cs="Times New Roman"/>
        </w:rPr>
      </w:pPr>
      <w:r w:rsidRPr="00B73EA6">
        <w:rPr>
          <w:rFonts w:ascii="Times New Roman" w:hAnsi="Times New Roman" w:cs="Times New Roman"/>
        </w:rPr>
        <w:t xml:space="preserve">Caracterizar la distribución espacial del almidón en los primeros milímetros del xilema en tres especies </w:t>
      </w:r>
      <w:r w:rsidR="00D11417" w:rsidRPr="00B73EA6">
        <w:rPr>
          <w:rFonts w:ascii="Times New Roman" w:hAnsi="Times New Roman" w:cs="Times New Roman"/>
        </w:rPr>
        <w:t xml:space="preserve">de </w:t>
      </w:r>
      <w:r w:rsidR="00F35430" w:rsidRPr="00B73EA6">
        <w:rPr>
          <w:rFonts w:ascii="Times New Roman" w:hAnsi="Times New Roman" w:cs="Times New Roman"/>
        </w:rPr>
        <w:t>árboles</w:t>
      </w:r>
      <w:r w:rsidRPr="00B73EA6">
        <w:rPr>
          <w:rFonts w:ascii="Times New Roman" w:hAnsi="Times New Roman" w:cs="Times New Roman"/>
        </w:rPr>
        <w:t xml:space="preserve"> con estrategias de almacenamiento contrastantes, mediante análisis de imágenes teñidas con </w:t>
      </w:r>
      <w:r w:rsidR="00F35430" w:rsidRPr="00B73EA6">
        <w:rPr>
          <w:rFonts w:ascii="Times New Roman" w:hAnsi="Times New Roman" w:cs="Times New Roman"/>
        </w:rPr>
        <w:t>Lugol</w:t>
      </w:r>
      <w:r w:rsidRPr="00B73EA6">
        <w:rPr>
          <w:rFonts w:ascii="Times New Roman" w:hAnsi="Times New Roman" w:cs="Times New Roman"/>
        </w:rPr>
        <w:t>.</w:t>
      </w:r>
    </w:p>
    <w:p w14:paraId="58AD72EA" w14:textId="1B3B229F" w:rsidR="003D36E0" w:rsidRPr="00B73EA6" w:rsidRDefault="003D36E0" w:rsidP="00B73EA6">
      <w:pPr>
        <w:pStyle w:val="ListParagraph"/>
        <w:numPr>
          <w:ilvl w:val="0"/>
          <w:numId w:val="1"/>
        </w:numPr>
        <w:rPr>
          <w:rFonts w:ascii="Times New Roman" w:hAnsi="Times New Roman" w:cs="Times New Roman"/>
        </w:rPr>
      </w:pPr>
      <w:r w:rsidRPr="00B73EA6">
        <w:rPr>
          <w:rFonts w:ascii="Times New Roman" w:hAnsi="Times New Roman" w:cs="Times New Roman"/>
        </w:rPr>
        <w:t>Cuantificar el crecimiento radial a partir de la identificación anatómica de la zona de crecimiento activo y con apoyo de registros de dendrómetros.</w:t>
      </w:r>
    </w:p>
    <w:p w14:paraId="530EA17D" w14:textId="7BB180B0" w:rsidR="003D36E0" w:rsidRPr="00B73EA6" w:rsidRDefault="003D36E0" w:rsidP="00B73EA6">
      <w:pPr>
        <w:pStyle w:val="ListParagraph"/>
        <w:numPr>
          <w:ilvl w:val="0"/>
          <w:numId w:val="1"/>
        </w:numPr>
        <w:rPr>
          <w:rFonts w:ascii="Times New Roman" w:hAnsi="Times New Roman" w:cs="Times New Roman"/>
        </w:rPr>
      </w:pPr>
      <w:r w:rsidRPr="00B73EA6">
        <w:rPr>
          <w:rFonts w:ascii="Times New Roman" w:hAnsi="Times New Roman" w:cs="Times New Roman"/>
        </w:rPr>
        <w:t>Comparar la concentración y distribución del almidón entre estaciones contrastantes (seca vs. húmeda) para evaluar cambios estacionales en el uso de carbohidratos no estructurales.</w:t>
      </w:r>
    </w:p>
    <w:p w14:paraId="01F25390" w14:textId="0FE32F9D" w:rsidR="00E65984" w:rsidRPr="00B73EA6" w:rsidRDefault="003D36E0" w:rsidP="00B73EA6">
      <w:pPr>
        <w:pStyle w:val="ListParagraph"/>
        <w:numPr>
          <w:ilvl w:val="0"/>
          <w:numId w:val="1"/>
        </w:numPr>
        <w:rPr>
          <w:rFonts w:ascii="Times New Roman" w:hAnsi="Times New Roman" w:cs="Times New Roman"/>
        </w:rPr>
      </w:pPr>
      <w:r w:rsidRPr="00B73EA6">
        <w:rPr>
          <w:rFonts w:ascii="Times New Roman" w:hAnsi="Times New Roman" w:cs="Times New Roman"/>
        </w:rPr>
        <w:t>Analizar la relación entre el patrón espacial del almidón y el crecimiento radial, considerando las diferen</w:t>
      </w:r>
      <w:r w:rsidR="00B73EA6" w:rsidRPr="00B73EA6">
        <w:rPr>
          <w:rFonts w:ascii="Times New Roman" w:hAnsi="Times New Roman" w:cs="Times New Roman"/>
        </w:rPr>
        <w:t>tes estrategias de almacenamiento de carbohidratos</w:t>
      </w:r>
      <w:r w:rsidRPr="00B73EA6">
        <w:rPr>
          <w:rFonts w:ascii="Times New Roman" w:hAnsi="Times New Roman" w:cs="Times New Roman"/>
        </w:rPr>
        <w:t>.</w:t>
      </w:r>
    </w:p>
    <w:p w14:paraId="2EC24BFD" w14:textId="4FA4DCF9" w:rsidR="006D32AE" w:rsidRPr="006709DB" w:rsidRDefault="006709DB">
      <w:pPr>
        <w:rPr>
          <w:b/>
          <w:bCs/>
        </w:rPr>
      </w:pPr>
      <w:r w:rsidRPr="006709DB">
        <w:rPr>
          <w:b/>
          <w:bCs/>
        </w:rPr>
        <w:t>Referencias:</w:t>
      </w:r>
    </w:p>
    <w:p w14:paraId="5BDFD469" w14:textId="77777777" w:rsidR="006709DB" w:rsidRPr="006709DB" w:rsidRDefault="006709DB" w:rsidP="006709DB">
      <w:pPr>
        <w:pStyle w:val="Bibliography"/>
        <w:rPr>
          <w:rFonts w:ascii="Calibri" w:hAnsi="Calibri" w:cs="Calibri"/>
          <w:lang w:val="en-US"/>
        </w:rPr>
      </w:pPr>
      <w:r>
        <w:fldChar w:fldCharType="begin"/>
      </w:r>
      <w:r>
        <w:instrText xml:space="preserve"> ADDIN ZOTERO_BIBL {"uncited":[],"omitted":[],"custom":[]} CSL_BIBLIOGRAPHY </w:instrText>
      </w:r>
      <w:r>
        <w:fldChar w:fldCharType="separate"/>
      </w:r>
      <w:r w:rsidRPr="006709DB">
        <w:rPr>
          <w:rFonts w:ascii="Calibri" w:hAnsi="Calibri" w:cs="Calibri"/>
        </w:rPr>
        <w:t xml:space="preserve">Gibon, Yves, Oliver E. Bläsing, Natalia Palacios‐Rojas, Dejana Pankovic, Janneke H. M. Hendriks, Joachim Fisahn, Melanie Höhne, Manuela Günther, y Mark Stitt. </w:t>
      </w:r>
      <w:r w:rsidRPr="006709DB">
        <w:rPr>
          <w:rFonts w:ascii="Calibri" w:hAnsi="Calibri" w:cs="Calibri"/>
          <w:lang w:val="en-US"/>
        </w:rPr>
        <w:t xml:space="preserve">2004. «Adjustment of Diurnal Starch Turnover to Short Days: Depletion of Sugar during the Night Leads to a Temporary Inhibition of Carbohydrate Utilization, Accumulation of Sugars and Post‐translational Activation of ADP‐glucose Pyrophosphorylase in the Following Light Period». </w:t>
      </w:r>
      <w:r w:rsidRPr="006709DB">
        <w:rPr>
          <w:rFonts w:ascii="Calibri" w:hAnsi="Calibri" w:cs="Calibri"/>
          <w:i/>
          <w:iCs/>
          <w:lang w:val="en-US"/>
        </w:rPr>
        <w:t>The Plant Journal</w:t>
      </w:r>
      <w:r w:rsidRPr="006709DB">
        <w:rPr>
          <w:rFonts w:ascii="Calibri" w:hAnsi="Calibri" w:cs="Calibri"/>
          <w:lang w:val="en-US"/>
        </w:rPr>
        <w:t xml:space="preserve"> 39(6):847-62. doi:10.1111/j.1365-313x.2004.02173.x.</w:t>
      </w:r>
    </w:p>
    <w:p w14:paraId="34E49CFB" w14:textId="77777777" w:rsidR="006709DB" w:rsidRPr="006709DB" w:rsidRDefault="006709DB" w:rsidP="006709DB">
      <w:pPr>
        <w:pStyle w:val="Bibliography"/>
        <w:rPr>
          <w:rFonts w:ascii="Calibri" w:hAnsi="Calibri" w:cs="Calibri"/>
          <w:lang w:val="en-US"/>
        </w:rPr>
      </w:pPr>
      <w:r w:rsidRPr="006709DB">
        <w:rPr>
          <w:rFonts w:ascii="Calibri" w:hAnsi="Calibri" w:cs="Calibri"/>
          <w:lang w:val="en-US"/>
        </w:rPr>
        <w:t xml:space="preserve">Giovannelli, Alessio, Giovanni Emiliani, Maria Laura Traversi, Annie Deslauriers, y Sergio Rossi. 2011. «Sampling Cambial Region and Mature Xylem for Non Structural Carbohydrates and Starch Analyses». </w:t>
      </w:r>
      <w:r w:rsidRPr="006709DB">
        <w:rPr>
          <w:rFonts w:ascii="Calibri" w:hAnsi="Calibri" w:cs="Calibri"/>
          <w:i/>
          <w:iCs/>
          <w:lang w:val="en-US"/>
        </w:rPr>
        <w:t>Dendrochronologia</w:t>
      </w:r>
      <w:r w:rsidRPr="006709DB">
        <w:rPr>
          <w:rFonts w:ascii="Calibri" w:hAnsi="Calibri" w:cs="Calibri"/>
          <w:lang w:val="en-US"/>
        </w:rPr>
        <w:t xml:space="preserve"> 29(3):177-82. doi:10.1016/j.dendro.2011.01.001.</w:t>
      </w:r>
    </w:p>
    <w:p w14:paraId="4167250C" w14:textId="77777777" w:rsidR="006709DB" w:rsidRPr="006709DB" w:rsidRDefault="006709DB" w:rsidP="006709DB">
      <w:pPr>
        <w:pStyle w:val="Bibliography"/>
        <w:rPr>
          <w:rFonts w:ascii="Calibri" w:hAnsi="Calibri" w:cs="Calibri"/>
        </w:rPr>
      </w:pPr>
      <w:r w:rsidRPr="006709DB">
        <w:rPr>
          <w:rFonts w:ascii="Calibri" w:hAnsi="Calibri" w:cs="Calibri"/>
          <w:lang w:val="en-US"/>
        </w:rPr>
        <w:t xml:space="preserve">Hartmann, Henrik, y Susan Trumbore. 2016. «Understanding the Roles of Nonstructural Carbohydrates in Forest Trees – from What We Can Measure to What We Want to Know». </w:t>
      </w:r>
      <w:r w:rsidRPr="006709DB">
        <w:rPr>
          <w:rFonts w:ascii="Calibri" w:hAnsi="Calibri" w:cs="Calibri"/>
          <w:i/>
          <w:iCs/>
        </w:rPr>
        <w:t>New Phytologist</w:t>
      </w:r>
      <w:r w:rsidRPr="006709DB">
        <w:rPr>
          <w:rFonts w:ascii="Calibri" w:hAnsi="Calibri" w:cs="Calibri"/>
        </w:rPr>
        <w:t xml:space="preserve"> 211(2):386-403. doi:10.1111/nph.13955.</w:t>
      </w:r>
    </w:p>
    <w:p w14:paraId="2D050B5C" w14:textId="77777777" w:rsidR="006709DB" w:rsidRPr="006709DB" w:rsidRDefault="006709DB" w:rsidP="006709DB">
      <w:pPr>
        <w:pStyle w:val="Bibliography"/>
        <w:rPr>
          <w:rFonts w:ascii="Calibri" w:hAnsi="Calibri" w:cs="Calibri"/>
          <w:lang w:val="en-US"/>
        </w:rPr>
      </w:pPr>
      <w:r w:rsidRPr="006709DB">
        <w:rPr>
          <w:rFonts w:ascii="Calibri" w:hAnsi="Calibri" w:cs="Calibri"/>
        </w:rPr>
        <w:t xml:space="preserve">Lloret, Francisco, Gerard Sapes, Teresa Rosas, Lucía Galiano, Sandra Saura-Mas, Anna Sala, y Jordi Martínez-Vilalta. </w:t>
      </w:r>
      <w:r w:rsidRPr="006709DB">
        <w:rPr>
          <w:rFonts w:ascii="Calibri" w:hAnsi="Calibri" w:cs="Calibri"/>
          <w:lang w:val="en-US"/>
        </w:rPr>
        <w:t>2018. «Non-Structural Carbohydrate Dynamics Associated with Drought-</w:t>
      </w:r>
      <w:r w:rsidRPr="006709DB">
        <w:rPr>
          <w:rFonts w:ascii="Calibri" w:hAnsi="Calibri" w:cs="Calibri"/>
          <w:lang w:val="en-US"/>
        </w:rPr>
        <w:lastRenderedPageBreak/>
        <w:t xml:space="preserve">Induced Die-off in Woody Species of a Shrubland Community». </w:t>
      </w:r>
      <w:r w:rsidRPr="006709DB">
        <w:rPr>
          <w:rFonts w:ascii="Calibri" w:hAnsi="Calibri" w:cs="Calibri"/>
          <w:i/>
          <w:iCs/>
          <w:lang w:val="en-US"/>
        </w:rPr>
        <w:t>Annals of Botany</w:t>
      </w:r>
      <w:r w:rsidRPr="006709DB">
        <w:rPr>
          <w:rFonts w:ascii="Calibri" w:hAnsi="Calibri" w:cs="Calibri"/>
          <w:lang w:val="en-US"/>
        </w:rPr>
        <w:t xml:space="preserve"> 121(7):1383-96. doi:10.1093/aob/mcy039.</w:t>
      </w:r>
    </w:p>
    <w:p w14:paraId="3591A5A2" w14:textId="77777777" w:rsidR="006709DB" w:rsidRPr="006709DB" w:rsidRDefault="006709DB" w:rsidP="006709DB">
      <w:pPr>
        <w:pStyle w:val="Bibliography"/>
        <w:rPr>
          <w:rFonts w:ascii="Calibri" w:hAnsi="Calibri" w:cs="Calibri"/>
        </w:rPr>
      </w:pPr>
      <w:r w:rsidRPr="006709DB">
        <w:rPr>
          <w:rFonts w:ascii="Calibri" w:hAnsi="Calibri" w:cs="Calibri"/>
          <w:lang w:val="en-US"/>
        </w:rPr>
        <w:t xml:space="preserve">Muller, Bertrand, Florent Pantin, Michel Génard, Olivier Turc, Sandra Freixes, Maria Piques, y Yves Gibon. 2011. «Water Deficits Uncouple Growth from Photosynthesis, Increase C Content, and Modify the Relationships between C and Growth in Sink Organs». </w:t>
      </w:r>
      <w:r w:rsidRPr="006709DB">
        <w:rPr>
          <w:rFonts w:ascii="Calibri" w:hAnsi="Calibri" w:cs="Calibri"/>
          <w:i/>
          <w:iCs/>
        </w:rPr>
        <w:t>Journal of Experimental Botany</w:t>
      </w:r>
      <w:r w:rsidRPr="006709DB">
        <w:rPr>
          <w:rFonts w:ascii="Calibri" w:hAnsi="Calibri" w:cs="Calibri"/>
        </w:rPr>
        <w:t xml:space="preserve"> 62(6):1715-29. doi:10.1093/jxb/erq438.</w:t>
      </w:r>
    </w:p>
    <w:p w14:paraId="2F8C1031" w14:textId="77777777" w:rsidR="006709DB" w:rsidRPr="006709DB" w:rsidRDefault="006709DB" w:rsidP="006709DB">
      <w:pPr>
        <w:pStyle w:val="Bibliography"/>
        <w:rPr>
          <w:rFonts w:ascii="Calibri" w:hAnsi="Calibri" w:cs="Calibri"/>
          <w:lang w:val="en-US"/>
        </w:rPr>
      </w:pPr>
      <w:r w:rsidRPr="006709DB">
        <w:rPr>
          <w:rFonts w:ascii="Calibri" w:hAnsi="Calibri" w:cs="Calibri"/>
        </w:rPr>
        <w:t xml:space="preserve">Pérez-de-Lis, Gonzalo, Ignacio García-González, Vicente Rozas, y José Miguel Olano. </w:t>
      </w:r>
      <w:r w:rsidRPr="006709DB">
        <w:rPr>
          <w:rFonts w:ascii="Calibri" w:hAnsi="Calibri" w:cs="Calibri"/>
          <w:lang w:val="en-US"/>
        </w:rPr>
        <w:t xml:space="preserve">2016. «Feedbacks between Earlywood Anatomy and Non-Structural Carbohydrates Affectspring Phenology and Wood Production in Ring-Porous Oaks». </w:t>
      </w:r>
      <w:r w:rsidRPr="006709DB">
        <w:rPr>
          <w:rFonts w:ascii="Calibri" w:hAnsi="Calibri" w:cs="Calibri"/>
          <w:i/>
          <w:iCs/>
          <w:lang w:val="en-US"/>
        </w:rPr>
        <w:t>Biogeosciences</w:t>
      </w:r>
      <w:r w:rsidRPr="006709DB">
        <w:rPr>
          <w:rFonts w:ascii="Calibri" w:hAnsi="Calibri" w:cs="Calibri"/>
          <w:lang w:val="en-US"/>
        </w:rPr>
        <w:t xml:space="preserve"> 13(19):5499-5510. doi:10.5194/bg-13-5499-2016.</w:t>
      </w:r>
    </w:p>
    <w:p w14:paraId="2B560790" w14:textId="77777777" w:rsidR="006709DB" w:rsidRPr="006709DB" w:rsidRDefault="006709DB" w:rsidP="006709DB">
      <w:pPr>
        <w:pStyle w:val="Bibliography"/>
        <w:rPr>
          <w:rFonts w:ascii="Calibri" w:hAnsi="Calibri" w:cs="Calibri"/>
          <w:lang w:val="en-US"/>
        </w:rPr>
      </w:pPr>
      <w:r w:rsidRPr="006709DB">
        <w:rPr>
          <w:rFonts w:ascii="Calibri" w:hAnsi="Calibri" w:cs="Calibri"/>
          <w:lang w:val="en-US"/>
        </w:rPr>
        <w:t xml:space="preserve">Qian, Nipeng, Linxu Wang, Gangdun Li, Chunchao Dong, Qijing Liu, y Guang Zhou. 2025. «Seasonal Patterns between Wood Formation and Non-Structural Carbohydrate in Two Conifers with Distinct Life-History Traits». </w:t>
      </w:r>
      <w:r w:rsidRPr="006709DB">
        <w:rPr>
          <w:rFonts w:ascii="Calibri" w:hAnsi="Calibri" w:cs="Calibri"/>
          <w:i/>
          <w:iCs/>
          <w:lang w:val="en-US"/>
        </w:rPr>
        <w:t>Environmental and Experimental Botany</w:t>
      </w:r>
      <w:r w:rsidRPr="006709DB">
        <w:rPr>
          <w:rFonts w:ascii="Calibri" w:hAnsi="Calibri" w:cs="Calibri"/>
          <w:lang w:val="en-US"/>
        </w:rPr>
        <w:t xml:space="preserve"> 233:106141. doi:10.1016/j.envexpbot.2025.106141.</w:t>
      </w:r>
    </w:p>
    <w:p w14:paraId="1E6CD809" w14:textId="77777777" w:rsidR="006709DB" w:rsidRPr="006709DB" w:rsidRDefault="006709DB" w:rsidP="006709DB">
      <w:pPr>
        <w:pStyle w:val="Bibliography"/>
        <w:rPr>
          <w:rFonts w:ascii="Calibri" w:hAnsi="Calibri" w:cs="Calibri"/>
        </w:rPr>
      </w:pPr>
      <w:r w:rsidRPr="006709DB">
        <w:rPr>
          <w:rFonts w:ascii="Calibri" w:hAnsi="Calibri" w:cs="Calibri"/>
          <w:lang w:val="en-US"/>
        </w:rPr>
        <w:t xml:space="preserve">Simard, S., A. Giovannelli, K. Treydte, M. L. Traversi, G. M. King, D. Frank, y P. Fonti. 2013. «Intra-Annual Dynamics of Non-Structural Carbohydrates in the Cambium of Mature Conifer Trees Reflects Radial Growth Demands». </w:t>
      </w:r>
      <w:r w:rsidRPr="006709DB">
        <w:rPr>
          <w:rFonts w:ascii="Calibri" w:hAnsi="Calibri" w:cs="Calibri"/>
          <w:i/>
          <w:iCs/>
        </w:rPr>
        <w:t>Tree Physiology</w:t>
      </w:r>
      <w:r w:rsidRPr="006709DB">
        <w:rPr>
          <w:rFonts w:ascii="Calibri" w:hAnsi="Calibri" w:cs="Calibri"/>
        </w:rPr>
        <w:t xml:space="preserve"> 33(9):913-23. doi:10.1093/treephys/tpt075.</w:t>
      </w:r>
    </w:p>
    <w:p w14:paraId="02BE1E18" w14:textId="0E5717BE" w:rsidR="006709DB" w:rsidRDefault="006709DB">
      <w:r>
        <w:fldChar w:fldCharType="end"/>
      </w:r>
    </w:p>
    <w:sectPr w:rsidR="006709D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Andres Herrera Ramirez" w:date="2025-07-17T11:39:00Z" w:initials="DH">
    <w:p w14:paraId="42A6B946" w14:textId="77777777" w:rsidR="00DD7636" w:rsidRDefault="00DD7636" w:rsidP="00DD7636">
      <w:r>
        <w:rPr>
          <w:rStyle w:val="CommentReference"/>
        </w:rPr>
        <w:annotationRef/>
      </w:r>
      <w:r>
        <w:rPr>
          <w:sz w:val="20"/>
          <w:szCs w:val="20"/>
        </w:rPr>
        <w:t>give more focus, talk aboug growth and xylogenesis already</w:t>
      </w:r>
    </w:p>
  </w:comment>
  <w:comment w:id="1" w:author="David Andres Herrera Ramirez" w:date="2025-07-17T11:43:00Z" w:initials="DH">
    <w:p w14:paraId="0F2505A6" w14:textId="77777777" w:rsidR="00DD7636" w:rsidRDefault="00DD7636" w:rsidP="00DD7636">
      <w:r>
        <w:rPr>
          <w:rStyle w:val="CommentReference"/>
        </w:rPr>
        <w:annotationRef/>
      </w:r>
      <w:r>
        <w:rPr>
          <w:sz w:val="20"/>
          <w:szCs w:val="20"/>
        </w:rPr>
        <w:t>This is what this work is about, expand on this processess, what is know? what is not known that we can contribute with?</w:t>
      </w:r>
    </w:p>
  </w:comment>
  <w:comment w:id="2" w:author="David Andres Herrera Ramirez" w:date="2025-07-17T11:44:00Z" w:initials="DH">
    <w:p w14:paraId="61A40162" w14:textId="77777777" w:rsidR="00DD7636" w:rsidRDefault="00DD7636" w:rsidP="00DD7636">
      <w:r>
        <w:rPr>
          <w:rStyle w:val="CommentReference"/>
        </w:rPr>
        <w:annotationRef/>
      </w:r>
      <w:r>
        <w:rPr>
          <w:sz w:val="20"/>
          <w:szCs w:val="20"/>
        </w:rPr>
        <w:t xml:space="preserve">be clear about the differences or the novelty respect to what has been already reported. </w:t>
      </w:r>
    </w:p>
  </w:comment>
  <w:comment w:id="3" w:author="David Andres Herrera Ramirez" w:date="2025-07-17T11:42:00Z" w:initials="DH">
    <w:p w14:paraId="1B9166AC" w14:textId="073BFB98" w:rsidR="00DD7636" w:rsidRDefault="00DD7636" w:rsidP="00DD7636">
      <w:r>
        <w:rPr>
          <w:rStyle w:val="CommentReference"/>
        </w:rPr>
        <w:annotationRef/>
      </w:r>
      <w:r>
        <w:rPr>
          <w:sz w:val="20"/>
          <w:szCs w:val="20"/>
        </w:rPr>
        <w:t>ver landhouser 2015 and quentin 2014</w:t>
      </w:r>
    </w:p>
  </w:comment>
  <w:comment w:id="4" w:author="David Andres Herrera Ramirez" w:date="2025-07-17T11:47:00Z" w:initials="DH">
    <w:p w14:paraId="232FA401" w14:textId="77777777" w:rsidR="00DD7636" w:rsidRDefault="00DD7636" w:rsidP="00DD7636">
      <w:r>
        <w:rPr>
          <w:rStyle w:val="CommentReference"/>
        </w:rPr>
        <w:annotationRef/>
      </w:r>
      <w:r>
        <w:rPr>
          <w:sz w:val="20"/>
          <w:szCs w:val="20"/>
        </w:rPr>
        <w:t xml:space="preserve">seasons? </w:t>
      </w:r>
    </w:p>
  </w:comment>
  <w:comment w:id="5" w:author="David Andres Herrera Ramirez" w:date="2025-07-17T11:48:00Z" w:initials="DH">
    <w:p w14:paraId="5AD99ED7" w14:textId="77777777" w:rsidR="00DD7636" w:rsidRDefault="00DD7636" w:rsidP="00DD7636">
      <w:r>
        <w:rPr>
          <w:rStyle w:val="CommentReference"/>
        </w:rPr>
        <w:annotationRef/>
      </w:r>
      <w:r>
        <w:rPr>
          <w:sz w:val="20"/>
          <w:szCs w:val="20"/>
        </w:rPr>
        <w:t>tratemos de incorporar esto en la introduccion como parte de los datos que tendremos disponibles</w:t>
      </w:r>
    </w:p>
  </w:comment>
  <w:comment w:id="6" w:author="David Andres Herrera Ramirez" w:date="2025-07-17T11:49:00Z" w:initials="DH">
    <w:p w14:paraId="0BFCA6DD" w14:textId="77777777" w:rsidR="00DD7636" w:rsidRDefault="00DD7636" w:rsidP="00DD7636">
      <w:r>
        <w:rPr>
          <w:rStyle w:val="CommentReference"/>
        </w:rPr>
        <w:annotationRef/>
      </w:r>
      <w:r>
        <w:rPr>
          <w:sz w:val="20"/>
          <w:szCs w:val="20"/>
        </w:rPr>
        <w:t xml:space="preserve">in the most recent formed wood? </w:t>
      </w:r>
    </w:p>
  </w:comment>
  <w:comment w:id="7" w:author="David Andres Herrera Ramirez" w:date="2025-07-17T11:50:00Z" w:initials="DH">
    <w:p w14:paraId="5E43FCC2" w14:textId="77777777" w:rsidR="00DD7636" w:rsidRDefault="00DD7636" w:rsidP="00DD7636">
      <w:r>
        <w:rPr>
          <w:rStyle w:val="CommentReference"/>
        </w:rPr>
        <w:annotationRef/>
      </w:r>
      <w:r>
        <w:rPr>
          <w:sz w:val="20"/>
          <w:szCs w:val="20"/>
        </w:rPr>
        <w:t>be more specific, describe the variation and the expected differences between the strategies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A6B946" w15:done="0"/>
  <w15:commentEx w15:paraId="0F2505A6" w15:done="0"/>
  <w15:commentEx w15:paraId="61A40162" w15:paraIdParent="0F2505A6" w15:done="0"/>
  <w15:commentEx w15:paraId="1B9166AC" w15:done="0"/>
  <w15:commentEx w15:paraId="232FA401" w15:done="0"/>
  <w15:commentEx w15:paraId="5AD99ED7" w15:done="0"/>
  <w15:commentEx w15:paraId="0BFCA6DD" w15:done="0"/>
  <w15:commentEx w15:paraId="5E43FC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886F31" w16cex:dateUtc="2025-07-17T15:39:00Z"/>
  <w16cex:commentExtensible w16cex:durableId="52F4D194" w16cex:dateUtc="2025-07-17T15:43:00Z"/>
  <w16cex:commentExtensible w16cex:durableId="6CA1F249" w16cex:dateUtc="2025-07-17T15:44:00Z"/>
  <w16cex:commentExtensible w16cex:durableId="2195ED9F" w16cex:dateUtc="2025-07-17T15:42:00Z"/>
  <w16cex:commentExtensible w16cex:durableId="429C6D80" w16cex:dateUtc="2025-07-17T15:47:00Z"/>
  <w16cex:commentExtensible w16cex:durableId="3CB393CE" w16cex:dateUtc="2025-07-17T15:48:00Z"/>
  <w16cex:commentExtensible w16cex:durableId="093907C9" w16cex:dateUtc="2025-07-17T15:49:00Z"/>
  <w16cex:commentExtensible w16cex:durableId="437210A6" w16cex:dateUtc="2025-07-17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A6B946" w16cid:durableId="54886F31"/>
  <w16cid:commentId w16cid:paraId="0F2505A6" w16cid:durableId="52F4D194"/>
  <w16cid:commentId w16cid:paraId="61A40162" w16cid:durableId="6CA1F249"/>
  <w16cid:commentId w16cid:paraId="1B9166AC" w16cid:durableId="2195ED9F"/>
  <w16cid:commentId w16cid:paraId="232FA401" w16cid:durableId="429C6D80"/>
  <w16cid:commentId w16cid:paraId="5AD99ED7" w16cid:durableId="3CB393CE"/>
  <w16cid:commentId w16cid:paraId="0BFCA6DD" w16cid:durableId="093907C9"/>
  <w16cid:commentId w16cid:paraId="5E43FCC2" w16cid:durableId="437210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335FE"/>
    <w:multiLevelType w:val="hybridMultilevel"/>
    <w:tmpl w:val="248EB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673013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Andres Herrera Ramirez">
    <w15:presenceInfo w15:providerId="Windows Live" w15:userId="93784bb15fe31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FA"/>
    <w:rsid w:val="002648AA"/>
    <w:rsid w:val="003D36E0"/>
    <w:rsid w:val="006638AE"/>
    <w:rsid w:val="006709DB"/>
    <w:rsid w:val="006D32AE"/>
    <w:rsid w:val="00B73EA6"/>
    <w:rsid w:val="00BA3DFA"/>
    <w:rsid w:val="00D11417"/>
    <w:rsid w:val="00DD7636"/>
    <w:rsid w:val="00E2006B"/>
    <w:rsid w:val="00E65984"/>
    <w:rsid w:val="00F01065"/>
    <w:rsid w:val="00F354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E58B"/>
  <w15:chartTrackingRefBased/>
  <w15:docId w15:val="{6B253F78-92D9-47B8-A6E4-8CF32689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D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709DB"/>
    <w:pPr>
      <w:spacing w:after="240" w:line="240" w:lineRule="auto"/>
      <w:ind w:left="720" w:hanging="720"/>
    </w:pPr>
  </w:style>
  <w:style w:type="paragraph" w:styleId="ListParagraph">
    <w:name w:val="List Paragraph"/>
    <w:basedOn w:val="Normal"/>
    <w:uiPriority w:val="34"/>
    <w:qFormat/>
    <w:rsid w:val="00B73EA6"/>
    <w:pPr>
      <w:ind w:left="720"/>
      <w:contextualSpacing/>
    </w:pPr>
  </w:style>
  <w:style w:type="character" w:styleId="CommentReference">
    <w:name w:val="annotation reference"/>
    <w:basedOn w:val="DefaultParagraphFont"/>
    <w:uiPriority w:val="99"/>
    <w:semiHidden/>
    <w:unhideWhenUsed/>
    <w:rsid w:val="00DD7636"/>
    <w:rPr>
      <w:sz w:val="16"/>
      <w:szCs w:val="16"/>
    </w:rPr>
  </w:style>
  <w:style w:type="paragraph" w:styleId="CommentText">
    <w:name w:val="annotation text"/>
    <w:basedOn w:val="Normal"/>
    <w:link w:val="CommentTextChar"/>
    <w:uiPriority w:val="99"/>
    <w:semiHidden/>
    <w:unhideWhenUsed/>
    <w:rsid w:val="00DD7636"/>
    <w:pPr>
      <w:spacing w:line="240" w:lineRule="auto"/>
    </w:pPr>
    <w:rPr>
      <w:sz w:val="20"/>
      <w:szCs w:val="20"/>
    </w:rPr>
  </w:style>
  <w:style w:type="character" w:customStyle="1" w:styleId="CommentTextChar">
    <w:name w:val="Comment Text Char"/>
    <w:basedOn w:val="DefaultParagraphFont"/>
    <w:link w:val="CommentText"/>
    <w:uiPriority w:val="99"/>
    <w:semiHidden/>
    <w:rsid w:val="00DD7636"/>
    <w:rPr>
      <w:sz w:val="20"/>
      <w:szCs w:val="20"/>
    </w:rPr>
  </w:style>
  <w:style w:type="paragraph" w:styleId="CommentSubject">
    <w:name w:val="annotation subject"/>
    <w:basedOn w:val="CommentText"/>
    <w:next w:val="CommentText"/>
    <w:link w:val="CommentSubjectChar"/>
    <w:uiPriority w:val="99"/>
    <w:semiHidden/>
    <w:unhideWhenUsed/>
    <w:rsid w:val="00DD7636"/>
    <w:rPr>
      <w:b/>
      <w:bCs/>
    </w:rPr>
  </w:style>
  <w:style w:type="character" w:customStyle="1" w:styleId="CommentSubjectChar">
    <w:name w:val="Comment Subject Char"/>
    <w:basedOn w:val="CommentTextChar"/>
    <w:link w:val="CommentSubject"/>
    <w:uiPriority w:val="99"/>
    <w:semiHidden/>
    <w:rsid w:val="00DD76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3769</Words>
  <Characters>21485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Uribe</dc:creator>
  <cp:keywords/>
  <dc:description/>
  <cp:lastModifiedBy>David Andres Herrera Ramirez</cp:lastModifiedBy>
  <cp:revision>4</cp:revision>
  <dcterms:created xsi:type="dcterms:W3CDTF">2025-07-17T03:50:00Z</dcterms:created>
  <dcterms:modified xsi:type="dcterms:W3CDTF">2025-07-17T18:37:00Z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id="yhdLKU5w"/&gt;&lt;style id="http://www.zotero.org/styles/american-sociological-association" locale="es-ES"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