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  <w:t>What requirement must a literary or artistic work meet to get copyright protection according to European Court of Justice?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The criteria for getting the work protected by copyright is novelty and distinctive character.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The criteria for getting the work protected by copyright is originality in the sense that it is its author’s own intellectual creation.</w:t>
      </w:r>
      <w:r/>
    </w:p>
    <w:p>
      <w:pPr>
        <w:pStyle w:val="Normal"/>
      </w:pPr>
      <w:r>
        <w:rPr>
          <w:rStyle w:val="StrongEmphasis"/>
        </w:rPr>
        <w:t>Well done! 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The criteria for getting the work protected by copyright is originality in the sense that it is novel and contains an inventive step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The criteria for getting the work protected by copyright is originality in the sense that it is commercial viable</w:t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53</TotalTime>
  <Application>LibreOffice/4.3.5.2.0$Linux_X86_64 LibreOffice_project/430m0$Build-2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2015-01-25T08:55:44Z</dcterms:created>
  <dc:language>en-US</dc:language>
  <dcterms:modified xsi:type="dcterms:W3CDTF">2015-01-25T08:56:37Z</dcterms:modified>
  <cp:revision>1</cp:revision>
</cp:coreProperties>
</file>