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t>Is it necessary to establish both the relevant product and geographic market to enable a full assessment of the likely effect or not within a particular market?</w:t>
      </w:r>
      <w:r/>
    </w:p>
    <w:p>
      <w:pPr>
        <w:pStyle w:val="Normal"/>
      </w:pPr>
      <w:r>
        <w:rPr/>
      </w:r>
      <w:r/>
    </w:p>
    <w:p>
      <w:pPr>
        <w:pStyle w:val="Normal"/>
      </w:pPr>
      <w:r>
        <w:rPr/>
        <w:t xml:space="preserve">True </w:t>
      </w:r>
      <w:r/>
    </w:p>
    <w:p>
      <w:pPr>
        <w:pStyle w:val="Normal"/>
        <w:spacing w:before="0" w:after="283"/>
      </w:pPr>
      <w:r>
        <w:rPr>
          <w:rStyle w:val="StrongEmphasis"/>
        </w:rPr>
        <w:t>Well done! </w:t>
      </w:r>
      <w:r>
        <w:rPr/>
        <w:t>Answer is True.</w:t>
        <w:br/>
        <w:t>In a preliminary analysis, the Commission attempts to define the product market by investigating whether product A and product B belong to the same market. It also tries to determine the geographic market by producing an overview of the breakdown of the market shares held by the parties in question and by their competitors, the prices charged and any price differentials.</w:t>
        <w:br/>
        <w:t>Answer is True.</w:t>
        <w:br/>
      </w:r>
      <w:r/>
    </w:p>
    <w:p>
      <w:pPr>
        <w:pStyle w:val="Normal"/>
        <w:rPr/>
      </w:pPr>
      <w:r>
        <w:rPr/>
        <w:t>False</w:t>
      </w:r>
      <w:r/>
    </w:p>
    <w:p>
      <w:pPr>
        <w:pStyle w:val="Normal"/>
      </w:pPr>
      <w:r>
        <w:rPr/>
      </w:r>
      <w:r/>
    </w:p>
    <w:p>
      <w:pPr>
        <w:pStyle w:val="Normal"/>
      </w:pPr>
      <w:r>
        <w:rPr>
          <w:rStyle w:val="StrongEmphasis"/>
        </w:rPr>
        <w:t>Read the</w:t>
      </w:r>
      <w:r>
        <w:rPr/>
        <w:t xml:space="preserve"> Commissions notice on the definition of relevant market for the purposes of Community competition law [Official Journal C 372 of 9.12.1997] and consider the following question:</w:t>
        <w:br/>
        <w:br/>
      </w:r>
      <w:r>
        <w:rPr>
          <w:rStyle w:val="Emphasis"/>
        </w:rPr>
        <w:t xml:space="preserve">Which is the definition of the product market and the geographic market as provided by the EU Commission? </w:t>
      </w:r>
      <w:r/>
    </w:p>
    <w:p>
      <w:pPr>
        <w:pStyle w:val="Normal"/>
      </w:pPr>
      <w:r>
        <w:rPr/>
      </w:r>
      <w:r/>
    </w:p>
    <w:p>
      <w:pPr>
        <w:pStyle w:val="Normal"/>
        <w:rPr/>
      </w:pPr>
      <w:r>
        <w:rPr/>
        <w:t>This is what I found for this on Eur-Lex - ???</w:t>
      </w:r>
      <w:r/>
    </w:p>
    <w:p>
      <w:pPr>
        <w:pStyle w:val="Normal"/>
        <w:rPr/>
      </w:pPr>
      <w:r>
        <w:rPr/>
      </w:r>
      <w:r/>
    </w:p>
    <w:p>
      <w:pPr>
        <w:pStyle w:val="Normal"/>
        <w:rPr/>
      </w:pPr>
      <w:r>
        <w:rPr/>
      </w:r>
      <w:r/>
    </w:p>
    <w:tbl>
      <w:tblPr>
        <w:tblW w:w="5000" w:type="pct"/>
        <w:jc w:val="left"/>
        <w:tblInd w:w="0" w:type="dxa"/>
        <w:tblBorders/>
        <w:tblCellMar>
          <w:top w:w="0" w:type="dxa"/>
          <w:left w:w="0" w:type="dxa"/>
          <w:bottom w:w="0" w:type="dxa"/>
          <w:right w:w="0" w:type="dxa"/>
        </w:tblCellMar>
      </w:tblPr>
      <w:tblGrid>
        <w:gridCol w:w="7478"/>
        <w:gridCol w:w="2493"/>
      </w:tblGrid>
      <w:tr>
        <w:trPr/>
        <w:tc>
          <w:tcPr>
            <w:tcW w:w="7478" w:type="dxa"/>
            <w:tcBorders/>
            <w:shd w:fill="auto" w:val="clear"/>
            <w:vAlign w:val="center"/>
          </w:tcPr>
          <w:p>
            <w:pPr>
              <w:pStyle w:val="TableContents"/>
              <w:spacing w:before="0" w:after="283"/>
              <w:jc w:val="left"/>
              <w:rPr/>
            </w:pPr>
            <w:r>
              <w:rPr/>
              <w:t>Official Journal</w:t>
              <w:br/>
              <w:t>of the European Communities</w:t>
            </w:r>
            <w:r/>
          </w:p>
        </w:tc>
        <w:tc>
          <w:tcPr>
            <w:tcW w:w="2493" w:type="dxa"/>
            <w:tcBorders/>
            <w:shd w:fill="auto" w:val="clear"/>
            <w:vAlign w:val="center"/>
          </w:tcPr>
          <w:p>
            <w:pPr>
              <w:pStyle w:val="TableContents"/>
              <w:spacing w:before="0" w:after="283"/>
              <w:jc w:val="right"/>
            </w:pPr>
            <w:r>
              <w:rPr/>
              <w:t>ISSN 0378-6986</w:t>
              <w:br/>
              <w:br/>
              <w:t>C 372</w:t>
              <w:br/>
              <w:t>Volume 40</w:t>
              <w:br/>
            </w:r>
            <w:r>
              <w:rPr>
                <w:rStyle w:val="StrongEmphasis"/>
              </w:rPr>
              <w:t>9 December 1997</w:t>
            </w:r>
            <w:r/>
          </w:p>
        </w:tc>
      </w:tr>
    </w:tbl>
    <w:p>
      <w:pPr>
        <w:pStyle w:val="TextBody"/>
      </w:pPr>
      <w:r>
        <w:rPr/>
      </w:r>
      <w:r/>
    </w:p>
    <w:tbl>
      <w:tblPr>
        <w:tblW w:w="5000" w:type="pct"/>
        <w:jc w:val="left"/>
        <w:tblInd w:w="45" w:type="dxa"/>
        <w:tblBorders/>
        <w:tblCellMar>
          <w:top w:w="45" w:type="dxa"/>
          <w:left w:w="45" w:type="dxa"/>
          <w:bottom w:w="45" w:type="dxa"/>
          <w:right w:w="45" w:type="dxa"/>
        </w:tblCellMar>
      </w:tblPr>
      <w:tblGrid>
        <w:gridCol w:w="2094"/>
        <w:gridCol w:w="298"/>
        <w:gridCol w:w="6284"/>
        <w:gridCol w:w="997"/>
        <w:gridCol w:w="298"/>
      </w:tblGrid>
      <w:tr>
        <w:trPr/>
        <w:tc>
          <w:tcPr>
            <w:tcW w:w="2094" w:type="dxa"/>
            <w:tcBorders/>
            <w:shd w:fill="auto" w:val="clear"/>
            <w:vAlign w:val="center"/>
          </w:tcPr>
          <w:p>
            <w:pPr>
              <w:pStyle w:val="TableContents"/>
              <w:spacing w:before="0" w:after="283"/>
              <w:jc w:val="left"/>
              <w:rPr/>
            </w:pPr>
            <w:r>
              <w:rPr/>
              <w:t>English edition</w:t>
            </w:r>
            <w:r/>
          </w:p>
        </w:tc>
        <w:tc>
          <w:tcPr>
            <w:tcW w:w="298" w:type="dxa"/>
            <w:tcBorders/>
            <w:shd w:fill="auto" w:val="clear"/>
            <w:vAlign w:val="center"/>
          </w:tcPr>
          <w:p>
            <w:pPr>
              <w:pStyle w:val="TableContents"/>
            </w:pPr>
            <w:r>
              <w:rPr/>
              <w:t> </w:t>
            </w:r>
            <w:r/>
          </w:p>
        </w:tc>
        <w:tc>
          <w:tcPr>
            <w:tcW w:w="6284" w:type="dxa"/>
            <w:tcBorders/>
            <w:shd w:fill="auto" w:val="clear"/>
            <w:vAlign w:val="center"/>
          </w:tcPr>
          <w:p>
            <w:pPr>
              <w:pStyle w:val="TableContents"/>
              <w:spacing w:before="0" w:after="283"/>
              <w:jc w:val="left"/>
              <w:rPr/>
            </w:pPr>
            <w:r>
              <w:rPr/>
              <w:t>Information and Notices</w:t>
            </w:r>
            <w:r/>
          </w:p>
        </w:tc>
        <w:tc>
          <w:tcPr>
            <w:tcW w:w="997" w:type="dxa"/>
            <w:tcBorders/>
            <w:shd w:fill="auto" w:val="clear"/>
            <w:vAlign w:val="center"/>
          </w:tcPr>
          <w:p>
            <w:pPr>
              <w:pStyle w:val="TableContents"/>
            </w:pPr>
            <w:r>
              <w:rPr/>
              <w:t> </w:t>
            </w:r>
            <w:r/>
          </w:p>
        </w:tc>
        <w:tc>
          <w:tcPr>
            <w:tcW w:w="298" w:type="dxa"/>
            <w:tcBorders/>
            <w:shd w:fill="auto" w:val="clear"/>
            <w:vAlign w:val="center"/>
          </w:tcPr>
          <w:p>
            <w:pPr>
              <w:pStyle w:val="TableContents"/>
            </w:pPr>
            <w:r>
              <w:rPr/>
              <w:t> </w:t>
            </w:r>
            <w:r/>
          </w:p>
        </w:tc>
      </w:tr>
      <w:tr>
        <w:trPr/>
        <w:tc>
          <w:tcPr>
            <w:tcW w:w="9971" w:type="dxa"/>
            <w:gridSpan w:val="5"/>
            <w:tcBorders/>
            <w:shd w:fill="auto" w:val="clear"/>
            <w:vAlign w:val="center"/>
          </w:tcPr>
          <w:p>
            <w:pPr>
              <w:pStyle w:val="HorizontalLine"/>
              <w:suppressLineNumbers/>
              <w:pBdr>
                <w:bottom w:val="double" w:sz="2" w:space="0" w:color="808080"/>
              </w:pBdr>
              <w:spacing w:before="0" w:after="283"/>
            </w:pPr>
            <w:r>
              <w:rPr/>
            </w:r>
            <w:r/>
          </w:p>
        </w:tc>
      </w:tr>
      <w:tr>
        <w:trPr/>
        <w:tc>
          <w:tcPr>
            <w:tcW w:w="2392" w:type="dxa"/>
            <w:gridSpan w:val="2"/>
            <w:tcBorders/>
            <w:shd w:fill="auto" w:val="clear"/>
          </w:tcPr>
          <w:p>
            <w:pPr>
              <w:pStyle w:val="TableContents"/>
              <w:spacing w:before="0" w:after="283"/>
              <w:jc w:val="left"/>
              <w:rPr>
                <w:u w:val="single"/>
              </w:rPr>
            </w:pPr>
            <w:r>
              <w:rPr>
                <w:u w:val="single"/>
              </w:rPr>
              <w:t>Notice No</w:t>
            </w:r>
            <w:r/>
          </w:p>
        </w:tc>
        <w:tc>
          <w:tcPr>
            <w:tcW w:w="6284" w:type="dxa"/>
            <w:tcBorders/>
            <w:shd w:fill="auto" w:val="clear"/>
          </w:tcPr>
          <w:p>
            <w:pPr>
              <w:pStyle w:val="TableContents"/>
              <w:spacing w:before="315" w:after="315"/>
              <w:rPr/>
            </w:pPr>
            <w:r>
              <w:rPr/>
              <w:t>Contents</w:t>
            </w:r>
            <w:r/>
          </w:p>
        </w:tc>
        <w:tc>
          <w:tcPr>
            <w:tcW w:w="997" w:type="dxa"/>
            <w:tcBorders/>
            <w:shd w:fill="auto" w:val="clear"/>
          </w:tcPr>
          <w:p>
            <w:pPr>
              <w:pStyle w:val="TableContents"/>
              <w:spacing w:before="0" w:after="283"/>
              <w:jc w:val="right"/>
              <w:rPr/>
            </w:pPr>
            <w:r>
              <w:rPr/>
              <w:t>Page</w:t>
            </w:r>
            <w:r/>
          </w:p>
        </w:tc>
        <w:tc>
          <w:tcPr>
            <w:tcW w:w="298" w:type="dxa"/>
            <w:tcBorders/>
            <w:shd w:fill="auto" w:val="clear"/>
            <w:vAlign w:val="center"/>
          </w:tcPr>
          <w:p>
            <w:pPr>
              <w:pStyle w:val="TableContents"/>
            </w:pPr>
            <w:r>
              <w:rPr/>
              <w:t> </w:t>
            </w:r>
            <w:r/>
          </w:p>
        </w:tc>
      </w:tr>
      <w:tr>
        <w:trPr/>
        <w:tc>
          <w:tcPr>
            <w:tcW w:w="2094" w:type="dxa"/>
            <w:tcBorders/>
            <w:shd w:fill="auto" w:val="clear"/>
          </w:tcPr>
          <w:p>
            <w:pPr>
              <w:pStyle w:val="TableContents"/>
            </w:pPr>
            <w:r>
              <w:rPr/>
              <w:t> </w:t>
            </w:r>
            <w:r/>
          </w:p>
        </w:tc>
        <w:tc>
          <w:tcPr>
            <w:tcW w:w="298" w:type="dxa"/>
            <w:tcBorders/>
            <w:shd w:fill="auto" w:val="clear"/>
            <w:vAlign w:val="center"/>
          </w:tcPr>
          <w:p>
            <w:pPr>
              <w:pStyle w:val="TableContents"/>
            </w:pPr>
            <w:r>
              <w:rPr/>
              <w:t> </w:t>
            </w:r>
            <w:r/>
          </w:p>
        </w:tc>
        <w:tc>
          <w:tcPr>
            <w:tcW w:w="6284" w:type="dxa"/>
            <w:tcBorders/>
            <w:shd w:fill="auto" w:val="clear"/>
            <w:vAlign w:val="center"/>
          </w:tcPr>
          <w:p>
            <w:pPr>
              <w:pStyle w:val="TableContents"/>
              <w:spacing w:before="0" w:after="315"/>
              <w:jc w:val="left"/>
            </w:pPr>
            <w:r>
              <w:rPr/>
              <w:t>I </w:t>
            </w:r>
            <w:r>
              <w:rPr>
                <w:rStyle w:val="Emphasis"/>
              </w:rPr>
              <w:t>Information</w:t>
            </w:r>
            <w:r/>
          </w:p>
        </w:tc>
        <w:tc>
          <w:tcPr>
            <w:tcW w:w="997" w:type="dxa"/>
            <w:tcBorders/>
            <w:shd w:fill="auto" w:val="clear"/>
            <w:vAlign w:val="center"/>
          </w:tcPr>
          <w:p>
            <w:pPr>
              <w:pStyle w:val="TableContents"/>
            </w:pPr>
            <w:r>
              <w:rPr/>
              <w:t> </w:t>
            </w:r>
            <w:r/>
          </w:p>
        </w:tc>
        <w:tc>
          <w:tcPr>
            <w:tcW w:w="298" w:type="dxa"/>
            <w:tcBorders/>
            <w:shd w:fill="auto" w:val="clear"/>
          </w:tcPr>
          <w:p>
            <w:pPr>
              <w:pStyle w:val="TableContents"/>
              <w:rPr>
                <w:sz w:val="4"/>
                <w:sz w:val="4"/>
                <w:szCs w:val="4"/>
              </w:rPr>
            </w:pPr>
            <w:r>
              <w:rPr>
                <w:sz w:val="4"/>
                <w:szCs w:val="4"/>
              </w:rPr>
            </w:r>
            <w:r/>
          </w:p>
        </w:tc>
      </w:tr>
      <w:tr>
        <w:trPr/>
        <w:tc>
          <w:tcPr>
            <w:tcW w:w="2094" w:type="dxa"/>
            <w:tcBorders/>
            <w:shd w:fill="auto" w:val="clear"/>
            <w:vAlign w:val="center"/>
          </w:tcPr>
          <w:p>
            <w:pPr>
              <w:pStyle w:val="TableContents"/>
            </w:pPr>
            <w:r>
              <w:rPr/>
              <w:t> </w:t>
            </w:r>
            <w:r/>
          </w:p>
        </w:tc>
        <w:tc>
          <w:tcPr>
            <w:tcW w:w="298" w:type="dxa"/>
            <w:tcBorders/>
            <w:shd w:fill="auto" w:val="clear"/>
            <w:vAlign w:val="center"/>
          </w:tcPr>
          <w:p>
            <w:pPr>
              <w:pStyle w:val="TableContents"/>
            </w:pPr>
            <w:r>
              <w:rPr/>
              <w:t> </w:t>
            </w:r>
            <w:r/>
          </w:p>
        </w:tc>
        <w:tc>
          <w:tcPr>
            <w:tcW w:w="6284" w:type="dxa"/>
            <w:tcBorders/>
            <w:shd w:fill="auto" w:val="clear"/>
            <w:vAlign w:val="center"/>
          </w:tcPr>
          <w:p>
            <w:pPr>
              <w:pStyle w:val="TableContents"/>
              <w:spacing w:before="0" w:after="283"/>
              <w:jc w:val="left"/>
            </w:pPr>
            <w:r>
              <w:rPr>
                <w:rStyle w:val="StrongEmphasis"/>
              </w:rPr>
              <w:t>Commission</w:t>
            </w:r>
            <w:r/>
          </w:p>
        </w:tc>
        <w:tc>
          <w:tcPr>
            <w:tcW w:w="1295" w:type="dxa"/>
            <w:gridSpan w:val="2"/>
            <w:tcBorders/>
            <w:shd w:fill="auto" w:val="clear"/>
          </w:tcPr>
          <w:p>
            <w:pPr>
              <w:pStyle w:val="TableContents"/>
              <w:rPr>
                <w:sz w:val="4"/>
                <w:sz w:val="4"/>
                <w:szCs w:val="4"/>
              </w:rPr>
            </w:pPr>
            <w:r>
              <w:rPr>
                <w:sz w:val="4"/>
                <w:szCs w:val="4"/>
              </w:rPr>
            </w:r>
            <w:r/>
          </w:p>
        </w:tc>
      </w:tr>
      <w:tr>
        <w:trPr/>
        <w:tc>
          <w:tcPr>
            <w:tcW w:w="2392" w:type="dxa"/>
            <w:gridSpan w:val="2"/>
            <w:tcBorders/>
            <w:shd w:fill="auto" w:val="clear"/>
          </w:tcPr>
          <w:p>
            <w:pPr>
              <w:pStyle w:val="TableContents"/>
              <w:spacing w:before="0" w:after="283"/>
              <w:rPr/>
            </w:pPr>
            <w:r>
              <w:rPr/>
              <w:t>97/C 372/01</w:t>
            </w:r>
            <w:r/>
          </w:p>
        </w:tc>
        <w:tc>
          <w:tcPr>
            <w:tcW w:w="6284" w:type="dxa"/>
            <w:tcBorders/>
            <w:shd w:fill="auto" w:val="clear"/>
          </w:tcPr>
          <w:p>
            <w:pPr>
              <w:pStyle w:val="TableContents"/>
              <w:spacing w:before="0" w:after="283"/>
              <w:rPr/>
            </w:pPr>
            <w:r>
              <w:rPr/>
              <w:t>Ecu 8 December 1997</w:t>
            </w:r>
            <w:r/>
          </w:p>
        </w:tc>
        <w:tc>
          <w:tcPr>
            <w:tcW w:w="997" w:type="dxa"/>
            <w:tcBorders/>
            <w:shd w:fill="auto" w:val="clear"/>
            <w:vAlign w:val="bottom"/>
          </w:tcPr>
          <w:p>
            <w:pPr>
              <w:pStyle w:val="TableContents"/>
              <w:spacing w:before="0" w:after="283"/>
              <w:jc w:val="right"/>
            </w:pPr>
            <w:hyperlink r:id="rId2">
              <w:r>
                <w:rPr>
                  <w:rStyle w:val="InternetLink"/>
                </w:rPr>
                <w:t>1</w:t>
              </w:r>
            </w:hyperlink>
            <w:r/>
          </w:p>
        </w:tc>
        <w:tc>
          <w:tcPr>
            <w:tcW w:w="298" w:type="dxa"/>
            <w:tcBorders/>
            <w:shd w:fill="auto" w:val="clear"/>
          </w:tcPr>
          <w:p>
            <w:pPr>
              <w:pStyle w:val="TableContents"/>
              <w:rPr>
                <w:sz w:val="4"/>
                <w:sz w:val="4"/>
                <w:szCs w:val="4"/>
              </w:rPr>
            </w:pPr>
            <w:r>
              <w:rPr>
                <w:sz w:val="4"/>
                <w:szCs w:val="4"/>
              </w:rPr>
            </w:r>
            <w:r/>
          </w:p>
        </w:tc>
      </w:tr>
      <w:tr>
        <w:trPr/>
        <w:tc>
          <w:tcPr>
            <w:tcW w:w="2392" w:type="dxa"/>
            <w:gridSpan w:val="2"/>
            <w:tcBorders/>
            <w:shd w:fill="auto" w:val="clear"/>
          </w:tcPr>
          <w:p>
            <w:pPr>
              <w:pStyle w:val="TableContents"/>
              <w:spacing w:before="0" w:after="283"/>
              <w:rPr/>
            </w:pPr>
            <w:r>
              <w:rPr/>
              <w:t>97/C 372/02</w:t>
            </w:r>
            <w:r/>
          </w:p>
        </w:tc>
        <w:tc>
          <w:tcPr>
            <w:tcW w:w="6284" w:type="dxa"/>
            <w:tcBorders/>
            <w:shd w:fill="auto" w:val="clear"/>
          </w:tcPr>
          <w:p>
            <w:pPr>
              <w:pStyle w:val="TableContents"/>
              <w:spacing w:before="0" w:after="283"/>
              <w:rPr/>
            </w:pPr>
            <w:r>
              <w:rPr/>
              <w:t>LIST OF DOCUMENTS FORWARDED BY THE COMMISSION TO THE COUNCIL DURING THE PERIOD 24 TO 28. 11. 1997</w:t>
            </w:r>
            <w:r/>
          </w:p>
        </w:tc>
        <w:tc>
          <w:tcPr>
            <w:tcW w:w="997" w:type="dxa"/>
            <w:tcBorders/>
            <w:shd w:fill="auto" w:val="clear"/>
            <w:vAlign w:val="bottom"/>
          </w:tcPr>
          <w:p>
            <w:pPr>
              <w:pStyle w:val="TableContents"/>
              <w:spacing w:before="0" w:after="283"/>
              <w:jc w:val="right"/>
            </w:pPr>
            <w:hyperlink r:id="rId3">
              <w:r>
                <w:rPr>
                  <w:rStyle w:val="InternetLink"/>
                </w:rPr>
                <w:t>2</w:t>
              </w:r>
            </w:hyperlink>
            <w:r/>
          </w:p>
        </w:tc>
        <w:tc>
          <w:tcPr>
            <w:tcW w:w="298" w:type="dxa"/>
            <w:tcBorders/>
            <w:shd w:fill="auto" w:val="clear"/>
          </w:tcPr>
          <w:p>
            <w:pPr>
              <w:pStyle w:val="TableContents"/>
              <w:rPr>
                <w:sz w:val="4"/>
                <w:sz w:val="4"/>
                <w:szCs w:val="4"/>
              </w:rPr>
            </w:pPr>
            <w:r>
              <w:rPr>
                <w:sz w:val="4"/>
                <w:szCs w:val="4"/>
              </w:rPr>
            </w:r>
            <w:r/>
          </w:p>
        </w:tc>
      </w:tr>
      <w:tr>
        <w:trPr/>
        <w:tc>
          <w:tcPr>
            <w:tcW w:w="2392" w:type="dxa"/>
            <w:gridSpan w:val="2"/>
            <w:tcBorders/>
            <w:shd w:fill="auto" w:val="clear"/>
          </w:tcPr>
          <w:p>
            <w:pPr>
              <w:pStyle w:val="TableContents"/>
              <w:spacing w:before="0" w:after="283"/>
              <w:rPr/>
            </w:pPr>
            <w:r>
              <w:rPr/>
              <w:t>97/C 372/03</w:t>
            </w:r>
            <w:r/>
          </w:p>
        </w:tc>
        <w:tc>
          <w:tcPr>
            <w:tcW w:w="6284" w:type="dxa"/>
            <w:tcBorders/>
            <w:shd w:fill="auto" w:val="clear"/>
          </w:tcPr>
          <w:p>
            <w:pPr>
              <w:pStyle w:val="TableContents"/>
              <w:spacing w:before="0" w:after="283"/>
              <w:rPr/>
            </w:pPr>
            <w:r>
              <w:rPr/>
              <w:t>Commission Notice on the definition of relevant market for the purposes of Community competition law</w:t>
            </w:r>
            <w:r/>
          </w:p>
        </w:tc>
        <w:tc>
          <w:tcPr>
            <w:tcW w:w="997" w:type="dxa"/>
            <w:tcBorders/>
            <w:shd w:fill="auto" w:val="clear"/>
            <w:vAlign w:val="bottom"/>
          </w:tcPr>
          <w:p>
            <w:pPr>
              <w:pStyle w:val="TableContents"/>
              <w:spacing w:before="0" w:after="283"/>
              <w:jc w:val="right"/>
            </w:pPr>
            <w:hyperlink r:id="rId4">
              <w:r>
                <w:rPr>
                  <w:rStyle w:val="InternetLink"/>
                </w:rPr>
                <w:t>5</w:t>
              </w:r>
            </w:hyperlink>
            <w:r/>
          </w:p>
        </w:tc>
        <w:tc>
          <w:tcPr>
            <w:tcW w:w="298" w:type="dxa"/>
            <w:tcBorders/>
            <w:shd w:fill="auto" w:val="clear"/>
          </w:tcPr>
          <w:p>
            <w:pPr>
              <w:pStyle w:val="TableContents"/>
              <w:rPr>
                <w:sz w:val="4"/>
                <w:sz w:val="4"/>
                <w:szCs w:val="4"/>
              </w:rPr>
            </w:pPr>
            <w:r>
              <w:rPr>
                <w:sz w:val="4"/>
                <w:szCs w:val="4"/>
              </w:rPr>
            </w:r>
            <w:r/>
          </w:p>
        </w:tc>
      </w:tr>
      <w:tr>
        <w:trPr/>
        <w:tc>
          <w:tcPr>
            <w:tcW w:w="2392" w:type="dxa"/>
            <w:gridSpan w:val="2"/>
            <w:tcBorders/>
            <w:shd w:fill="auto" w:val="clear"/>
          </w:tcPr>
          <w:p>
            <w:pPr>
              <w:pStyle w:val="TableContents"/>
              <w:spacing w:before="0" w:after="283"/>
              <w:rPr/>
            </w:pPr>
            <w:r>
              <w:rPr/>
              <w:t>97/C 372/04</w:t>
            </w:r>
            <w:r/>
          </w:p>
        </w:tc>
        <w:tc>
          <w:tcPr>
            <w:tcW w:w="6284" w:type="dxa"/>
            <w:tcBorders/>
            <w:shd w:fill="auto" w:val="clear"/>
          </w:tcPr>
          <w:p>
            <w:pPr>
              <w:pStyle w:val="TableContents"/>
              <w:spacing w:before="0" w:after="283"/>
              <w:rPr/>
            </w:pPr>
            <w:r>
              <w:rPr/>
              <w:t>Notice on agreements of minor importance which do not fall within the meaning of Article 85 (1) of the Treaty establishing the European Community</w:t>
            </w:r>
            <w:r/>
          </w:p>
        </w:tc>
        <w:tc>
          <w:tcPr>
            <w:tcW w:w="997" w:type="dxa"/>
            <w:tcBorders/>
            <w:shd w:fill="auto" w:val="clear"/>
            <w:vAlign w:val="bottom"/>
          </w:tcPr>
          <w:p>
            <w:pPr>
              <w:pStyle w:val="TableContents"/>
              <w:spacing w:before="0" w:after="283"/>
              <w:jc w:val="right"/>
            </w:pPr>
            <w:hyperlink r:id="rId5">
              <w:r>
                <w:rPr>
                  <w:rStyle w:val="InternetLink"/>
                </w:rPr>
                <w:t>13</w:t>
              </w:r>
            </w:hyperlink>
            <w:r/>
          </w:p>
        </w:tc>
        <w:tc>
          <w:tcPr>
            <w:tcW w:w="298" w:type="dxa"/>
            <w:tcBorders/>
            <w:shd w:fill="auto" w:val="clear"/>
          </w:tcPr>
          <w:p>
            <w:pPr>
              <w:pStyle w:val="TableContents"/>
              <w:rPr>
                <w:sz w:val="4"/>
                <w:sz w:val="4"/>
                <w:szCs w:val="4"/>
              </w:rPr>
            </w:pPr>
            <w:r>
              <w:rPr>
                <w:sz w:val="4"/>
                <w:szCs w:val="4"/>
              </w:rPr>
            </w:r>
            <w:r/>
          </w:p>
        </w:tc>
      </w:tr>
      <w:tr>
        <w:trPr/>
        <w:tc>
          <w:tcPr>
            <w:tcW w:w="2392" w:type="dxa"/>
            <w:gridSpan w:val="2"/>
            <w:tcBorders/>
            <w:shd w:fill="auto" w:val="clear"/>
          </w:tcPr>
          <w:p>
            <w:pPr>
              <w:pStyle w:val="TableContents"/>
              <w:spacing w:before="0" w:after="283"/>
              <w:rPr/>
            </w:pPr>
            <w:r>
              <w:rPr/>
              <w:t>97/C 372/05</w:t>
            </w:r>
            <w:r/>
          </w:p>
        </w:tc>
        <w:tc>
          <w:tcPr>
            <w:tcW w:w="6284" w:type="dxa"/>
            <w:tcBorders/>
            <w:shd w:fill="auto" w:val="clear"/>
          </w:tcPr>
          <w:p>
            <w:pPr>
              <w:pStyle w:val="TableContents"/>
              <w:spacing w:before="0" w:after="283"/>
              <w:rPr/>
            </w:pPr>
            <w:r>
              <w:rPr/>
              <w:t>OPINION of the Advisory Committee on Concentrations given at the 45th meeting on 9 April 1997 concerning a preliminary draft decision relating to Case No IV/M.856 - British Telecom/MCI</w:t>
            </w:r>
            <w:r/>
          </w:p>
        </w:tc>
        <w:tc>
          <w:tcPr>
            <w:tcW w:w="997" w:type="dxa"/>
            <w:tcBorders/>
            <w:shd w:fill="auto" w:val="clear"/>
            <w:vAlign w:val="bottom"/>
          </w:tcPr>
          <w:p>
            <w:pPr>
              <w:pStyle w:val="TableContents"/>
              <w:spacing w:before="0" w:after="283"/>
              <w:jc w:val="right"/>
            </w:pPr>
            <w:hyperlink r:id="rId6">
              <w:r>
                <w:rPr>
                  <w:rStyle w:val="InternetLink"/>
                </w:rPr>
                <w:t>16</w:t>
              </w:r>
            </w:hyperlink>
            <w:r/>
          </w:p>
        </w:tc>
        <w:tc>
          <w:tcPr>
            <w:tcW w:w="298" w:type="dxa"/>
            <w:tcBorders/>
            <w:shd w:fill="auto" w:val="clear"/>
          </w:tcPr>
          <w:p>
            <w:pPr>
              <w:pStyle w:val="TableContents"/>
              <w:rPr>
                <w:sz w:val="4"/>
                <w:sz w:val="4"/>
                <w:szCs w:val="4"/>
              </w:rPr>
            </w:pPr>
            <w:r>
              <w:rPr>
                <w:sz w:val="4"/>
                <w:szCs w:val="4"/>
              </w:rPr>
            </w:r>
            <w:r/>
          </w:p>
        </w:tc>
      </w:tr>
      <w:tr>
        <w:trPr/>
        <w:tc>
          <w:tcPr>
            <w:tcW w:w="2392" w:type="dxa"/>
            <w:gridSpan w:val="2"/>
            <w:tcBorders/>
            <w:shd w:fill="auto" w:val="clear"/>
          </w:tcPr>
          <w:p>
            <w:pPr>
              <w:pStyle w:val="TableContents"/>
              <w:spacing w:before="0" w:after="283"/>
              <w:rPr/>
            </w:pPr>
            <w:r>
              <w:rPr/>
              <w:t>97/C 372/06</w:t>
            </w:r>
            <w:r/>
          </w:p>
        </w:tc>
        <w:tc>
          <w:tcPr>
            <w:tcW w:w="6284" w:type="dxa"/>
            <w:tcBorders/>
            <w:shd w:fill="auto" w:val="clear"/>
          </w:tcPr>
          <w:p>
            <w:pPr>
              <w:pStyle w:val="TableContents"/>
              <w:spacing w:before="0" w:after="283"/>
              <w:rPr/>
            </w:pPr>
            <w:r>
              <w:rPr/>
              <w:t>OPINION of the Advisory Committee on Concentrations given at the 47th meeting on 4 July 1997 concerning a preliminary draft decision relating to Case No IV/M.877 - Boeing/McDonnell Douglas</w:t>
            </w:r>
            <w:r/>
          </w:p>
        </w:tc>
        <w:tc>
          <w:tcPr>
            <w:tcW w:w="997" w:type="dxa"/>
            <w:tcBorders/>
            <w:shd w:fill="auto" w:val="clear"/>
            <w:vAlign w:val="bottom"/>
          </w:tcPr>
          <w:p>
            <w:pPr>
              <w:pStyle w:val="TableContents"/>
              <w:spacing w:before="0" w:after="283"/>
              <w:jc w:val="right"/>
            </w:pPr>
            <w:hyperlink r:id="rId7">
              <w:r>
                <w:rPr>
                  <w:rStyle w:val="InternetLink"/>
                </w:rPr>
                <w:t>17</w:t>
              </w:r>
            </w:hyperlink>
            <w:r/>
          </w:p>
        </w:tc>
        <w:tc>
          <w:tcPr>
            <w:tcW w:w="298" w:type="dxa"/>
            <w:tcBorders/>
            <w:shd w:fill="auto" w:val="clear"/>
          </w:tcPr>
          <w:p>
            <w:pPr>
              <w:pStyle w:val="TableContents"/>
              <w:rPr>
                <w:sz w:val="4"/>
                <w:sz w:val="4"/>
                <w:szCs w:val="4"/>
              </w:rPr>
            </w:pPr>
            <w:r>
              <w:rPr>
                <w:sz w:val="4"/>
                <w:szCs w:val="4"/>
              </w:rPr>
            </w:r>
            <w:r/>
          </w:p>
        </w:tc>
      </w:tr>
      <w:tr>
        <w:trPr/>
        <w:tc>
          <w:tcPr>
            <w:tcW w:w="2392" w:type="dxa"/>
            <w:gridSpan w:val="2"/>
            <w:tcBorders/>
            <w:shd w:fill="auto" w:val="clear"/>
          </w:tcPr>
          <w:p>
            <w:pPr>
              <w:pStyle w:val="TableContents"/>
              <w:spacing w:before="0" w:after="283"/>
              <w:rPr/>
            </w:pPr>
            <w:r>
              <w:rPr/>
              <w:t>97/C 372/07</w:t>
            </w:r>
            <w:r/>
          </w:p>
        </w:tc>
        <w:tc>
          <w:tcPr>
            <w:tcW w:w="6284" w:type="dxa"/>
            <w:tcBorders/>
            <w:shd w:fill="auto" w:val="clear"/>
          </w:tcPr>
          <w:p>
            <w:pPr>
              <w:pStyle w:val="TableContents"/>
              <w:spacing w:before="0" w:after="283"/>
              <w:rPr/>
            </w:pPr>
            <w:r>
              <w:rPr/>
              <w:t>OPINION of the Advisory Committee on Concentrations given at the 47th meeting - supplementary session on 16 July 1997 concerning a preliminary draft decision relating to Case No IV/M.877 - Boeing/McDonnell Douglas</w:t>
            </w:r>
            <w:r/>
          </w:p>
        </w:tc>
        <w:tc>
          <w:tcPr>
            <w:tcW w:w="997" w:type="dxa"/>
            <w:tcBorders/>
            <w:shd w:fill="auto" w:val="clear"/>
            <w:vAlign w:val="bottom"/>
          </w:tcPr>
          <w:p>
            <w:pPr>
              <w:pStyle w:val="TableContents"/>
              <w:spacing w:before="0" w:after="283"/>
              <w:jc w:val="right"/>
            </w:pPr>
            <w:hyperlink r:id="rId8">
              <w:r>
                <w:rPr>
                  <w:rStyle w:val="InternetLink"/>
                </w:rPr>
                <w:t>18</w:t>
              </w:r>
            </w:hyperlink>
            <w:r/>
          </w:p>
        </w:tc>
        <w:tc>
          <w:tcPr>
            <w:tcW w:w="298" w:type="dxa"/>
            <w:tcBorders/>
            <w:shd w:fill="auto" w:val="clear"/>
          </w:tcPr>
          <w:p>
            <w:pPr>
              <w:pStyle w:val="TableContents"/>
              <w:rPr>
                <w:sz w:val="4"/>
                <w:sz w:val="4"/>
                <w:szCs w:val="4"/>
              </w:rPr>
            </w:pPr>
            <w:r>
              <w:rPr>
                <w:sz w:val="4"/>
                <w:szCs w:val="4"/>
              </w:rPr>
            </w:r>
            <w:r/>
          </w:p>
        </w:tc>
      </w:tr>
      <w:tr>
        <w:trPr/>
        <w:tc>
          <w:tcPr>
            <w:tcW w:w="2392" w:type="dxa"/>
            <w:gridSpan w:val="2"/>
            <w:tcBorders/>
            <w:shd w:fill="auto" w:val="clear"/>
          </w:tcPr>
          <w:p>
            <w:pPr>
              <w:pStyle w:val="TableContents"/>
              <w:spacing w:before="0" w:after="283"/>
              <w:rPr/>
            </w:pPr>
            <w:r>
              <w:rPr/>
              <w:t>97/C 372/08</w:t>
            </w:r>
            <w:r/>
          </w:p>
        </w:tc>
        <w:tc>
          <w:tcPr>
            <w:tcW w:w="6284" w:type="dxa"/>
            <w:tcBorders/>
            <w:shd w:fill="auto" w:val="clear"/>
          </w:tcPr>
          <w:p>
            <w:pPr>
              <w:pStyle w:val="TableContents"/>
              <w:spacing w:before="0" w:after="283"/>
              <w:rPr/>
            </w:pPr>
            <w:r>
              <w:rPr/>
              <w:t>OPINION of the Advisory Committee on Concentrations given at the 47th meeting - second supplementary session on 25 July 1997 concerning a preliminary draft decision relating to Case No IV/M.877 - Boeing/McDonnell Douglas</w:t>
            </w:r>
            <w:r/>
          </w:p>
        </w:tc>
        <w:tc>
          <w:tcPr>
            <w:tcW w:w="997" w:type="dxa"/>
            <w:tcBorders/>
            <w:shd w:fill="auto" w:val="clear"/>
            <w:vAlign w:val="bottom"/>
          </w:tcPr>
          <w:p>
            <w:pPr>
              <w:pStyle w:val="TableContents"/>
              <w:spacing w:before="0" w:after="283"/>
              <w:jc w:val="right"/>
            </w:pPr>
            <w:hyperlink r:id="rId9">
              <w:r>
                <w:rPr>
                  <w:rStyle w:val="InternetLink"/>
                </w:rPr>
                <w:t>18</w:t>
              </w:r>
            </w:hyperlink>
            <w:r/>
          </w:p>
        </w:tc>
        <w:tc>
          <w:tcPr>
            <w:tcW w:w="298" w:type="dxa"/>
            <w:tcBorders/>
            <w:shd w:fill="auto" w:val="clear"/>
          </w:tcPr>
          <w:p>
            <w:pPr>
              <w:pStyle w:val="TableContents"/>
              <w:rPr>
                <w:sz w:val="4"/>
                <w:sz w:val="4"/>
                <w:szCs w:val="4"/>
              </w:rPr>
            </w:pPr>
            <w:r>
              <w:rPr>
                <w:sz w:val="4"/>
                <w:szCs w:val="4"/>
              </w:rPr>
            </w:r>
            <w:r/>
          </w:p>
        </w:tc>
      </w:tr>
      <w:tr>
        <w:trPr/>
        <w:tc>
          <w:tcPr>
            <w:tcW w:w="2392" w:type="dxa"/>
            <w:gridSpan w:val="2"/>
            <w:tcBorders/>
            <w:shd w:fill="auto" w:val="clear"/>
          </w:tcPr>
          <w:p>
            <w:pPr>
              <w:pStyle w:val="TableContents"/>
              <w:spacing w:before="0" w:after="283"/>
              <w:rPr/>
            </w:pPr>
            <w:r>
              <w:rPr/>
              <w:t>97/C 372/09</w:t>
            </w:r>
            <w:r/>
          </w:p>
        </w:tc>
        <w:tc>
          <w:tcPr>
            <w:tcW w:w="6284" w:type="dxa"/>
            <w:tcBorders/>
            <w:shd w:fill="auto" w:val="clear"/>
          </w:tcPr>
          <w:p>
            <w:pPr>
              <w:pStyle w:val="TableContents"/>
              <w:spacing w:before="0" w:after="283"/>
              <w:rPr/>
            </w:pPr>
            <w:r>
              <w:rPr/>
              <w:t>Prior notification of a concentration (Case No IV/M.1042 - Eastman Kodak/Sun Chemical)</w:t>
            </w:r>
            <w:r/>
          </w:p>
        </w:tc>
        <w:tc>
          <w:tcPr>
            <w:tcW w:w="997" w:type="dxa"/>
            <w:tcBorders/>
            <w:shd w:fill="auto" w:val="clear"/>
            <w:vAlign w:val="bottom"/>
          </w:tcPr>
          <w:p>
            <w:pPr>
              <w:pStyle w:val="TableContents"/>
              <w:spacing w:before="0" w:after="283"/>
              <w:jc w:val="right"/>
            </w:pPr>
            <w:hyperlink r:id="rId10">
              <w:r>
                <w:rPr>
                  <w:rStyle w:val="InternetLink"/>
                </w:rPr>
                <w:t>19</w:t>
              </w:r>
            </w:hyperlink>
            <w:r/>
          </w:p>
        </w:tc>
        <w:tc>
          <w:tcPr>
            <w:tcW w:w="298" w:type="dxa"/>
            <w:tcBorders/>
            <w:shd w:fill="auto" w:val="clear"/>
          </w:tcPr>
          <w:p>
            <w:pPr>
              <w:pStyle w:val="TableContents"/>
              <w:rPr>
                <w:sz w:val="4"/>
                <w:sz w:val="4"/>
                <w:szCs w:val="4"/>
              </w:rPr>
            </w:pPr>
            <w:r>
              <w:rPr>
                <w:sz w:val="4"/>
                <w:szCs w:val="4"/>
              </w:rPr>
            </w:r>
            <w:r/>
          </w:p>
        </w:tc>
      </w:tr>
      <w:tr>
        <w:trPr/>
        <w:tc>
          <w:tcPr>
            <w:tcW w:w="2392" w:type="dxa"/>
            <w:gridSpan w:val="2"/>
            <w:tcBorders/>
            <w:shd w:fill="auto" w:val="clear"/>
          </w:tcPr>
          <w:p>
            <w:pPr>
              <w:pStyle w:val="TableContents"/>
              <w:spacing w:before="0" w:after="283"/>
              <w:rPr/>
            </w:pPr>
            <w:r>
              <w:rPr/>
              <w:t>97/C 372/10</w:t>
            </w:r>
            <w:r/>
          </w:p>
        </w:tc>
        <w:tc>
          <w:tcPr>
            <w:tcW w:w="6284" w:type="dxa"/>
            <w:tcBorders/>
            <w:shd w:fill="auto" w:val="clear"/>
          </w:tcPr>
          <w:p>
            <w:pPr>
              <w:pStyle w:val="TableContents"/>
              <w:spacing w:before="0" w:after="283"/>
              <w:rPr/>
            </w:pPr>
            <w:r>
              <w:rPr/>
              <w:t>COMMISSION DECISION of 22/09/1997 declaring a concentration to be compatible with the common market (Case No IV/M.967 - KLM/AIR UK) according to Council Regulation (EEC) No 4064/89 (Only the English text is authentic)</w:t>
            </w:r>
            <w:r/>
          </w:p>
        </w:tc>
        <w:tc>
          <w:tcPr>
            <w:tcW w:w="997" w:type="dxa"/>
            <w:tcBorders/>
            <w:shd w:fill="auto" w:val="clear"/>
            <w:vAlign w:val="bottom"/>
          </w:tcPr>
          <w:p>
            <w:pPr>
              <w:pStyle w:val="TableContents"/>
              <w:spacing w:before="0" w:after="283"/>
              <w:jc w:val="right"/>
            </w:pPr>
            <w:hyperlink r:id="rId11">
              <w:r>
                <w:rPr>
                  <w:rStyle w:val="InternetLink"/>
                </w:rPr>
                <w:t>20</w:t>
              </w:r>
            </w:hyperlink>
            <w:r/>
          </w:p>
        </w:tc>
        <w:tc>
          <w:tcPr>
            <w:tcW w:w="298" w:type="dxa"/>
            <w:tcBorders/>
            <w:shd w:fill="auto" w:val="clear"/>
          </w:tcPr>
          <w:p>
            <w:pPr>
              <w:pStyle w:val="TableContents"/>
              <w:rPr>
                <w:sz w:val="4"/>
                <w:sz w:val="4"/>
                <w:szCs w:val="4"/>
              </w:rPr>
            </w:pPr>
            <w:r>
              <w:rPr>
                <w:sz w:val="4"/>
                <w:szCs w:val="4"/>
              </w:rPr>
            </w:r>
            <w:r/>
          </w:p>
        </w:tc>
      </w:tr>
      <w:tr>
        <w:trPr/>
        <w:tc>
          <w:tcPr>
            <w:tcW w:w="2094" w:type="dxa"/>
            <w:tcBorders/>
            <w:shd w:fill="auto" w:val="clear"/>
            <w:vAlign w:val="center"/>
          </w:tcPr>
          <w:p>
            <w:pPr>
              <w:pStyle w:val="TableContents"/>
            </w:pPr>
            <w:r>
              <w:rPr/>
              <w:t> </w:t>
            </w:r>
            <w:r/>
          </w:p>
        </w:tc>
        <w:tc>
          <w:tcPr>
            <w:tcW w:w="7877" w:type="dxa"/>
            <w:gridSpan w:val="4"/>
            <w:tcBorders/>
            <w:shd w:fill="auto" w:val="clear"/>
            <w:vAlign w:val="center"/>
          </w:tcPr>
          <w:p>
            <w:pPr>
              <w:pStyle w:val="HorizontalLine"/>
              <w:suppressLineNumbers/>
              <w:pBdr>
                <w:bottom w:val="double" w:sz="2" w:space="0" w:color="808080"/>
              </w:pBdr>
              <w:spacing w:before="0" w:after="283"/>
            </w:pPr>
            <w:r>
              <w:rPr/>
            </w:r>
            <w:r/>
          </w:p>
        </w:tc>
      </w:tr>
      <w:tr>
        <w:trPr/>
        <w:tc>
          <w:tcPr>
            <w:tcW w:w="2094" w:type="dxa"/>
            <w:tcBorders/>
            <w:shd w:fill="auto" w:val="clear"/>
          </w:tcPr>
          <w:p>
            <w:pPr>
              <w:pStyle w:val="TableContents"/>
            </w:pPr>
            <w:r>
              <w:rPr/>
              <w:t> </w:t>
            </w:r>
            <w:r/>
          </w:p>
        </w:tc>
        <w:tc>
          <w:tcPr>
            <w:tcW w:w="298" w:type="dxa"/>
            <w:tcBorders/>
            <w:shd w:fill="auto" w:val="clear"/>
            <w:vAlign w:val="center"/>
          </w:tcPr>
          <w:p>
            <w:pPr>
              <w:pStyle w:val="TableContents"/>
            </w:pPr>
            <w:r>
              <w:rPr/>
              <w:t> </w:t>
            </w:r>
            <w:r/>
          </w:p>
        </w:tc>
        <w:tc>
          <w:tcPr>
            <w:tcW w:w="6284" w:type="dxa"/>
            <w:tcBorders/>
            <w:shd w:fill="auto" w:val="clear"/>
            <w:vAlign w:val="center"/>
          </w:tcPr>
          <w:p>
            <w:pPr>
              <w:pStyle w:val="TableContents"/>
              <w:spacing w:before="0" w:after="315"/>
              <w:jc w:val="left"/>
            </w:pPr>
            <w:r>
              <w:rPr/>
              <w:t>II </w:t>
            </w:r>
            <w:r>
              <w:rPr>
                <w:rStyle w:val="Emphasis"/>
              </w:rPr>
              <w:t>Preparatory Acts</w:t>
            </w:r>
            <w:r/>
          </w:p>
        </w:tc>
        <w:tc>
          <w:tcPr>
            <w:tcW w:w="997" w:type="dxa"/>
            <w:tcBorders/>
            <w:shd w:fill="auto" w:val="clear"/>
            <w:vAlign w:val="center"/>
          </w:tcPr>
          <w:p>
            <w:pPr>
              <w:pStyle w:val="TableContents"/>
            </w:pPr>
            <w:r>
              <w:rPr/>
              <w:t> </w:t>
            </w:r>
            <w:r/>
          </w:p>
        </w:tc>
        <w:tc>
          <w:tcPr>
            <w:tcW w:w="298" w:type="dxa"/>
            <w:tcBorders/>
            <w:shd w:fill="auto" w:val="clear"/>
          </w:tcPr>
          <w:p>
            <w:pPr>
              <w:pStyle w:val="TableContents"/>
              <w:rPr>
                <w:sz w:val="4"/>
                <w:sz w:val="4"/>
                <w:szCs w:val="4"/>
              </w:rPr>
            </w:pPr>
            <w:r>
              <w:rPr>
                <w:sz w:val="4"/>
                <w:szCs w:val="4"/>
              </w:rPr>
            </w:r>
            <w:r/>
          </w:p>
        </w:tc>
      </w:tr>
      <w:tr>
        <w:trPr/>
        <w:tc>
          <w:tcPr>
            <w:tcW w:w="2094" w:type="dxa"/>
            <w:tcBorders/>
            <w:shd w:fill="auto" w:val="clear"/>
            <w:vAlign w:val="center"/>
          </w:tcPr>
          <w:p>
            <w:pPr>
              <w:pStyle w:val="TableContents"/>
            </w:pPr>
            <w:r>
              <w:rPr/>
              <w:t> </w:t>
            </w:r>
            <w:r/>
          </w:p>
        </w:tc>
        <w:tc>
          <w:tcPr>
            <w:tcW w:w="298" w:type="dxa"/>
            <w:tcBorders/>
            <w:shd w:fill="auto" w:val="clear"/>
            <w:vAlign w:val="center"/>
          </w:tcPr>
          <w:p>
            <w:pPr>
              <w:pStyle w:val="TableContents"/>
            </w:pPr>
            <w:r>
              <w:rPr/>
              <w:t> </w:t>
            </w:r>
            <w:r/>
          </w:p>
        </w:tc>
        <w:tc>
          <w:tcPr>
            <w:tcW w:w="6284" w:type="dxa"/>
            <w:tcBorders/>
            <w:shd w:fill="auto" w:val="clear"/>
            <w:vAlign w:val="center"/>
          </w:tcPr>
          <w:p>
            <w:pPr>
              <w:pStyle w:val="TableContents"/>
              <w:spacing w:before="0" w:after="283"/>
              <w:jc w:val="left"/>
            </w:pPr>
            <w:r>
              <w:rPr>
                <w:rStyle w:val="StrongEmphasis"/>
              </w:rPr>
              <w:t>Commission</w:t>
            </w:r>
            <w:r/>
          </w:p>
        </w:tc>
        <w:tc>
          <w:tcPr>
            <w:tcW w:w="1295" w:type="dxa"/>
            <w:gridSpan w:val="2"/>
            <w:tcBorders/>
            <w:shd w:fill="auto" w:val="clear"/>
          </w:tcPr>
          <w:p>
            <w:pPr>
              <w:pStyle w:val="TableContents"/>
              <w:rPr>
                <w:sz w:val="4"/>
                <w:sz w:val="4"/>
                <w:szCs w:val="4"/>
              </w:rPr>
            </w:pPr>
            <w:r>
              <w:rPr>
                <w:sz w:val="4"/>
                <w:szCs w:val="4"/>
              </w:rPr>
            </w:r>
            <w:r/>
          </w:p>
        </w:tc>
      </w:tr>
      <w:tr>
        <w:trPr/>
        <w:tc>
          <w:tcPr>
            <w:tcW w:w="2392" w:type="dxa"/>
            <w:gridSpan w:val="2"/>
            <w:tcBorders/>
            <w:shd w:fill="auto" w:val="clear"/>
          </w:tcPr>
          <w:p>
            <w:pPr>
              <w:pStyle w:val="TableContents"/>
              <w:spacing w:before="0" w:after="283"/>
              <w:rPr/>
            </w:pPr>
            <w:r>
              <w:rPr/>
              <w:t>97/C 372/11</w:t>
            </w:r>
            <w:r/>
          </w:p>
        </w:tc>
        <w:tc>
          <w:tcPr>
            <w:tcW w:w="6284" w:type="dxa"/>
            <w:tcBorders/>
            <w:shd w:fill="auto" w:val="clear"/>
          </w:tcPr>
          <w:p>
            <w:pPr>
              <w:pStyle w:val="TableContents"/>
              <w:spacing w:before="0" w:after="283"/>
              <w:rPr/>
            </w:pPr>
            <w:r>
              <w:rPr/>
              <w:t>Proposal for a Council Directive on the list of less- favoured farming areas within the meaning of Regulation (EC) No 950/97 (Denmark)</w:t>
            </w:r>
            <w:r/>
          </w:p>
        </w:tc>
        <w:tc>
          <w:tcPr>
            <w:tcW w:w="997" w:type="dxa"/>
            <w:tcBorders/>
            <w:shd w:fill="auto" w:val="clear"/>
            <w:vAlign w:val="bottom"/>
          </w:tcPr>
          <w:p>
            <w:pPr>
              <w:pStyle w:val="TableContents"/>
              <w:spacing w:before="0" w:after="283"/>
              <w:jc w:val="right"/>
            </w:pPr>
            <w:hyperlink r:id="rId12">
              <w:r>
                <w:rPr>
                  <w:rStyle w:val="InternetLink"/>
                </w:rPr>
                <w:t>21</w:t>
              </w:r>
            </w:hyperlink>
            <w:r/>
          </w:p>
        </w:tc>
        <w:tc>
          <w:tcPr>
            <w:tcW w:w="298" w:type="dxa"/>
            <w:tcBorders/>
            <w:shd w:fill="auto" w:val="clear"/>
          </w:tcPr>
          <w:p>
            <w:pPr>
              <w:pStyle w:val="TableContents"/>
              <w:rPr>
                <w:sz w:val="4"/>
                <w:sz w:val="4"/>
                <w:szCs w:val="4"/>
              </w:rPr>
            </w:pPr>
            <w:r>
              <w:rPr>
                <w:sz w:val="4"/>
                <w:szCs w:val="4"/>
              </w:rPr>
            </w:r>
            <w:r/>
          </w:p>
        </w:tc>
      </w:tr>
      <w:tr>
        <w:trPr/>
        <w:tc>
          <w:tcPr>
            <w:tcW w:w="2094" w:type="dxa"/>
            <w:tcBorders/>
            <w:shd w:fill="auto" w:val="clear"/>
            <w:vAlign w:val="center"/>
          </w:tcPr>
          <w:p>
            <w:pPr>
              <w:pStyle w:val="TableContents"/>
            </w:pPr>
            <w:r>
              <w:rPr/>
              <w:t> </w:t>
            </w:r>
            <w:r/>
          </w:p>
        </w:tc>
        <w:tc>
          <w:tcPr>
            <w:tcW w:w="7877" w:type="dxa"/>
            <w:gridSpan w:val="4"/>
            <w:tcBorders/>
            <w:shd w:fill="auto" w:val="clear"/>
            <w:vAlign w:val="center"/>
          </w:tcPr>
          <w:p>
            <w:pPr>
              <w:pStyle w:val="HorizontalLine"/>
              <w:suppressLineNumbers/>
              <w:pBdr>
                <w:bottom w:val="double" w:sz="2" w:space="0" w:color="808080"/>
              </w:pBdr>
              <w:spacing w:before="0" w:after="283"/>
            </w:pPr>
            <w:r>
              <w:rPr/>
            </w:r>
            <w:r/>
          </w:p>
        </w:tc>
      </w:tr>
      <w:tr>
        <w:trPr/>
        <w:tc>
          <w:tcPr>
            <w:tcW w:w="2094" w:type="dxa"/>
            <w:tcBorders/>
            <w:shd w:fill="auto" w:val="clear"/>
          </w:tcPr>
          <w:p>
            <w:pPr>
              <w:pStyle w:val="TableContents"/>
            </w:pPr>
            <w:r>
              <w:rPr/>
              <w:t> </w:t>
            </w:r>
            <w:r/>
          </w:p>
        </w:tc>
        <w:tc>
          <w:tcPr>
            <w:tcW w:w="298" w:type="dxa"/>
            <w:tcBorders/>
            <w:shd w:fill="auto" w:val="clear"/>
            <w:vAlign w:val="center"/>
          </w:tcPr>
          <w:p>
            <w:pPr>
              <w:pStyle w:val="TableContents"/>
            </w:pPr>
            <w:r>
              <w:rPr/>
              <w:t> </w:t>
            </w:r>
            <w:r/>
          </w:p>
        </w:tc>
        <w:tc>
          <w:tcPr>
            <w:tcW w:w="6284" w:type="dxa"/>
            <w:tcBorders/>
            <w:shd w:fill="auto" w:val="clear"/>
            <w:vAlign w:val="center"/>
          </w:tcPr>
          <w:p>
            <w:pPr>
              <w:pStyle w:val="TableContents"/>
              <w:spacing w:before="0" w:after="315"/>
              <w:jc w:val="left"/>
            </w:pPr>
            <w:r>
              <w:rPr/>
              <w:t>III </w:t>
            </w:r>
            <w:r>
              <w:rPr>
                <w:rStyle w:val="Emphasis"/>
              </w:rPr>
              <w:t>Notices</w:t>
            </w:r>
            <w:r/>
          </w:p>
        </w:tc>
        <w:tc>
          <w:tcPr>
            <w:tcW w:w="997" w:type="dxa"/>
            <w:tcBorders/>
            <w:shd w:fill="auto" w:val="clear"/>
            <w:vAlign w:val="center"/>
          </w:tcPr>
          <w:p>
            <w:pPr>
              <w:pStyle w:val="TableContents"/>
            </w:pPr>
            <w:r>
              <w:rPr/>
              <w:t> </w:t>
            </w:r>
            <w:r/>
          </w:p>
        </w:tc>
        <w:tc>
          <w:tcPr>
            <w:tcW w:w="298" w:type="dxa"/>
            <w:tcBorders/>
            <w:shd w:fill="auto" w:val="clear"/>
          </w:tcPr>
          <w:p>
            <w:pPr>
              <w:pStyle w:val="TableContents"/>
              <w:rPr>
                <w:sz w:val="4"/>
                <w:sz w:val="4"/>
                <w:szCs w:val="4"/>
              </w:rPr>
            </w:pPr>
            <w:r>
              <w:rPr>
                <w:sz w:val="4"/>
                <w:szCs w:val="4"/>
              </w:rPr>
            </w:r>
            <w:r/>
          </w:p>
        </w:tc>
      </w:tr>
      <w:tr>
        <w:trPr/>
        <w:tc>
          <w:tcPr>
            <w:tcW w:w="2094" w:type="dxa"/>
            <w:tcBorders/>
            <w:shd w:fill="auto" w:val="clear"/>
            <w:vAlign w:val="center"/>
          </w:tcPr>
          <w:p>
            <w:pPr>
              <w:pStyle w:val="TableContents"/>
            </w:pPr>
            <w:r>
              <w:rPr/>
              <w:t> </w:t>
            </w:r>
            <w:r/>
          </w:p>
        </w:tc>
        <w:tc>
          <w:tcPr>
            <w:tcW w:w="298" w:type="dxa"/>
            <w:tcBorders/>
            <w:shd w:fill="auto" w:val="clear"/>
            <w:vAlign w:val="center"/>
          </w:tcPr>
          <w:p>
            <w:pPr>
              <w:pStyle w:val="TableContents"/>
            </w:pPr>
            <w:r>
              <w:rPr/>
              <w:t> </w:t>
            </w:r>
            <w:r/>
          </w:p>
        </w:tc>
        <w:tc>
          <w:tcPr>
            <w:tcW w:w="6284" w:type="dxa"/>
            <w:tcBorders/>
            <w:shd w:fill="auto" w:val="clear"/>
            <w:vAlign w:val="center"/>
          </w:tcPr>
          <w:p>
            <w:pPr>
              <w:pStyle w:val="TableContents"/>
              <w:spacing w:before="0" w:after="283"/>
              <w:jc w:val="left"/>
            </w:pPr>
            <w:r>
              <w:rPr>
                <w:rStyle w:val="StrongEmphasis"/>
              </w:rPr>
              <w:t>Commission</w:t>
            </w:r>
            <w:r/>
          </w:p>
        </w:tc>
        <w:tc>
          <w:tcPr>
            <w:tcW w:w="1295" w:type="dxa"/>
            <w:gridSpan w:val="2"/>
            <w:tcBorders/>
            <w:shd w:fill="auto" w:val="clear"/>
          </w:tcPr>
          <w:p>
            <w:pPr>
              <w:pStyle w:val="TableContents"/>
              <w:rPr>
                <w:sz w:val="4"/>
                <w:sz w:val="4"/>
                <w:szCs w:val="4"/>
              </w:rPr>
            </w:pPr>
            <w:r>
              <w:rPr>
                <w:sz w:val="4"/>
                <w:szCs w:val="4"/>
              </w:rPr>
            </w:r>
            <w:r/>
          </w:p>
        </w:tc>
      </w:tr>
      <w:tr>
        <w:trPr/>
        <w:tc>
          <w:tcPr>
            <w:tcW w:w="2392" w:type="dxa"/>
            <w:gridSpan w:val="2"/>
            <w:tcBorders/>
            <w:shd w:fill="auto" w:val="clear"/>
          </w:tcPr>
          <w:p>
            <w:pPr>
              <w:pStyle w:val="TableContents"/>
              <w:spacing w:before="0" w:after="283"/>
              <w:rPr/>
            </w:pPr>
            <w:r>
              <w:rPr/>
              <w:t>97/C 372/12</w:t>
            </w:r>
            <w:r/>
          </w:p>
        </w:tc>
        <w:tc>
          <w:tcPr>
            <w:tcW w:w="6284" w:type="dxa"/>
            <w:tcBorders/>
            <w:shd w:fill="auto" w:val="clear"/>
          </w:tcPr>
          <w:p>
            <w:pPr>
              <w:pStyle w:val="TableContents"/>
              <w:spacing w:before="0" w:after="283"/>
              <w:rPr/>
            </w:pPr>
            <w:r>
              <w:rPr/>
              <w:t>Proposals (DG XXII/37/97) pursuant to the Leonardo da Vinci programme</w:t>
            </w:r>
            <w:r/>
          </w:p>
        </w:tc>
        <w:tc>
          <w:tcPr>
            <w:tcW w:w="997" w:type="dxa"/>
            <w:tcBorders/>
            <w:shd w:fill="auto" w:val="clear"/>
            <w:vAlign w:val="bottom"/>
          </w:tcPr>
          <w:p>
            <w:pPr>
              <w:pStyle w:val="TableContents"/>
              <w:spacing w:before="0" w:after="283"/>
              <w:jc w:val="right"/>
            </w:pPr>
            <w:hyperlink r:id="rId13">
              <w:r>
                <w:rPr>
                  <w:rStyle w:val="InternetLink"/>
                </w:rPr>
                <w:t>23</w:t>
              </w:r>
            </w:hyperlink>
            <w:r/>
          </w:p>
        </w:tc>
        <w:tc>
          <w:tcPr>
            <w:tcW w:w="298" w:type="dxa"/>
            <w:tcBorders/>
            <w:shd w:fill="auto" w:val="clear"/>
          </w:tcPr>
          <w:p>
            <w:pPr>
              <w:pStyle w:val="TableContents"/>
              <w:rPr>
                <w:sz w:val="4"/>
                <w:sz w:val="4"/>
                <w:szCs w:val="4"/>
              </w:rPr>
            </w:pPr>
            <w:r>
              <w:rPr>
                <w:sz w:val="4"/>
                <w:szCs w:val="4"/>
              </w:rPr>
            </w:r>
            <w:r/>
          </w:p>
        </w:tc>
      </w:tr>
      <w:tr>
        <w:trPr/>
        <w:tc>
          <w:tcPr>
            <w:tcW w:w="2392" w:type="dxa"/>
            <w:gridSpan w:val="2"/>
            <w:tcBorders/>
            <w:shd w:fill="auto" w:val="clear"/>
          </w:tcPr>
          <w:p>
            <w:pPr>
              <w:pStyle w:val="TableContents"/>
              <w:spacing w:before="0" w:after="283"/>
              <w:rPr/>
            </w:pPr>
            <w:r>
              <w:rPr/>
              <w:t>97/C 372/13</w:t>
            </w:r>
            <w:r/>
          </w:p>
        </w:tc>
        <w:tc>
          <w:tcPr>
            <w:tcW w:w="6284" w:type="dxa"/>
            <w:tcBorders/>
            <w:shd w:fill="auto" w:val="clear"/>
          </w:tcPr>
          <w:p>
            <w:pPr>
              <w:pStyle w:val="TableContents"/>
              <w:spacing w:before="0" w:after="283"/>
              <w:rPr/>
            </w:pPr>
            <w:r>
              <w:rPr/>
              <w:t>Outcome of the invitation to tender (Community food aid)</w:t>
            </w:r>
            <w:r/>
          </w:p>
        </w:tc>
        <w:tc>
          <w:tcPr>
            <w:tcW w:w="997" w:type="dxa"/>
            <w:tcBorders/>
            <w:shd w:fill="auto" w:val="clear"/>
            <w:vAlign w:val="bottom"/>
          </w:tcPr>
          <w:p>
            <w:pPr>
              <w:pStyle w:val="TableContents"/>
              <w:spacing w:before="0" w:after="283"/>
              <w:jc w:val="right"/>
            </w:pPr>
            <w:hyperlink r:id="rId14">
              <w:r>
                <w:rPr>
                  <w:rStyle w:val="InternetLink"/>
                </w:rPr>
                <w:t>39</w:t>
              </w:r>
            </w:hyperlink>
            <w:r/>
          </w:p>
        </w:tc>
        <w:tc>
          <w:tcPr>
            <w:tcW w:w="298" w:type="dxa"/>
            <w:tcBorders/>
            <w:shd w:fill="auto" w:val="clear"/>
          </w:tcPr>
          <w:p>
            <w:pPr>
              <w:pStyle w:val="TableContents"/>
              <w:rPr>
                <w:sz w:val="4"/>
                <w:sz w:val="4"/>
                <w:szCs w:val="4"/>
              </w:rPr>
            </w:pPr>
            <w:r>
              <w:rPr>
                <w:sz w:val="4"/>
                <w:szCs w:val="4"/>
              </w:rPr>
            </w:r>
            <w:r/>
          </w:p>
        </w:tc>
      </w:tr>
    </w:tbl>
    <w:p>
      <w:pPr>
        <w:pStyle w:val="TextBody"/>
      </w:pPr>
      <w:r>
        <w:rPr/>
      </w:r>
      <w:r/>
    </w:p>
    <w:tbl>
      <w:tblPr>
        <w:tblW w:w="5000" w:type="pct"/>
        <w:jc w:val="left"/>
        <w:tblInd w:w="0" w:type="dxa"/>
        <w:tblBorders/>
        <w:tblCellMar>
          <w:top w:w="0" w:type="dxa"/>
          <w:left w:w="0" w:type="dxa"/>
          <w:bottom w:w="0" w:type="dxa"/>
          <w:right w:w="0" w:type="dxa"/>
        </w:tblCellMar>
      </w:tblPr>
      <w:tblGrid>
        <w:gridCol w:w="997"/>
        <w:gridCol w:w="8974"/>
      </w:tblGrid>
      <w:tr>
        <w:trPr/>
        <w:tc>
          <w:tcPr>
            <w:tcW w:w="997" w:type="dxa"/>
            <w:tcBorders/>
            <w:shd w:fill="auto" w:val="clear"/>
            <w:vAlign w:val="center"/>
          </w:tcPr>
          <w:p>
            <w:pPr>
              <w:pStyle w:val="TableContents"/>
              <w:spacing w:before="0" w:after="283"/>
              <w:jc w:val="left"/>
              <w:rPr/>
            </w:pPr>
            <w:r>
              <w:rPr/>
            </w:r>
            <w:r/>
          </w:p>
          <w:p>
            <w:pPr>
              <w:pStyle w:val="TableContents"/>
              <w:spacing w:before="0" w:after="283"/>
              <w:jc w:val="left"/>
            </w:pPr>
            <w:r>
              <w:rPr>
                <w:rStyle w:val="StrongEmphasis"/>
                <w:bdr w:val="single" w:sz="2" w:space="3" w:color="000000"/>
              </w:rPr>
              <w:t>EN</w:t>
            </w:r>
            <w:r/>
          </w:p>
        </w:tc>
        <w:tc>
          <w:tcPr>
            <w:tcW w:w="8974" w:type="dxa"/>
            <w:tcBorders/>
            <w:shd w:fill="auto" w:val="clear"/>
            <w:vAlign w:val="center"/>
          </w:tcPr>
          <w:p>
            <w:pPr>
              <w:pStyle w:val="TableContents"/>
            </w:pPr>
            <w:r>
              <w:rPr/>
            </w:r>
            <w:r/>
          </w:p>
        </w:tc>
      </w:tr>
    </w:tbl>
    <w:p>
      <w:pPr>
        <w:pStyle w:val="Normal"/>
        <w:rPr/>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StrongEmphasis">
    <w:name w:val="Strong Emphasis"/>
    <w:rPr>
      <w:b/>
      <w:bCs/>
    </w:rPr>
  </w:style>
  <w:style w:type="character" w:styleId="Emphasis">
    <w:name w:val="Emphasis"/>
    <w:rPr>
      <w:i/>
      <w:iCs/>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HorizontalLine">
    <w:name w:val="Horizontal Line"/>
    <w:basedOn w:val="Normal"/>
    <w:next w:val="TextBody"/>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ur-lex.europa.eu/legal-content/EN/AUTO/?uri=uriserv:OJ.C_.1997.372.01.0001.01.ENG" TargetMode="External"/><Relationship Id="rId3" Type="http://schemas.openxmlformats.org/officeDocument/2006/relationships/hyperlink" Target="http://eur-lex.europa.eu/legal-content/EN/AUTO/?uri=uriserv:OJ.C_.1997.372.01.0002.01.ENG" TargetMode="External"/><Relationship Id="rId4" Type="http://schemas.openxmlformats.org/officeDocument/2006/relationships/hyperlink" Target="http://eur-lex.europa.eu/legal-content/EN/AUTO/?uri=uriserv:OJ.C_.1997.372.01.0005.01.ENG" TargetMode="External"/><Relationship Id="rId5" Type="http://schemas.openxmlformats.org/officeDocument/2006/relationships/hyperlink" Target="http://eur-lex.europa.eu/legal-content/EN/AUTO/?uri=uriserv:OJ.C_.1997.372.01.0013.01.ENG" TargetMode="External"/><Relationship Id="rId6" Type="http://schemas.openxmlformats.org/officeDocument/2006/relationships/hyperlink" Target="http://eur-lex.europa.eu/legal-content/EN/AUTO/?uri=uriserv:OJ.C_.1997.372.01.0016.01.ENG" TargetMode="External"/><Relationship Id="rId7" Type="http://schemas.openxmlformats.org/officeDocument/2006/relationships/hyperlink" Target="http://eur-lex.europa.eu/legal-content/EN/AUTO/?uri=uriserv:OJ.C_.1997.372.01.0017.01.ENG" TargetMode="External"/><Relationship Id="rId8" Type="http://schemas.openxmlformats.org/officeDocument/2006/relationships/hyperlink" Target="http://eur-lex.europa.eu/legal-content/EN/AUTO/?uri=uriserv:OJ.C_.1997.372.01.0018.01.ENG" TargetMode="External"/><Relationship Id="rId9" Type="http://schemas.openxmlformats.org/officeDocument/2006/relationships/hyperlink" Target="http://eur-lex.europa.eu/legal-content/EN/AUTO/?uri=uriserv:OJ.C_.1997.372.01.0018.02.ENG" TargetMode="External"/><Relationship Id="rId10" Type="http://schemas.openxmlformats.org/officeDocument/2006/relationships/hyperlink" Target="http://eur-lex.europa.eu/legal-content/EN/AUTO/?uri=uriserv:OJ.C_.1997.372.01.0019.01.ENG" TargetMode="External"/><Relationship Id="rId11" Type="http://schemas.openxmlformats.org/officeDocument/2006/relationships/hyperlink" Target="http://eur-lex.europa.eu/legal-content/EN/AUTO/?uri=uriserv:OJ.C_.1997.372.01.0020.01.ENG" TargetMode="External"/><Relationship Id="rId12" Type="http://schemas.openxmlformats.org/officeDocument/2006/relationships/hyperlink" Target="http://eur-lex.europa.eu/legal-content/EN/AUTO/?uri=uriserv:OJ.C_.1997.372.01.0021.01.ENG" TargetMode="External"/><Relationship Id="rId13" Type="http://schemas.openxmlformats.org/officeDocument/2006/relationships/hyperlink" Target="http://eur-lex.europa.eu/legal-content/EN/AUTO/?uri=uriserv:OJ.C_.1997.372.01.0023.01.ENG" TargetMode="External"/><Relationship Id="rId14" Type="http://schemas.openxmlformats.org/officeDocument/2006/relationships/hyperlink" Target="http://eur-lex.europa.eu/legal-content/EN/AUTO/?uri=uriserv:OJ.C_.1997.372.01.0039.01.ENG" TargetMode="Externa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738</TotalTime>
  <Application>LibreOffice/4.3.5.2.0$Linux_X86_64 LibreOffice_project/430m0$Build-2</Application>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2015-02-04T18:59:05Z</dcterms:created>
  <dc:language>en-US</dc:language>
  <dcterms:modified xsi:type="dcterms:W3CDTF">2015-02-04T19:11:23Z</dcterms:modified>
  <cp:revision>3</cp:revision>
</cp:coreProperties>
</file>