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/>
        <w:t>Can an employee treat part-time, fixed-time and agency workers less favourably when is comes to working conditions than full-time and permanent workers?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No, never.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 xml:space="preserve">Yes, for part-time and fixed-time workers if the employer can show objective grounds for the difference in treatment, but not for agency workers. </w:t>
      </w:r>
      <w:r/>
    </w:p>
    <w:p>
      <w:pPr>
        <w:pStyle w:val="Normal"/>
      </w:pPr>
      <w:r>
        <w:rPr>
          <w:rStyle w:val="StrongEmphasis"/>
        </w:rPr>
        <w:t>Well done! 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 xml:space="preserve">Yes, if the employer can show objective grounds for the difference in treatment. </w:t>
      </w:r>
      <w:r/>
    </w:p>
    <w:p>
      <w:pPr>
        <w:pStyle w:val="Normal"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36</TotalTime>
  <Application>LibreOffice/4.3.5.2.0$Linux_X86_64 LibreOffice_project/430m0$Build-2</Application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2015-02-24T13:38:04Z</dcterms:created>
  <dc:language>en-US</dc:language>
  <dcterms:modified xsi:type="dcterms:W3CDTF">2015-02-24T13:38:40Z</dcterms:modified>
  <cp:revision>1</cp:revision>
</cp:coreProperties>
</file>