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5CB9D" w14:textId="77777777" w:rsidR="00A069AF" w:rsidRDefault="00A069AF" w:rsidP="00A069AF">
      <w:pPr>
        <w:spacing w:line="480" w:lineRule="auto"/>
      </w:pPr>
    </w:p>
    <w:p w14:paraId="7115CB9E" w14:textId="77777777" w:rsidR="00A069AF" w:rsidRDefault="00A069AF" w:rsidP="00A069AF">
      <w:pPr>
        <w:spacing w:line="480" w:lineRule="auto"/>
      </w:pPr>
    </w:p>
    <w:p w14:paraId="7115CB9F" w14:textId="77777777" w:rsidR="00A069AF" w:rsidRDefault="00A069AF" w:rsidP="00A069AF">
      <w:pPr>
        <w:spacing w:line="480" w:lineRule="auto"/>
      </w:pPr>
    </w:p>
    <w:p w14:paraId="7115CBA0" w14:textId="77777777" w:rsidR="00A069AF" w:rsidRDefault="00A069AF" w:rsidP="00A069AF">
      <w:pPr>
        <w:spacing w:line="480" w:lineRule="auto"/>
      </w:pPr>
    </w:p>
    <w:p w14:paraId="7115CBA1" w14:textId="77777777" w:rsidR="00A069AF" w:rsidRDefault="00A069AF" w:rsidP="00A069AF">
      <w:pPr>
        <w:spacing w:line="480" w:lineRule="auto"/>
      </w:pPr>
    </w:p>
    <w:p w14:paraId="7115CBA2" w14:textId="0178DF87" w:rsidR="00A069AF" w:rsidRDefault="006047CE" w:rsidP="00A069AF">
      <w:pPr>
        <w:spacing w:line="480" w:lineRule="auto"/>
        <w:jc w:val="center"/>
      </w:pPr>
      <w:r>
        <w:t>HUDM 5123</w:t>
      </w:r>
      <w:r w:rsidR="00A069AF">
        <w:t xml:space="preserve">: </w:t>
      </w:r>
      <w:r>
        <w:t>Final Project</w:t>
      </w:r>
    </w:p>
    <w:p w14:paraId="7115CBA3" w14:textId="68536EC3" w:rsidR="00A069AF" w:rsidRDefault="006047CE" w:rsidP="00A069AF">
      <w:pPr>
        <w:spacing w:line="480" w:lineRule="auto"/>
        <w:jc w:val="center"/>
      </w:pPr>
      <w:r>
        <w:t>Zhuqian (Karen) Zhou</w:t>
      </w:r>
    </w:p>
    <w:p w14:paraId="7115CBA4" w14:textId="3771E61F" w:rsidR="00A069AF" w:rsidRDefault="00C80146" w:rsidP="00A069AF">
      <w:pPr>
        <w:spacing w:line="480" w:lineRule="auto"/>
        <w:jc w:val="center"/>
      </w:pPr>
      <w:r>
        <w:t>Teachers College</w:t>
      </w:r>
      <w:r w:rsidR="001B7AD9">
        <w:t>, Columbia University</w:t>
      </w:r>
    </w:p>
    <w:p w14:paraId="7115CBA5" w14:textId="77777777" w:rsidR="00A069AF" w:rsidRDefault="00A069AF" w:rsidP="00A069AF">
      <w:pPr>
        <w:spacing w:line="480" w:lineRule="auto"/>
        <w:jc w:val="center"/>
      </w:pPr>
    </w:p>
    <w:p w14:paraId="3F15721A" w14:textId="77777777" w:rsidR="006047CE" w:rsidRDefault="00A069AF" w:rsidP="00A069AF">
      <w:pPr>
        <w:spacing w:line="480" w:lineRule="auto"/>
        <w:jc w:val="center"/>
      </w:pPr>
      <w:r>
        <w:br w:type="page"/>
      </w:r>
    </w:p>
    <w:p w14:paraId="7115CBA6" w14:textId="52EBE74E" w:rsidR="00A069AF" w:rsidRDefault="00A069AF" w:rsidP="00A069AF">
      <w:pPr>
        <w:spacing w:line="480" w:lineRule="auto"/>
        <w:jc w:val="center"/>
      </w:pPr>
      <w:r>
        <w:lastRenderedPageBreak/>
        <w:t>Abstract</w:t>
      </w:r>
    </w:p>
    <w:p w14:paraId="47E66611" w14:textId="362B09DC" w:rsidR="00EE3A92" w:rsidRPr="002A23FD" w:rsidRDefault="006047CE" w:rsidP="002A23FD">
      <w:pPr>
        <w:spacing w:line="480" w:lineRule="auto"/>
      </w:pPr>
      <w:r>
        <w:t xml:space="preserve">The purpose of this paper was to examine the </w:t>
      </w:r>
      <w:r w:rsidR="002144F9">
        <w:t>impact of guiding people to interpret their experienced difficulty</w:t>
      </w:r>
      <w:r>
        <w:t xml:space="preserve"> </w:t>
      </w:r>
      <w:r w:rsidR="002144F9">
        <w:t xml:space="preserve">as importance or impossibility </w:t>
      </w:r>
      <w:r w:rsidR="002144F9" w:rsidRPr="002144F9">
        <w:t xml:space="preserve">on </w:t>
      </w:r>
      <w:r w:rsidR="002144F9">
        <w:t xml:space="preserve">their </w:t>
      </w:r>
      <w:r w:rsidR="002144F9" w:rsidRPr="002144F9">
        <w:t>academic performance</w:t>
      </w:r>
      <w:r w:rsidR="00A203C4">
        <w:t xml:space="preserve"> with regard to different gender groups</w:t>
      </w:r>
      <w:r w:rsidRPr="006047CE">
        <w:t>.</w:t>
      </w:r>
      <w:r w:rsidR="002144F9">
        <w:t xml:space="preserve"> A two-way ANOVA was calculated for 175 participants after meeting the assumptions. </w:t>
      </w:r>
      <w:r w:rsidR="008058A4">
        <w:t>No s</w:t>
      </w:r>
      <w:r w:rsidR="002144F9">
        <w:t>tatis</w:t>
      </w:r>
      <w:r w:rsidR="008058A4">
        <w:t>t</w:t>
      </w:r>
      <w:r w:rsidR="002144F9">
        <w:t>ically si</w:t>
      </w:r>
      <w:r w:rsidR="00A203C4">
        <w:t>gnificant interaction was found</w:t>
      </w:r>
      <w:r w:rsidR="008058A4">
        <w:t xml:space="preserve"> for gender and the intervention on the academic performance. After </w:t>
      </w:r>
      <w:r w:rsidR="00BF20D5">
        <w:t>two sets of</w:t>
      </w:r>
      <w:r w:rsidR="008058A4">
        <w:t xml:space="preserve"> comparisons using the Shaffer’s</w:t>
      </w:r>
      <w:r w:rsidR="00BF20D5">
        <w:t xml:space="preserve"> planned post-omnibus and </w:t>
      </w:r>
      <w:r w:rsidR="00BF20D5" w:rsidRPr="00BF20D5">
        <w:t xml:space="preserve">the Holm-Bonferroni </w:t>
      </w:r>
      <w:r w:rsidR="00BF20D5">
        <w:t>c</w:t>
      </w:r>
      <w:r w:rsidR="00BF20D5" w:rsidRPr="00BF20D5">
        <w:t xml:space="preserve">orrection </w:t>
      </w:r>
      <w:r w:rsidR="00BF20D5">
        <w:t>for type I error rate control, the group which received the difficulty-as-importance mindset intervention had a significantly better academic performance than the control group</w:t>
      </w:r>
      <w:r w:rsidR="002A23FD">
        <w:t>. No significant effect of the difficulty-as-impossibility mindset intervention was found.</w:t>
      </w:r>
    </w:p>
    <w:p w14:paraId="7115CBA8" w14:textId="688E3727" w:rsidR="0017702C" w:rsidRPr="002A23FD" w:rsidRDefault="00A069AF" w:rsidP="002A23FD">
      <w:pPr>
        <w:spacing w:line="480" w:lineRule="auto"/>
        <w:jc w:val="center"/>
        <w:rPr>
          <w:b/>
        </w:rPr>
      </w:pPr>
      <w:r>
        <w:br w:type="page"/>
      </w:r>
      <w:r w:rsidR="002A23FD">
        <w:rPr>
          <w:b/>
        </w:rPr>
        <w:lastRenderedPageBreak/>
        <w:t>Introduction</w:t>
      </w:r>
    </w:p>
    <w:p w14:paraId="6563708C" w14:textId="70E755E3" w:rsidR="008964F7" w:rsidRDefault="00000EEB" w:rsidP="008964F7">
      <w:pPr>
        <w:spacing w:line="480" w:lineRule="auto"/>
        <w:ind w:firstLine="720"/>
      </w:pPr>
      <w:r>
        <w:t>P</w:t>
      </w:r>
      <w:r w:rsidR="002A23FD">
        <w:t>revious motivation research</w:t>
      </w:r>
      <w:r w:rsidR="00941E38">
        <w:t xml:space="preserve"> shows that </w:t>
      </w:r>
      <w:r w:rsidR="002A23FD">
        <w:t>people have two</w:t>
      </w:r>
      <w:r w:rsidR="00941E38">
        <w:t xml:space="preserve"> major</w:t>
      </w:r>
      <w:r w:rsidR="002A23FD">
        <w:t xml:space="preserve"> different interpretation-of-experienced-difficulty mindsets, the difficulty-as-impossibility mindset and the difficulty-as-importance mindset. The former one takes difficulty as an indicator of low odds of success while the latter views difficulty implying the high value of the task.</w:t>
      </w:r>
      <w:r w:rsidR="001C33B0">
        <w:t xml:space="preserve"> It is widely believed that the </w:t>
      </w:r>
      <w:r w:rsidR="00F10F4B">
        <w:t xml:space="preserve">former mindset hinders one’s performance while the latter improves that, which is especially so when the person is working on a relatively </w:t>
      </w:r>
      <w:r w:rsidR="00941E38">
        <w:t>challenging</w:t>
      </w:r>
      <w:r w:rsidR="00F10F4B">
        <w:t xml:space="preserve"> task. Moreover, people’s mindsets are prone to change under suggestive hints. Therefore, this study </w:t>
      </w:r>
      <w:r w:rsidR="008964F7">
        <w:t xml:space="preserve">aimed at </w:t>
      </w:r>
      <w:r w:rsidR="00F10F4B">
        <w:t>test</w:t>
      </w:r>
      <w:r w:rsidR="008964F7">
        <w:t>ing</w:t>
      </w:r>
      <w:r w:rsidR="00F10F4B">
        <w:t xml:space="preserve"> the effect of different mindset interventions on </w:t>
      </w:r>
      <w:r w:rsidR="008964F7">
        <w:t xml:space="preserve">student’s performance on difficult academic tasks. </w:t>
      </w:r>
    </w:p>
    <w:p w14:paraId="7115CBAA" w14:textId="3F903548" w:rsidR="00816697" w:rsidRPr="002F6A81" w:rsidRDefault="00816697" w:rsidP="00816697">
      <w:pPr>
        <w:spacing w:line="480" w:lineRule="auto"/>
        <w:jc w:val="center"/>
        <w:rPr>
          <w:b/>
        </w:rPr>
      </w:pPr>
      <w:r w:rsidRPr="002F6A81">
        <w:rPr>
          <w:b/>
        </w:rPr>
        <w:t>Methods</w:t>
      </w:r>
    </w:p>
    <w:p w14:paraId="7115CBAB" w14:textId="77777777" w:rsidR="00816697" w:rsidRPr="002F6A81" w:rsidRDefault="00816697" w:rsidP="00A069AF">
      <w:pPr>
        <w:spacing w:line="480" w:lineRule="auto"/>
        <w:rPr>
          <w:b/>
        </w:rPr>
      </w:pPr>
      <w:r w:rsidRPr="002F6A81">
        <w:rPr>
          <w:b/>
        </w:rPr>
        <w:t>Participants</w:t>
      </w:r>
    </w:p>
    <w:p w14:paraId="5836E1A5" w14:textId="01F40C37" w:rsidR="008964F7" w:rsidRDefault="008964F7" w:rsidP="008964F7">
      <w:pPr>
        <w:spacing w:line="480" w:lineRule="auto"/>
        <w:ind w:firstLine="720"/>
      </w:pPr>
      <w:r>
        <w:t>The study worked on a dataset derived from an empirical study using randomized controlled trials (</w:t>
      </w:r>
      <w:r w:rsidRPr="007D1BDE">
        <w:t>Oyserman</w:t>
      </w:r>
      <w:r>
        <w:t xml:space="preserve"> et al., 2018). Participants were sixth graders in eight language arts classes (N = 175) from a Detroit-area middle school serving low-income families (66% of student body receives free/reduced price lunch). Eight observations with missing data were removed from the analysis.</w:t>
      </w:r>
    </w:p>
    <w:p w14:paraId="7115CBAD" w14:textId="77777777" w:rsidR="00816697" w:rsidRPr="002F6A81" w:rsidRDefault="00816697" w:rsidP="00A069AF">
      <w:pPr>
        <w:spacing w:line="480" w:lineRule="auto"/>
        <w:rPr>
          <w:b/>
        </w:rPr>
      </w:pPr>
      <w:r w:rsidRPr="002F6A81">
        <w:rPr>
          <w:b/>
        </w:rPr>
        <w:t>Instruments</w:t>
      </w:r>
    </w:p>
    <w:p w14:paraId="7115CBAE" w14:textId="40F3BF40" w:rsidR="003627C4" w:rsidRDefault="00816697" w:rsidP="00A069AF">
      <w:pPr>
        <w:spacing w:line="480" w:lineRule="auto"/>
      </w:pPr>
      <w:r>
        <w:tab/>
      </w:r>
      <w:r w:rsidR="008964F7">
        <w:t>The data were collected in classroom settings where two mindset interventions were randomly assigned to students as two different kinds of booklets which had same covers but with four different statements on the difficulty-as-importance mindset or the difficulty-as-impossibility mindset inside. Apart from these two groups, there was also a control group which also received similar booklets but without any mindset primes (</w:t>
      </w:r>
      <w:r w:rsidR="008964F7">
        <w:rPr>
          <w:i/>
          <w:iCs/>
        </w:rPr>
        <w:t>n</w:t>
      </w:r>
      <w:r w:rsidR="008964F7">
        <w:t xml:space="preserve"> </w:t>
      </w:r>
      <w:r w:rsidR="008964F7">
        <w:rPr>
          <w:rFonts w:hint="eastAsia"/>
          <w:lang w:eastAsia="zh-CN"/>
        </w:rPr>
        <w:t>=</w:t>
      </w:r>
      <w:r w:rsidR="008964F7">
        <w:rPr>
          <w:lang w:eastAsia="zh-CN"/>
        </w:rPr>
        <w:t xml:space="preserve"> </w:t>
      </w:r>
      <w:r w:rsidR="008964F7">
        <w:rPr>
          <w:rFonts w:hint="eastAsia"/>
          <w:lang w:eastAsia="zh-CN"/>
        </w:rPr>
        <w:t>163,</w:t>
      </w:r>
      <w:r w:rsidR="008964F7">
        <w:rPr>
          <w:lang w:eastAsia="zh-CN"/>
        </w:rPr>
        <w:t xml:space="preserve"> difficulty-as-importance </w:t>
      </w:r>
      <w:r w:rsidR="008964F7" w:rsidRPr="003F4B62">
        <w:rPr>
          <w:i/>
          <w:iCs/>
          <w:lang w:eastAsia="zh-CN"/>
        </w:rPr>
        <w:t>n</w:t>
      </w:r>
      <w:r w:rsidR="008964F7">
        <w:rPr>
          <w:lang w:eastAsia="zh-CN"/>
        </w:rPr>
        <w:t xml:space="preserve"> = 51, difficulty-as-impossibility </w:t>
      </w:r>
      <w:r w:rsidR="008964F7" w:rsidRPr="003F4B62">
        <w:rPr>
          <w:i/>
          <w:iCs/>
          <w:lang w:eastAsia="zh-CN"/>
        </w:rPr>
        <w:t>n</w:t>
      </w:r>
      <w:r w:rsidR="008964F7">
        <w:rPr>
          <w:lang w:eastAsia="zh-CN"/>
        </w:rPr>
        <w:t xml:space="preserve"> = 59, control </w:t>
      </w:r>
      <w:r w:rsidR="008964F7" w:rsidRPr="003F4B62">
        <w:rPr>
          <w:i/>
          <w:iCs/>
          <w:lang w:eastAsia="zh-CN"/>
        </w:rPr>
        <w:t>n</w:t>
      </w:r>
      <w:r w:rsidR="008964F7">
        <w:rPr>
          <w:lang w:eastAsia="zh-CN"/>
        </w:rPr>
        <w:t xml:space="preserve"> = 53.</w:t>
      </w:r>
      <w:r w:rsidR="008964F7">
        <w:t>)</w:t>
      </w:r>
    </w:p>
    <w:p w14:paraId="38DA8520" w14:textId="2E1CB775" w:rsidR="008964F7" w:rsidRDefault="008964F7" w:rsidP="008964F7">
      <w:pPr>
        <w:spacing w:line="480" w:lineRule="auto"/>
        <w:ind w:firstLine="720"/>
        <w:rPr>
          <w:lang w:eastAsia="zh-CN"/>
        </w:rPr>
      </w:pPr>
      <w:r>
        <w:lastRenderedPageBreak/>
        <w:t xml:space="preserve">The outcome measure of this study is students’ score on a standardized writing test included in the booklet which was adapted from the Michigan Educational Assessment </w:t>
      </w:r>
      <w:r>
        <w:rPr>
          <w:rFonts w:hint="eastAsia"/>
          <w:lang w:eastAsia="zh-CN"/>
        </w:rPr>
        <w:t>Program</w:t>
      </w:r>
      <w:r>
        <w:t xml:space="preserve"> </w:t>
      </w:r>
      <w:r>
        <w:rPr>
          <w:rFonts w:hint="eastAsia"/>
          <w:lang w:eastAsia="zh-CN"/>
        </w:rPr>
        <w:t>(</w:t>
      </w:r>
      <w:r>
        <w:rPr>
          <w:lang w:eastAsia="zh-CN"/>
        </w:rPr>
        <w:t>MEAP). The score ranged from one (= low/ not proficient) to four (=advanced).</w:t>
      </w:r>
    </w:p>
    <w:p w14:paraId="61FCC33A" w14:textId="6A6D7B76" w:rsidR="008964F7" w:rsidRDefault="008964F7" w:rsidP="00A069AF">
      <w:pPr>
        <w:spacing w:line="480" w:lineRule="auto"/>
        <w:rPr>
          <w:lang w:eastAsia="zh-CN"/>
        </w:rPr>
      </w:pPr>
      <w:r>
        <w:rPr>
          <w:lang w:eastAsia="zh-CN"/>
        </w:rPr>
        <w:tab/>
        <w:t>Since gender difference in writing is salient in childhood, participants’ gender is also included in the regression model.</w:t>
      </w:r>
    </w:p>
    <w:p w14:paraId="7115CBAF" w14:textId="77777777" w:rsidR="003627C4" w:rsidRPr="00CB66AA" w:rsidRDefault="003627C4" w:rsidP="00A069AF">
      <w:pPr>
        <w:spacing w:line="480" w:lineRule="auto"/>
        <w:rPr>
          <w:b/>
        </w:rPr>
      </w:pPr>
      <w:r w:rsidRPr="00CB66AA">
        <w:rPr>
          <w:b/>
        </w:rPr>
        <w:t>Procedure</w:t>
      </w:r>
    </w:p>
    <w:p w14:paraId="745C68EB" w14:textId="7C42DC07" w:rsidR="008964F7" w:rsidRDefault="003627C4" w:rsidP="00440CC7">
      <w:pPr>
        <w:spacing w:line="480" w:lineRule="auto"/>
      </w:pPr>
      <w:r>
        <w:tab/>
      </w:r>
      <w:r w:rsidR="006657C2">
        <w:t xml:space="preserve">Descriptive statistics were calculated including sample size and the distribution of writing scores within each condition by gender group. Two-way ANOVA was used to examine the statistical significance of the interaction of mindset interventions and gender on the writing scores. Two assumptions of ANOVA, i.e. normality and homoscedasticity, were validated through calculating the z-score of standard error of skewness and applying the Levene’s test </w:t>
      </w:r>
      <w:r w:rsidR="00941E38">
        <w:t>across groups</w:t>
      </w:r>
      <w:r w:rsidR="006657C2">
        <w:t xml:space="preserve">. Two sets of follow-up comparisons were conducted to pinpoint which groups led to the overall difference in the writing score. </w:t>
      </w:r>
      <w:r w:rsidR="003532A6">
        <w:t>When examining the pairwise comparisons among three conditions, t</w:t>
      </w:r>
      <w:r w:rsidR="006657C2">
        <w:t>he Shaffer’s planned post-omnibus was conducted to control the type I error rate</w:t>
      </w:r>
      <w:r w:rsidR="003532A6">
        <w:t xml:space="preserve"> where the p-value was compared to .05, i.e. the alpha level, .05, divided by the number of possible Type I errors, namely, one</w:t>
      </w:r>
      <w:r w:rsidR="006657C2">
        <w:t>.</w:t>
      </w:r>
      <w:r w:rsidR="003532A6">
        <w:t xml:space="preserve"> When comparing two linear contrasts of the three conditions, </w:t>
      </w:r>
      <w:r w:rsidR="006657C2" w:rsidRPr="00BF20D5">
        <w:t xml:space="preserve">the Holm-Bonferroni </w:t>
      </w:r>
      <w:r w:rsidR="006657C2">
        <w:t>c</w:t>
      </w:r>
      <w:r w:rsidR="006657C2" w:rsidRPr="00BF20D5">
        <w:t xml:space="preserve">orrection </w:t>
      </w:r>
      <w:r w:rsidR="006657C2">
        <w:t>for type I error rate control</w:t>
      </w:r>
      <w:r w:rsidR="003532A6">
        <w:t xml:space="preserve"> was conducted where the p-value was compared to .025</w:t>
      </w:r>
      <w:r w:rsidR="00440CC7">
        <w:t xml:space="preserve"> and .05</w:t>
      </w:r>
      <w:r w:rsidR="003532A6">
        <w:t>, i.e. the alpha level, .05</w:t>
      </w:r>
      <w:r w:rsidR="00440CC7">
        <w:t>, divided by the number of comparisons, two, for the first comparison and the alpha level divided by the number of comparisons minus one for the second comparison.</w:t>
      </w:r>
    </w:p>
    <w:p w14:paraId="7115CBB1" w14:textId="77777777" w:rsidR="0017702C" w:rsidRPr="0017702C" w:rsidRDefault="00AD1E7F" w:rsidP="0017702C">
      <w:pPr>
        <w:spacing w:line="480" w:lineRule="auto"/>
        <w:jc w:val="center"/>
      </w:pPr>
      <w:r w:rsidRPr="00CB66AA">
        <w:rPr>
          <w:b/>
        </w:rPr>
        <w:t>Results</w:t>
      </w:r>
    </w:p>
    <w:p w14:paraId="7115CBB2" w14:textId="63D94EDD" w:rsidR="00440CC7" w:rsidRDefault="00AD1E7F" w:rsidP="00440CC7">
      <w:pPr>
        <w:spacing w:line="480" w:lineRule="auto"/>
      </w:pPr>
      <w:r>
        <w:tab/>
      </w:r>
      <w:r w:rsidR="00440CC7">
        <w:t xml:space="preserve">Descriptive statistics can be found in Table 1 </w:t>
      </w:r>
      <w:r w:rsidR="009E6324">
        <w:t xml:space="preserve">for the three conditions by two gender groups. </w:t>
      </w:r>
    </w:p>
    <w:p w14:paraId="20EAE798" w14:textId="77777777" w:rsidR="00440CC7" w:rsidRDefault="00440CC7" w:rsidP="00440CC7">
      <w:pPr>
        <w:spacing w:line="480" w:lineRule="auto"/>
      </w:pPr>
      <w:r>
        <w:lastRenderedPageBreak/>
        <w:t>Table 1</w:t>
      </w:r>
    </w:p>
    <w:p w14:paraId="6EC3768D" w14:textId="284C2EAD" w:rsidR="00440CC7" w:rsidRDefault="009E6324" w:rsidP="00440CC7">
      <w:pPr>
        <w:spacing w:line="480" w:lineRule="auto"/>
        <w:rPr>
          <w:i/>
          <w:iCs/>
          <w:lang w:eastAsia="zh-CN"/>
        </w:rPr>
      </w:pPr>
      <w:r>
        <w:rPr>
          <w:i/>
          <w:iCs/>
          <w:lang w:eastAsia="zh-CN"/>
        </w:rPr>
        <w:t>Descriptive Statistics</w:t>
      </w:r>
      <w:r w:rsidR="00727FDB">
        <w:rPr>
          <w:i/>
          <w:iCs/>
          <w:lang w:eastAsia="zh-CN"/>
        </w:rPr>
        <w:t xml:space="preserve"> of Participants in Each </w:t>
      </w:r>
      <w:r w:rsidR="0068779A">
        <w:rPr>
          <w:i/>
          <w:iCs/>
          <w:lang w:eastAsia="zh-CN"/>
        </w:rPr>
        <w:t>G</w:t>
      </w:r>
      <w:r w:rsidR="00727FDB">
        <w:rPr>
          <w:i/>
          <w:iCs/>
          <w:lang w:eastAsia="zh-CN"/>
        </w:rPr>
        <w:t>roup of Gender by Conditions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1617"/>
        <w:gridCol w:w="978"/>
        <w:gridCol w:w="972"/>
        <w:gridCol w:w="982"/>
        <w:gridCol w:w="1072"/>
        <w:gridCol w:w="2575"/>
      </w:tblGrid>
      <w:tr w:rsidR="000537A4" w14:paraId="5886B19C" w14:textId="77777777" w:rsidTr="000537A4">
        <w:tc>
          <w:tcPr>
            <w:tcW w:w="1164" w:type="dxa"/>
            <w:tcBorders>
              <w:top w:val="single" w:sz="18" w:space="0" w:color="auto"/>
              <w:bottom w:val="single" w:sz="4" w:space="0" w:color="auto"/>
            </w:tcBorders>
            <w:vAlign w:val="bottom"/>
          </w:tcPr>
          <w:p w14:paraId="5BA7F23C" w14:textId="54AB2E3A" w:rsidR="000537A4" w:rsidRDefault="000537A4" w:rsidP="009E6324">
            <w:pPr>
              <w:jc w:val="center"/>
            </w:pPr>
            <w:r>
              <w:t>Gender</w:t>
            </w:r>
          </w:p>
        </w:tc>
        <w:tc>
          <w:tcPr>
            <w:tcW w:w="1617" w:type="dxa"/>
            <w:tcBorders>
              <w:top w:val="single" w:sz="18" w:space="0" w:color="auto"/>
              <w:bottom w:val="single" w:sz="4" w:space="0" w:color="auto"/>
            </w:tcBorders>
            <w:vAlign w:val="bottom"/>
          </w:tcPr>
          <w:p w14:paraId="5504E11B" w14:textId="3AAFC0F5" w:rsidR="000537A4" w:rsidRDefault="000537A4" w:rsidP="009E6324">
            <w:pPr>
              <w:jc w:val="center"/>
            </w:pPr>
            <w:r>
              <w:t>Condition</w:t>
            </w:r>
            <w:r w:rsidR="00295135">
              <w:t>s</w:t>
            </w:r>
          </w:p>
        </w:tc>
        <w:tc>
          <w:tcPr>
            <w:tcW w:w="978" w:type="dxa"/>
            <w:tcBorders>
              <w:top w:val="single" w:sz="18" w:space="0" w:color="auto"/>
              <w:bottom w:val="single" w:sz="4" w:space="0" w:color="auto"/>
            </w:tcBorders>
          </w:tcPr>
          <w:p w14:paraId="72A0EBF3" w14:textId="7076C7DC" w:rsidR="000537A4" w:rsidRDefault="000537A4" w:rsidP="009E6324">
            <w:pPr>
              <w:jc w:val="center"/>
              <w:rPr>
                <w:i/>
                <w:iCs/>
              </w:rPr>
            </w:pPr>
            <w:r>
              <w:rPr>
                <w:i/>
                <w:iCs/>
              </w:rPr>
              <w:t>n</w:t>
            </w:r>
          </w:p>
        </w:tc>
        <w:tc>
          <w:tcPr>
            <w:tcW w:w="972" w:type="dxa"/>
            <w:tcBorders>
              <w:top w:val="single" w:sz="18" w:space="0" w:color="auto"/>
              <w:bottom w:val="single" w:sz="4" w:space="0" w:color="auto"/>
            </w:tcBorders>
          </w:tcPr>
          <w:p w14:paraId="436F5672" w14:textId="5E1BDB0C" w:rsidR="000537A4" w:rsidRDefault="000537A4" w:rsidP="009E6324">
            <w:pPr>
              <w:jc w:val="center"/>
              <w:rPr>
                <w:i/>
                <w:iCs/>
              </w:rPr>
            </w:pPr>
            <w:r>
              <w:rPr>
                <w:i/>
                <w:iCs/>
              </w:rPr>
              <w:t>%</w:t>
            </w:r>
          </w:p>
        </w:tc>
        <w:tc>
          <w:tcPr>
            <w:tcW w:w="982" w:type="dxa"/>
            <w:tcBorders>
              <w:top w:val="single" w:sz="18" w:space="0" w:color="auto"/>
              <w:bottom w:val="single" w:sz="4" w:space="0" w:color="auto"/>
            </w:tcBorders>
            <w:vAlign w:val="bottom"/>
          </w:tcPr>
          <w:p w14:paraId="373CA592" w14:textId="73C40E8E" w:rsidR="000537A4" w:rsidRPr="00FD4FBF" w:rsidRDefault="000537A4" w:rsidP="009E6324">
            <w:pPr>
              <w:jc w:val="center"/>
              <w:rPr>
                <w:i/>
                <w:iCs/>
              </w:rPr>
            </w:pPr>
            <w:r>
              <w:rPr>
                <w:i/>
                <w:iCs/>
              </w:rPr>
              <w:t>M</w:t>
            </w:r>
          </w:p>
        </w:tc>
        <w:tc>
          <w:tcPr>
            <w:tcW w:w="1072" w:type="dxa"/>
            <w:tcBorders>
              <w:top w:val="single" w:sz="18" w:space="0" w:color="auto"/>
              <w:bottom w:val="single" w:sz="4" w:space="0" w:color="auto"/>
            </w:tcBorders>
            <w:vAlign w:val="bottom"/>
          </w:tcPr>
          <w:p w14:paraId="2CA8A6EF" w14:textId="6045FBF3" w:rsidR="000537A4" w:rsidRPr="009E6324" w:rsidRDefault="000537A4" w:rsidP="009E6324">
            <w:pPr>
              <w:jc w:val="center"/>
              <w:rPr>
                <w:i/>
                <w:iCs/>
              </w:rPr>
            </w:pPr>
            <w:r>
              <w:rPr>
                <w:i/>
                <w:iCs/>
              </w:rPr>
              <w:t>S</w:t>
            </w:r>
            <w:r w:rsidR="00184363">
              <w:rPr>
                <w:i/>
                <w:iCs/>
              </w:rPr>
              <w:t>D</w:t>
            </w:r>
          </w:p>
        </w:tc>
        <w:tc>
          <w:tcPr>
            <w:tcW w:w="2575" w:type="dxa"/>
            <w:tcBorders>
              <w:top w:val="single" w:sz="18" w:space="0" w:color="auto"/>
              <w:bottom w:val="single" w:sz="4" w:space="0" w:color="auto"/>
            </w:tcBorders>
            <w:vAlign w:val="bottom"/>
          </w:tcPr>
          <w:p w14:paraId="5D18F0F2" w14:textId="6B4BF577" w:rsidR="000537A4" w:rsidRPr="009E6324" w:rsidRDefault="000537A4" w:rsidP="009E6324">
            <w:pPr>
              <w:jc w:val="center"/>
              <w:rPr>
                <w:i/>
                <w:iCs/>
              </w:rPr>
            </w:pPr>
            <w:r>
              <w:rPr>
                <w:i/>
                <w:iCs/>
              </w:rPr>
              <w:t>z-score of Skewness</w:t>
            </w:r>
          </w:p>
        </w:tc>
      </w:tr>
      <w:tr w:rsidR="000537A4" w14:paraId="6EE03E7F" w14:textId="77777777" w:rsidTr="000537A4">
        <w:tc>
          <w:tcPr>
            <w:tcW w:w="1164" w:type="dxa"/>
          </w:tcPr>
          <w:p w14:paraId="4258A209" w14:textId="4466F4D2" w:rsidR="000537A4" w:rsidRDefault="000537A4" w:rsidP="009E6324">
            <w:pPr>
              <w:jc w:val="center"/>
            </w:pPr>
            <w:r>
              <w:t>Male</w:t>
            </w:r>
          </w:p>
        </w:tc>
        <w:tc>
          <w:tcPr>
            <w:tcW w:w="1617" w:type="dxa"/>
          </w:tcPr>
          <w:p w14:paraId="5D4D107B" w14:textId="7B9E469B" w:rsidR="000537A4" w:rsidRDefault="000537A4" w:rsidP="009E6324">
            <w:pPr>
              <w:jc w:val="center"/>
            </w:pPr>
            <w:r>
              <w:t>Importance</w:t>
            </w:r>
          </w:p>
        </w:tc>
        <w:tc>
          <w:tcPr>
            <w:tcW w:w="978" w:type="dxa"/>
          </w:tcPr>
          <w:p w14:paraId="75080108" w14:textId="0C640135" w:rsidR="000537A4" w:rsidRDefault="000537A4" w:rsidP="009E6324">
            <w:pPr>
              <w:jc w:val="center"/>
            </w:pPr>
            <w:r>
              <w:t>24</w:t>
            </w:r>
          </w:p>
        </w:tc>
        <w:tc>
          <w:tcPr>
            <w:tcW w:w="972" w:type="dxa"/>
          </w:tcPr>
          <w:p w14:paraId="3547A910" w14:textId="0F1EF2A0" w:rsidR="000537A4" w:rsidRDefault="000537A4" w:rsidP="009E6324">
            <w:pPr>
              <w:jc w:val="center"/>
            </w:pPr>
            <w:r>
              <w:t>14.7</w:t>
            </w:r>
          </w:p>
        </w:tc>
        <w:tc>
          <w:tcPr>
            <w:tcW w:w="982" w:type="dxa"/>
          </w:tcPr>
          <w:p w14:paraId="707E1705" w14:textId="21542CCE" w:rsidR="000537A4" w:rsidRDefault="000537A4" w:rsidP="009E6324">
            <w:pPr>
              <w:jc w:val="center"/>
            </w:pPr>
            <w:r>
              <w:t>2.17</w:t>
            </w:r>
          </w:p>
        </w:tc>
        <w:tc>
          <w:tcPr>
            <w:tcW w:w="1072" w:type="dxa"/>
          </w:tcPr>
          <w:p w14:paraId="304620F0" w14:textId="195C6060" w:rsidR="000537A4" w:rsidRDefault="000537A4" w:rsidP="009E6324">
            <w:pPr>
              <w:jc w:val="center"/>
            </w:pPr>
            <w:r>
              <w:t>0.145</w:t>
            </w:r>
          </w:p>
        </w:tc>
        <w:tc>
          <w:tcPr>
            <w:tcW w:w="2575" w:type="dxa"/>
          </w:tcPr>
          <w:p w14:paraId="0D6A766D" w14:textId="4C1FE9D6" w:rsidR="000537A4" w:rsidRDefault="000537A4" w:rsidP="009E6324">
            <w:pPr>
              <w:jc w:val="center"/>
            </w:pPr>
            <w:r>
              <w:t>0.383</w:t>
            </w:r>
          </w:p>
        </w:tc>
      </w:tr>
      <w:tr w:rsidR="000537A4" w14:paraId="33922F53" w14:textId="77777777" w:rsidTr="000537A4">
        <w:tc>
          <w:tcPr>
            <w:tcW w:w="1164" w:type="dxa"/>
          </w:tcPr>
          <w:p w14:paraId="2BCA7756" w14:textId="68305E25" w:rsidR="000537A4" w:rsidRDefault="000537A4" w:rsidP="009E6324">
            <w:pPr>
              <w:jc w:val="center"/>
            </w:pPr>
          </w:p>
        </w:tc>
        <w:tc>
          <w:tcPr>
            <w:tcW w:w="1617" w:type="dxa"/>
          </w:tcPr>
          <w:p w14:paraId="1150F8FC" w14:textId="3EAB7A92" w:rsidR="000537A4" w:rsidRDefault="000537A4" w:rsidP="009E6324">
            <w:pPr>
              <w:jc w:val="center"/>
            </w:pPr>
            <w:r>
              <w:t>Impossibility</w:t>
            </w:r>
          </w:p>
        </w:tc>
        <w:tc>
          <w:tcPr>
            <w:tcW w:w="978" w:type="dxa"/>
          </w:tcPr>
          <w:p w14:paraId="130B53CA" w14:textId="110064AF" w:rsidR="000537A4" w:rsidRDefault="000537A4" w:rsidP="009E6324">
            <w:pPr>
              <w:jc w:val="center"/>
            </w:pPr>
            <w:r>
              <w:t>26</w:t>
            </w:r>
          </w:p>
        </w:tc>
        <w:tc>
          <w:tcPr>
            <w:tcW w:w="972" w:type="dxa"/>
          </w:tcPr>
          <w:p w14:paraId="04F604A8" w14:textId="00DB1436" w:rsidR="000537A4" w:rsidRDefault="000537A4" w:rsidP="009E6324">
            <w:pPr>
              <w:jc w:val="center"/>
            </w:pPr>
            <w:r>
              <w:t>16.0</w:t>
            </w:r>
          </w:p>
        </w:tc>
        <w:tc>
          <w:tcPr>
            <w:tcW w:w="982" w:type="dxa"/>
          </w:tcPr>
          <w:p w14:paraId="6A6C8DBF" w14:textId="192D9691" w:rsidR="000537A4" w:rsidRDefault="000537A4" w:rsidP="009E6324">
            <w:pPr>
              <w:jc w:val="center"/>
            </w:pPr>
            <w:r>
              <w:t>1.87</w:t>
            </w:r>
          </w:p>
        </w:tc>
        <w:tc>
          <w:tcPr>
            <w:tcW w:w="1072" w:type="dxa"/>
          </w:tcPr>
          <w:p w14:paraId="6186CD0C" w14:textId="2294F030" w:rsidR="000537A4" w:rsidRDefault="000537A4" w:rsidP="009E6324">
            <w:pPr>
              <w:jc w:val="center"/>
            </w:pPr>
            <w:r>
              <w:t>0.139</w:t>
            </w:r>
          </w:p>
        </w:tc>
        <w:tc>
          <w:tcPr>
            <w:tcW w:w="2575" w:type="dxa"/>
          </w:tcPr>
          <w:p w14:paraId="0B753E72" w14:textId="5B7D9853" w:rsidR="000537A4" w:rsidRDefault="000537A4" w:rsidP="009E6324">
            <w:pPr>
              <w:jc w:val="center"/>
            </w:pPr>
            <w:r>
              <w:t>0.934</w:t>
            </w:r>
          </w:p>
        </w:tc>
      </w:tr>
      <w:tr w:rsidR="000537A4" w14:paraId="524DEAD3" w14:textId="77777777" w:rsidTr="000537A4">
        <w:tc>
          <w:tcPr>
            <w:tcW w:w="1164" w:type="dxa"/>
          </w:tcPr>
          <w:p w14:paraId="0A2E5427" w14:textId="51A29523" w:rsidR="000537A4" w:rsidRDefault="000537A4" w:rsidP="009E6324">
            <w:pPr>
              <w:jc w:val="center"/>
            </w:pPr>
          </w:p>
        </w:tc>
        <w:tc>
          <w:tcPr>
            <w:tcW w:w="1617" w:type="dxa"/>
          </w:tcPr>
          <w:p w14:paraId="2E5F1D35" w14:textId="502B3789" w:rsidR="000537A4" w:rsidRDefault="000537A4" w:rsidP="009E6324">
            <w:pPr>
              <w:jc w:val="center"/>
            </w:pPr>
            <w:r>
              <w:t>Control</w:t>
            </w:r>
          </w:p>
        </w:tc>
        <w:tc>
          <w:tcPr>
            <w:tcW w:w="978" w:type="dxa"/>
          </w:tcPr>
          <w:p w14:paraId="1AC48A11" w14:textId="01F019F4" w:rsidR="000537A4" w:rsidRDefault="000537A4" w:rsidP="009E6324">
            <w:pPr>
              <w:jc w:val="center"/>
            </w:pPr>
            <w:r>
              <w:t>23</w:t>
            </w:r>
          </w:p>
        </w:tc>
        <w:tc>
          <w:tcPr>
            <w:tcW w:w="972" w:type="dxa"/>
          </w:tcPr>
          <w:p w14:paraId="1A4E04BF" w14:textId="1B07BD25" w:rsidR="000537A4" w:rsidRDefault="000537A4" w:rsidP="009E6324">
            <w:pPr>
              <w:jc w:val="center"/>
            </w:pPr>
            <w:r>
              <w:t>14.1</w:t>
            </w:r>
          </w:p>
        </w:tc>
        <w:tc>
          <w:tcPr>
            <w:tcW w:w="982" w:type="dxa"/>
          </w:tcPr>
          <w:p w14:paraId="11F04735" w14:textId="6D1D5B8C" w:rsidR="000537A4" w:rsidRDefault="000537A4" w:rsidP="009E6324">
            <w:pPr>
              <w:jc w:val="center"/>
            </w:pPr>
            <w:r>
              <w:t>2.05</w:t>
            </w:r>
          </w:p>
        </w:tc>
        <w:tc>
          <w:tcPr>
            <w:tcW w:w="1072" w:type="dxa"/>
          </w:tcPr>
          <w:p w14:paraId="49E884A2" w14:textId="479F5B1E" w:rsidR="000537A4" w:rsidRDefault="000537A4" w:rsidP="009E6324">
            <w:pPr>
              <w:jc w:val="center"/>
            </w:pPr>
            <w:r>
              <w:t>0.148</w:t>
            </w:r>
          </w:p>
        </w:tc>
        <w:tc>
          <w:tcPr>
            <w:tcW w:w="2575" w:type="dxa"/>
          </w:tcPr>
          <w:p w14:paraId="78352685" w14:textId="1975912A" w:rsidR="000537A4" w:rsidRDefault="000537A4" w:rsidP="009E6324">
            <w:pPr>
              <w:jc w:val="center"/>
            </w:pPr>
            <w:r>
              <w:t>2.244</w:t>
            </w:r>
          </w:p>
        </w:tc>
      </w:tr>
      <w:tr w:rsidR="000537A4" w14:paraId="18858791" w14:textId="77777777" w:rsidTr="000537A4">
        <w:tc>
          <w:tcPr>
            <w:tcW w:w="1164" w:type="dxa"/>
          </w:tcPr>
          <w:p w14:paraId="4C675581" w14:textId="38CADCC2" w:rsidR="000537A4" w:rsidRDefault="000537A4" w:rsidP="009E6324">
            <w:pPr>
              <w:jc w:val="center"/>
            </w:pPr>
            <w:r>
              <w:t>Female</w:t>
            </w:r>
          </w:p>
        </w:tc>
        <w:tc>
          <w:tcPr>
            <w:tcW w:w="1617" w:type="dxa"/>
          </w:tcPr>
          <w:p w14:paraId="33480211" w14:textId="10C98257" w:rsidR="000537A4" w:rsidRDefault="000537A4" w:rsidP="009E6324">
            <w:pPr>
              <w:jc w:val="center"/>
            </w:pPr>
            <w:r>
              <w:t>Importance</w:t>
            </w:r>
          </w:p>
        </w:tc>
        <w:tc>
          <w:tcPr>
            <w:tcW w:w="978" w:type="dxa"/>
          </w:tcPr>
          <w:p w14:paraId="48FF6109" w14:textId="3C5236B3" w:rsidR="000537A4" w:rsidRDefault="000537A4" w:rsidP="009E6324">
            <w:pPr>
              <w:jc w:val="center"/>
            </w:pPr>
            <w:r>
              <w:t>27</w:t>
            </w:r>
          </w:p>
        </w:tc>
        <w:tc>
          <w:tcPr>
            <w:tcW w:w="972" w:type="dxa"/>
          </w:tcPr>
          <w:p w14:paraId="56F0E533" w14:textId="0D1CBE1B" w:rsidR="000537A4" w:rsidRDefault="000537A4" w:rsidP="009E6324">
            <w:pPr>
              <w:jc w:val="center"/>
            </w:pPr>
            <w:r>
              <w:t>16.6</w:t>
            </w:r>
          </w:p>
        </w:tc>
        <w:tc>
          <w:tcPr>
            <w:tcW w:w="982" w:type="dxa"/>
          </w:tcPr>
          <w:p w14:paraId="6C841599" w14:textId="3E18C2AB" w:rsidR="000537A4" w:rsidRDefault="000537A4" w:rsidP="009E6324">
            <w:pPr>
              <w:jc w:val="center"/>
            </w:pPr>
            <w:r>
              <w:t>2.82</w:t>
            </w:r>
          </w:p>
        </w:tc>
        <w:tc>
          <w:tcPr>
            <w:tcW w:w="1072" w:type="dxa"/>
          </w:tcPr>
          <w:p w14:paraId="223D7D1A" w14:textId="39014BD0" w:rsidR="000537A4" w:rsidRDefault="000537A4" w:rsidP="009E6324">
            <w:pPr>
              <w:jc w:val="center"/>
            </w:pPr>
            <w:r>
              <w:t>0.137</w:t>
            </w:r>
          </w:p>
        </w:tc>
        <w:tc>
          <w:tcPr>
            <w:tcW w:w="2575" w:type="dxa"/>
          </w:tcPr>
          <w:p w14:paraId="2BF5254A" w14:textId="56821367" w:rsidR="000537A4" w:rsidRDefault="000537A4" w:rsidP="009E6324">
            <w:pPr>
              <w:jc w:val="center"/>
            </w:pPr>
            <w:r>
              <w:t>0.306</w:t>
            </w:r>
          </w:p>
        </w:tc>
      </w:tr>
      <w:tr w:rsidR="000537A4" w14:paraId="3EB1D9F9" w14:textId="77777777" w:rsidTr="000537A4">
        <w:tc>
          <w:tcPr>
            <w:tcW w:w="1164" w:type="dxa"/>
          </w:tcPr>
          <w:p w14:paraId="485E2575" w14:textId="77777777" w:rsidR="000537A4" w:rsidRDefault="000537A4" w:rsidP="009E6324">
            <w:pPr>
              <w:jc w:val="center"/>
            </w:pPr>
          </w:p>
        </w:tc>
        <w:tc>
          <w:tcPr>
            <w:tcW w:w="1617" w:type="dxa"/>
          </w:tcPr>
          <w:p w14:paraId="5ECFE074" w14:textId="1D99FD9A" w:rsidR="000537A4" w:rsidRDefault="000537A4" w:rsidP="009E6324">
            <w:pPr>
              <w:jc w:val="center"/>
            </w:pPr>
            <w:r>
              <w:t>Impossibility</w:t>
            </w:r>
          </w:p>
        </w:tc>
        <w:tc>
          <w:tcPr>
            <w:tcW w:w="978" w:type="dxa"/>
          </w:tcPr>
          <w:p w14:paraId="45A0D729" w14:textId="35E2E8CD" w:rsidR="000537A4" w:rsidRDefault="000537A4" w:rsidP="009E6324">
            <w:pPr>
              <w:jc w:val="center"/>
            </w:pPr>
            <w:r>
              <w:t>33</w:t>
            </w:r>
          </w:p>
        </w:tc>
        <w:tc>
          <w:tcPr>
            <w:tcW w:w="972" w:type="dxa"/>
          </w:tcPr>
          <w:p w14:paraId="737B3A8F" w14:textId="4AE4A14F" w:rsidR="000537A4" w:rsidRDefault="000537A4" w:rsidP="009E6324">
            <w:pPr>
              <w:jc w:val="center"/>
            </w:pPr>
            <w:r>
              <w:t>20.2</w:t>
            </w:r>
          </w:p>
        </w:tc>
        <w:tc>
          <w:tcPr>
            <w:tcW w:w="982" w:type="dxa"/>
          </w:tcPr>
          <w:p w14:paraId="67E2B202" w14:textId="7295AF83" w:rsidR="000537A4" w:rsidRDefault="000537A4" w:rsidP="009E6324">
            <w:pPr>
              <w:jc w:val="center"/>
            </w:pPr>
            <w:r>
              <w:t>2.76</w:t>
            </w:r>
          </w:p>
        </w:tc>
        <w:tc>
          <w:tcPr>
            <w:tcW w:w="1072" w:type="dxa"/>
          </w:tcPr>
          <w:p w14:paraId="7ED3D7D5" w14:textId="1D6D8634" w:rsidR="000537A4" w:rsidRDefault="000537A4" w:rsidP="009E6324">
            <w:pPr>
              <w:jc w:val="center"/>
            </w:pPr>
            <w:r>
              <w:t>0.124</w:t>
            </w:r>
          </w:p>
        </w:tc>
        <w:tc>
          <w:tcPr>
            <w:tcW w:w="2575" w:type="dxa"/>
          </w:tcPr>
          <w:p w14:paraId="200BEFCE" w14:textId="4CD9C69A" w:rsidR="000537A4" w:rsidRDefault="000537A4" w:rsidP="009E6324">
            <w:pPr>
              <w:jc w:val="center"/>
            </w:pPr>
            <w:r>
              <w:t>0.710</w:t>
            </w:r>
          </w:p>
        </w:tc>
      </w:tr>
      <w:tr w:rsidR="000537A4" w14:paraId="7A4C0A23" w14:textId="77777777" w:rsidTr="000537A4">
        <w:tc>
          <w:tcPr>
            <w:tcW w:w="1164" w:type="dxa"/>
            <w:tcBorders>
              <w:bottom w:val="single" w:sz="18" w:space="0" w:color="auto"/>
            </w:tcBorders>
          </w:tcPr>
          <w:p w14:paraId="12367B52" w14:textId="5A38315F" w:rsidR="000537A4" w:rsidRDefault="000537A4" w:rsidP="009E6324">
            <w:pPr>
              <w:jc w:val="center"/>
            </w:pPr>
          </w:p>
        </w:tc>
        <w:tc>
          <w:tcPr>
            <w:tcW w:w="1617" w:type="dxa"/>
            <w:tcBorders>
              <w:bottom w:val="single" w:sz="18" w:space="0" w:color="auto"/>
            </w:tcBorders>
          </w:tcPr>
          <w:p w14:paraId="4F25A406" w14:textId="7ABB09D9" w:rsidR="000537A4" w:rsidRDefault="000537A4" w:rsidP="009E6324">
            <w:pPr>
              <w:jc w:val="center"/>
            </w:pPr>
            <w:r>
              <w:t>Control</w:t>
            </w:r>
          </w:p>
        </w:tc>
        <w:tc>
          <w:tcPr>
            <w:tcW w:w="978" w:type="dxa"/>
            <w:tcBorders>
              <w:bottom w:val="single" w:sz="18" w:space="0" w:color="auto"/>
            </w:tcBorders>
          </w:tcPr>
          <w:p w14:paraId="15D85232" w14:textId="5E98BA44" w:rsidR="000537A4" w:rsidRDefault="000537A4" w:rsidP="009E6324">
            <w:pPr>
              <w:jc w:val="center"/>
            </w:pPr>
            <w:r>
              <w:t>30</w:t>
            </w:r>
          </w:p>
        </w:tc>
        <w:tc>
          <w:tcPr>
            <w:tcW w:w="972" w:type="dxa"/>
            <w:tcBorders>
              <w:bottom w:val="single" w:sz="18" w:space="0" w:color="auto"/>
            </w:tcBorders>
          </w:tcPr>
          <w:p w14:paraId="7D2DB8EA" w14:textId="1F4AFC0B" w:rsidR="000537A4" w:rsidRDefault="000537A4" w:rsidP="009E6324">
            <w:pPr>
              <w:jc w:val="center"/>
            </w:pPr>
            <w:r>
              <w:t>18.4</w:t>
            </w:r>
          </w:p>
        </w:tc>
        <w:tc>
          <w:tcPr>
            <w:tcW w:w="982" w:type="dxa"/>
            <w:tcBorders>
              <w:bottom w:val="single" w:sz="18" w:space="0" w:color="auto"/>
            </w:tcBorders>
          </w:tcPr>
          <w:p w14:paraId="72124C99" w14:textId="59827775" w:rsidR="000537A4" w:rsidRDefault="000537A4" w:rsidP="009E6324">
            <w:pPr>
              <w:jc w:val="center"/>
            </w:pPr>
            <w:r>
              <w:t>2.69</w:t>
            </w:r>
          </w:p>
        </w:tc>
        <w:tc>
          <w:tcPr>
            <w:tcW w:w="1072" w:type="dxa"/>
            <w:tcBorders>
              <w:bottom w:val="single" w:sz="18" w:space="0" w:color="auto"/>
            </w:tcBorders>
          </w:tcPr>
          <w:p w14:paraId="4311824B" w14:textId="56721D24" w:rsidR="000537A4" w:rsidRDefault="000537A4" w:rsidP="009E6324">
            <w:pPr>
              <w:jc w:val="center"/>
            </w:pPr>
            <w:r>
              <w:t>0.130</w:t>
            </w:r>
          </w:p>
        </w:tc>
        <w:tc>
          <w:tcPr>
            <w:tcW w:w="2575" w:type="dxa"/>
            <w:tcBorders>
              <w:bottom w:val="single" w:sz="18" w:space="0" w:color="auto"/>
            </w:tcBorders>
          </w:tcPr>
          <w:p w14:paraId="11C042B4" w14:textId="56BF64FE" w:rsidR="000537A4" w:rsidRDefault="000537A4" w:rsidP="009E6324">
            <w:pPr>
              <w:jc w:val="center"/>
            </w:pPr>
            <w:r>
              <w:t>0.253</w:t>
            </w:r>
          </w:p>
        </w:tc>
      </w:tr>
    </w:tbl>
    <w:p w14:paraId="522DDA19" w14:textId="66C8E6F8" w:rsidR="00440CC7" w:rsidRPr="00727FDB" w:rsidRDefault="00440CC7" w:rsidP="00440CC7"/>
    <w:p w14:paraId="26C4CB36" w14:textId="6E46EA5E" w:rsidR="000537A4" w:rsidRDefault="00727FDB" w:rsidP="00727FDB">
      <w:pPr>
        <w:spacing w:line="480" w:lineRule="auto"/>
      </w:pPr>
      <w:r>
        <w:tab/>
      </w:r>
      <w:r w:rsidR="000537A4">
        <w:t xml:space="preserve">The proportion of individuals within each group of gender by conditions was around one sixth, which indicated </w:t>
      </w:r>
      <w:r w:rsidR="00941E38">
        <w:t xml:space="preserve">the even distribution of participants of different genders in three conditions and the independence of </w:t>
      </w:r>
      <w:r w:rsidR="000537A4">
        <w:t>experimental conditions and gende</w:t>
      </w:r>
      <w:r w:rsidR="00941E38">
        <w:t>r</w:t>
      </w:r>
      <w:r w:rsidR="000537A4">
        <w:t>.</w:t>
      </w:r>
    </w:p>
    <w:p w14:paraId="7EE85C87" w14:textId="06ACE903" w:rsidR="000537A4" w:rsidRDefault="000537A4" w:rsidP="00727FDB">
      <w:pPr>
        <w:spacing w:line="480" w:lineRule="auto"/>
      </w:pPr>
      <w:r>
        <w:tab/>
        <w:t>Furthermore, with respect to the mean value of the writing score</w:t>
      </w:r>
      <w:r w:rsidR="00184363">
        <w:t>s</w:t>
      </w:r>
      <w:r>
        <w:t xml:space="preserve"> </w:t>
      </w:r>
      <w:r w:rsidR="00184363">
        <w:t>for</w:t>
      </w:r>
      <w:r>
        <w:t xml:space="preserve"> the six groups, they were around two</w:t>
      </w:r>
      <w:r w:rsidR="00184363">
        <w:t>, which was close to the medium</w:t>
      </w:r>
      <w:r>
        <w:t xml:space="preserve"> </w:t>
      </w:r>
      <w:r w:rsidR="00184363">
        <w:t xml:space="preserve">score that can be earned </w:t>
      </w:r>
      <w:r>
        <w:t>out of the full score</w:t>
      </w:r>
      <w:r w:rsidR="00184363">
        <w:t>,</w:t>
      </w:r>
      <w:r>
        <w:t xml:space="preserve"> four</w:t>
      </w:r>
      <w:r w:rsidR="00184363">
        <w:t>, showing no evident risk of floor or ceiling effects. Also, the six standard deviations of the writing scores were all about 0.1, around one twentieth of the scores, which implies quite centralized distributions of the writing scores within each group.</w:t>
      </w:r>
    </w:p>
    <w:p w14:paraId="76101385" w14:textId="3BD5FDF4" w:rsidR="00B22734" w:rsidRDefault="00184363" w:rsidP="00727FDB">
      <w:pPr>
        <w:spacing w:line="480" w:lineRule="auto"/>
        <w:rPr>
          <w:lang w:eastAsia="zh-CN"/>
        </w:rPr>
      </w:pPr>
      <w:r>
        <w:tab/>
        <w:t>Before examining difference of mean</w:t>
      </w:r>
      <w:r w:rsidR="00B22734">
        <w:t xml:space="preserve"> writing scores across the six groups using the two-way ANOVA, two statistical requirements for this analysis were tested, i.e. normality and homoscedasticity. The six z-scores of the skewness statistics were all within the range from -3.09 to 3.09 meaning that the assumption of the data following the normal distribution was sound. In addition, the insignificance of the Levene’s test (</w:t>
      </w:r>
      <w:r w:rsidR="00B22734" w:rsidRPr="00580B21">
        <w:rPr>
          <w:i/>
          <w:iCs/>
          <w:lang w:eastAsia="zh-CN"/>
        </w:rPr>
        <w:t>p</w:t>
      </w:r>
      <w:r w:rsidR="00B22734">
        <w:rPr>
          <w:lang w:eastAsia="zh-CN"/>
        </w:rPr>
        <w:t xml:space="preserve"> = .070) meant that the assumption of the equal variance across groups was also met. Since both requirements were satisfied, the ANOVA could be conducted on this dataset.</w:t>
      </w:r>
    </w:p>
    <w:p w14:paraId="1B7C5A60" w14:textId="319A0EB0" w:rsidR="00B22734" w:rsidRDefault="00B22734" w:rsidP="00727FDB">
      <w:pPr>
        <w:spacing w:line="480" w:lineRule="auto"/>
        <w:rPr>
          <w:lang w:eastAsia="zh-CN"/>
        </w:rPr>
      </w:pPr>
      <w:r>
        <w:rPr>
          <w:lang w:eastAsia="zh-CN"/>
        </w:rPr>
        <w:tab/>
      </w:r>
      <w:r w:rsidR="005F6959">
        <w:rPr>
          <w:lang w:eastAsia="zh-CN"/>
        </w:rPr>
        <w:t>The</w:t>
      </w:r>
      <w:r>
        <w:rPr>
          <w:lang w:eastAsia="zh-CN"/>
        </w:rPr>
        <w:t xml:space="preserve"> two-way ANOVA </w:t>
      </w:r>
      <w:r w:rsidR="005F6959">
        <w:rPr>
          <w:lang w:eastAsia="zh-CN"/>
        </w:rPr>
        <w:t>result</w:t>
      </w:r>
      <w:r w:rsidR="00941E38">
        <w:rPr>
          <w:lang w:eastAsia="zh-CN"/>
        </w:rPr>
        <w:t>s</w:t>
      </w:r>
      <w:r w:rsidR="005F6959">
        <w:rPr>
          <w:lang w:eastAsia="zh-CN"/>
        </w:rPr>
        <w:t xml:space="preserve"> </w:t>
      </w:r>
      <w:r>
        <w:rPr>
          <w:lang w:eastAsia="zh-CN"/>
        </w:rPr>
        <w:t>in Table 2</w:t>
      </w:r>
      <w:r w:rsidR="005F6959">
        <w:rPr>
          <w:lang w:eastAsia="zh-CN"/>
        </w:rPr>
        <w:t xml:space="preserve"> showed</w:t>
      </w:r>
      <w:r>
        <w:rPr>
          <w:lang w:eastAsia="zh-CN"/>
        </w:rPr>
        <w:t xml:space="preserve"> </w:t>
      </w:r>
      <w:r w:rsidR="005F6959">
        <w:rPr>
          <w:lang w:eastAsia="zh-CN"/>
        </w:rPr>
        <w:t>significant main effects of gender (</w:t>
      </w:r>
      <w:r w:rsidR="005F6959" w:rsidRPr="005F6959">
        <w:rPr>
          <w:i/>
          <w:iCs/>
          <w:lang w:eastAsia="zh-CN"/>
        </w:rPr>
        <w:t>p</w:t>
      </w:r>
      <w:r w:rsidR="005F6959">
        <w:rPr>
          <w:lang w:eastAsia="zh-CN"/>
        </w:rPr>
        <w:t xml:space="preserve"> = .0005) and mindset interventions (</w:t>
      </w:r>
      <w:r w:rsidR="005F6959" w:rsidRPr="005F6959">
        <w:rPr>
          <w:i/>
          <w:iCs/>
          <w:lang w:eastAsia="zh-CN"/>
        </w:rPr>
        <w:t>p</w:t>
      </w:r>
      <w:r w:rsidR="005F6959">
        <w:rPr>
          <w:lang w:eastAsia="zh-CN"/>
        </w:rPr>
        <w:t xml:space="preserve"> = .04) but no significant interaction effect (</w:t>
      </w:r>
      <w:r w:rsidR="005F6959">
        <w:rPr>
          <w:i/>
          <w:iCs/>
          <w:lang w:eastAsia="zh-CN"/>
        </w:rPr>
        <w:t xml:space="preserve">p </w:t>
      </w:r>
      <w:r w:rsidR="005F6959">
        <w:rPr>
          <w:lang w:eastAsia="zh-CN"/>
        </w:rPr>
        <w:t>= .15).</w:t>
      </w:r>
    </w:p>
    <w:p w14:paraId="71BAE37E" w14:textId="3FE3213A" w:rsidR="005F6959" w:rsidRDefault="005F6959" w:rsidP="005F6959">
      <w:pPr>
        <w:spacing w:line="480" w:lineRule="auto"/>
      </w:pPr>
      <w:r>
        <w:lastRenderedPageBreak/>
        <w:t>Table 2</w:t>
      </w:r>
    </w:p>
    <w:p w14:paraId="3EACF334" w14:textId="072303CF" w:rsidR="005F6959" w:rsidRDefault="005F6959" w:rsidP="005F6959">
      <w:pPr>
        <w:spacing w:line="480" w:lineRule="auto"/>
        <w:rPr>
          <w:i/>
          <w:iCs/>
          <w:lang w:eastAsia="zh-CN"/>
        </w:rPr>
      </w:pPr>
      <w:r>
        <w:rPr>
          <w:i/>
          <w:iCs/>
          <w:lang w:eastAsia="zh-CN"/>
        </w:rPr>
        <w:t xml:space="preserve">Two-Way Analysis of Variance in </w:t>
      </w:r>
      <w:r w:rsidR="0068779A">
        <w:rPr>
          <w:i/>
          <w:iCs/>
          <w:lang w:eastAsia="zh-CN"/>
        </w:rPr>
        <w:t>W</w:t>
      </w:r>
      <w:r w:rsidR="006212FC">
        <w:rPr>
          <w:i/>
          <w:iCs/>
          <w:lang w:eastAsia="zh-CN"/>
        </w:rPr>
        <w:t>riting</w:t>
      </w:r>
      <w:r>
        <w:rPr>
          <w:i/>
          <w:iCs/>
          <w:lang w:eastAsia="zh-CN"/>
        </w:rPr>
        <w:t xml:space="preserve"> </w:t>
      </w:r>
      <w:r w:rsidR="0068779A">
        <w:rPr>
          <w:i/>
          <w:iCs/>
          <w:lang w:eastAsia="zh-CN"/>
        </w:rPr>
        <w:t>S</w:t>
      </w:r>
      <w:r>
        <w:rPr>
          <w:i/>
          <w:iCs/>
          <w:lang w:eastAsia="zh-CN"/>
        </w:rPr>
        <w:t>core</w:t>
      </w:r>
      <w:r w:rsidR="0068779A">
        <w:rPr>
          <w:i/>
          <w:iCs/>
          <w:lang w:eastAsia="zh-CN"/>
        </w:rPr>
        <w: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0"/>
        <w:gridCol w:w="2084"/>
        <w:gridCol w:w="691"/>
        <w:gridCol w:w="1788"/>
        <w:gridCol w:w="1133"/>
        <w:gridCol w:w="1194"/>
      </w:tblGrid>
      <w:tr w:rsidR="005F6959" w14:paraId="6E4103AF" w14:textId="77777777" w:rsidTr="00295135">
        <w:tc>
          <w:tcPr>
            <w:tcW w:w="1320" w:type="pct"/>
            <w:tcBorders>
              <w:top w:val="single" w:sz="18" w:space="0" w:color="auto"/>
              <w:bottom w:val="single" w:sz="4" w:space="0" w:color="auto"/>
            </w:tcBorders>
            <w:vAlign w:val="bottom"/>
          </w:tcPr>
          <w:p w14:paraId="0BFAEEBB" w14:textId="77777777" w:rsidR="005F6959" w:rsidRDefault="005F6959" w:rsidP="006E2961">
            <w:pPr>
              <w:jc w:val="center"/>
            </w:pPr>
            <w:r>
              <w:t>Source</w:t>
            </w:r>
          </w:p>
        </w:tc>
        <w:tc>
          <w:tcPr>
            <w:tcW w:w="1113" w:type="pct"/>
            <w:tcBorders>
              <w:top w:val="single" w:sz="18" w:space="0" w:color="auto"/>
              <w:bottom w:val="single" w:sz="4" w:space="0" w:color="auto"/>
            </w:tcBorders>
            <w:vAlign w:val="bottom"/>
          </w:tcPr>
          <w:p w14:paraId="34A5316F" w14:textId="77777777" w:rsidR="005F6959" w:rsidRDefault="005F6959" w:rsidP="006E2961">
            <w:pPr>
              <w:jc w:val="center"/>
            </w:pPr>
            <w:r>
              <w:t>Sum of Squares</w:t>
            </w:r>
          </w:p>
        </w:tc>
        <w:tc>
          <w:tcPr>
            <w:tcW w:w="369" w:type="pct"/>
            <w:tcBorders>
              <w:top w:val="single" w:sz="18" w:space="0" w:color="auto"/>
              <w:bottom w:val="single" w:sz="4" w:space="0" w:color="auto"/>
            </w:tcBorders>
            <w:vAlign w:val="bottom"/>
          </w:tcPr>
          <w:p w14:paraId="40663D53" w14:textId="77777777" w:rsidR="005F6959" w:rsidRPr="00FD4FBF" w:rsidRDefault="005F6959" w:rsidP="006E2961">
            <w:pPr>
              <w:jc w:val="center"/>
              <w:rPr>
                <w:i/>
                <w:iCs/>
              </w:rPr>
            </w:pPr>
            <w:r w:rsidRPr="00FD4FBF">
              <w:rPr>
                <w:i/>
                <w:iCs/>
              </w:rPr>
              <w:t>df</w:t>
            </w:r>
          </w:p>
        </w:tc>
        <w:tc>
          <w:tcPr>
            <w:tcW w:w="955" w:type="pct"/>
            <w:tcBorders>
              <w:top w:val="single" w:sz="18" w:space="0" w:color="auto"/>
              <w:bottom w:val="single" w:sz="4" w:space="0" w:color="auto"/>
            </w:tcBorders>
            <w:vAlign w:val="bottom"/>
          </w:tcPr>
          <w:p w14:paraId="2D4B765D" w14:textId="77777777" w:rsidR="005F6959" w:rsidRDefault="005F6959" w:rsidP="006E2961">
            <w:pPr>
              <w:jc w:val="center"/>
            </w:pPr>
            <w:r>
              <w:t>Mean Square</w:t>
            </w:r>
          </w:p>
        </w:tc>
        <w:tc>
          <w:tcPr>
            <w:tcW w:w="605" w:type="pct"/>
            <w:tcBorders>
              <w:top w:val="single" w:sz="18" w:space="0" w:color="auto"/>
              <w:bottom w:val="single" w:sz="4" w:space="0" w:color="auto"/>
            </w:tcBorders>
            <w:vAlign w:val="bottom"/>
          </w:tcPr>
          <w:p w14:paraId="4308A620" w14:textId="77777777" w:rsidR="005F6959" w:rsidRDefault="005F6959" w:rsidP="006E2961">
            <w:pPr>
              <w:jc w:val="center"/>
            </w:pPr>
            <w:r w:rsidRPr="00FD4FBF">
              <w:rPr>
                <w:i/>
                <w:iCs/>
              </w:rPr>
              <w:t>F</w:t>
            </w:r>
            <w:r>
              <w:t xml:space="preserve"> Ratio</w:t>
            </w:r>
          </w:p>
        </w:tc>
        <w:tc>
          <w:tcPr>
            <w:tcW w:w="639" w:type="pct"/>
            <w:tcBorders>
              <w:top w:val="single" w:sz="18" w:space="0" w:color="auto"/>
              <w:bottom w:val="single" w:sz="4" w:space="0" w:color="auto"/>
            </w:tcBorders>
          </w:tcPr>
          <w:p w14:paraId="3DD9F962" w14:textId="77777777" w:rsidR="005F6959" w:rsidRPr="00FD4FBF" w:rsidRDefault="005F6959" w:rsidP="006E2961">
            <w:pPr>
              <w:jc w:val="center"/>
              <w:rPr>
                <w:i/>
                <w:iCs/>
              </w:rPr>
            </w:pPr>
            <w:r>
              <w:rPr>
                <w:i/>
                <w:iCs/>
              </w:rPr>
              <w:t>p</w:t>
            </w:r>
          </w:p>
        </w:tc>
      </w:tr>
      <w:tr w:rsidR="005F6959" w14:paraId="4B93344B" w14:textId="77777777" w:rsidTr="00295135">
        <w:tc>
          <w:tcPr>
            <w:tcW w:w="1320" w:type="pct"/>
          </w:tcPr>
          <w:p w14:paraId="4F373DAB" w14:textId="326CC3E7" w:rsidR="005F6959" w:rsidRDefault="00295135" w:rsidP="006E2961">
            <w:pPr>
              <w:jc w:val="center"/>
            </w:pPr>
            <w:r>
              <w:t>Mindsets</w:t>
            </w:r>
          </w:p>
        </w:tc>
        <w:tc>
          <w:tcPr>
            <w:tcW w:w="1113" w:type="pct"/>
          </w:tcPr>
          <w:p w14:paraId="1545B4F2" w14:textId="74C1B4C4" w:rsidR="005F6959" w:rsidRDefault="005F6959" w:rsidP="006E2961">
            <w:pPr>
              <w:jc w:val="center"/>
            </w:pPr>
            <w:r>
              <w:t>2.08</w:t>
            </w:r>
          </w:p>
        </w:tc>
        <w:tc>
          <w:tcPr>
            <w:tcW w:w="369" w:type="pct"/>
          </w:tcPr>
          <w:p w14:paraId="2E3B6A01" w14:textId="77777777" w:rsidR="005F6959" w:rsidRDefault="005F6959" w:rsidP="006E2961">
            <w:pPr>
              <w:jc w:val="center"/>
            </w:pPr>
            <w:r>
              <w:t>2</w:t>
            </w:r>
          </w:p>
        </w:tc>
        <w:tc>
          <w:tcPr>
            <w:tcW w:w="955" w:type="pct"/>
          </w:tcPr>
          <w:p w14:paraId="385E63C8" w14:textId="44E07CDC" w:rsidR="005F6959" w:rsidRDefault="006212FC" w:rsidP="006E2961">
            <w:pPr>
              <w:jc w:val="center"/>
            </w:pPr>
            <w:r>
              <w:t>1.04</w:t>
            </w:r>
          </w:p>
        </w:tc>
        <w:tc>
          <w:tcPr>
            <w:tcW w:w="605" w:type="pct"/>
          </w:tcPr>
          <w:p w14:paraId="1826CB12" w14:textId="529CB452" w:rsidR="005F6959" w:rsidRDefault="006212FC" w:rsidP="006E2961">
            <w:pPr>
              <w:jc w:val="center"/>
            </w:pPr>
            <w:r>
              <w:t>3</w:t>
            </w:r>
            <w:r w:rsidR="005F6959">
              <w:t>.</w:t>
            </w:r>
            <w:r>
              <w:t>25</w:t>
            </w:r>
          </w:p>
        </w:tc>
        <w:tc>
          <w:tcPr>
            <w:tcW w:w="639" w:type="pct"/>
          </w:tcPr>
          <w:p w14:paraId="23493C18" w14:textId="6C320E8A" w:rsidR="005F6959" w:rsidRDefault="006212FC" w:rsidP="006E2961">
            <w:pPr>
              <w:jc w:val="center"/>
            </w:pPr>
            <w:r>
              <w:t>.0413*</w:t>
            </w:r>
          </w:p>
        </w:tc>
      </w:tr>
      <w:tr w:rsidR="005F6959" w14:paraId="006EE5AD" w14:textId="77777777" w:rsidTr="00295135">
        <w:tc>
          <w:tcPr>
            <w:tcW w:w="1320" w:type="pct"/>
          </w:tcPr>
          <w:p w14:paraId="6949F756" w14:textId="563D9165" w:rsidR="005F6959" w:rsidRDefault="005F6959" w:rsidP="006E2961">
            <w:pPr>
              <w:jc w:val="center"/>
            </w:pPr>
            <w:r>
              <w:t>Gender</w:t>
            </w:r>
          </w:p>
        </w:tc>
        <w:tc>
          <w:tcPr>
            <w:tcW w:w="1113" w:type="pct"/>
          </w:tcPr>
          <w:p w14:paraId="55A29321" w14:textId="7C93202F" w:rsidR="005F6959" w:rsidRDefault="005F6959" w:rsidP="006E2961">
            <w:pPr>
              <w:jc w:val="center"/>
            </w:pPr>
            <w:r>
              <w:t>4.05</w:t>
            </w:r>
          </w:p>
        </w:tc>
        <w:tc>
          <w:tcPr>
            <w:tcW w:w="369" w:type="pct"/>
          </w:tcPr>
          <w:p w14:paraId="58F3409D" w14:textId="5BD7E7D8" w:rsidR="005F6959" w:rsidRDefault="005F6959" w:rsidP="006E2961">
            <w:pPr>
              <w:jc w:val="center"/>
            </w:pPr>
            <w:r>
              <w:t>1</w:t>
            </w:r>
          </w:p>
        </w:tc>
        <w:tc>
          <w:tcPr>
            <w:tcW w:w="955" w:type="pct"/>
          </w:tcPr>
          <w:p w14:paraId="0702A8E5" w14:textId="2EF78F4E" w:rsidR="005F6959" w:rsidRDefault="006212FC" w:rsidP="006E2961">
            <w:pPr>
              <w:jc w:val="center"/>
            </w:pPr>
            <w:r>
              <w:t>4.05</w:t>
            </w:r>
          </w:p>
        </w:tc>
        <w:tc>
          <w:tcPr>
            <w:tcW w:w="605" w:type="pct"/>
          </w:tcPr>
          <w:p w14:paraId="0C161536" w14:textId="1A95EDCB" w:rsidR="005F6959" w:rsidRDefault="006212FC" w:rsidP="006E2961">
            <w:pPr>
              <w:jc w:val="center"/>
            </w:pPr>
            <w:r>
              <w:t>12</w:t>
            </w:r>
            <w:r w:rsidR="005F6959">
              <w:t>.6</w:t>
            </w:r>
            <w:r>
              <w:t>8</w:t>
            </w:r>
          </w:p>
        </w:tc>
        <w:tc>
          <w:tcPr>
            <w:tcW w:w="639" w:type="pct"/>
          </w:tcPr>
          <w:p w14:paraId="46387F0D" w14:textId="4E429A9B" w:rsidR="005F6959" w:rsidRDefault="006212FC" w:rsidP="006E2961">
            <w:pPr>
              <w:jc w:val="center"/>
            </w:pPr>
            <w:r>
              <w:t>.0005**</w:t>
            </w:r>
          </w:p>
        </w:tc>
      </w:tr>
      <w:tr w:rsidR="005F6959" w14:paraId="3905B1B2" w14:textId="77777777" w:rsidTr="00295135">
        <w:tc>
          <w:tcPr>
            <w:tcW w:w="1320" w:type="pct"/>
          </w:tcPr>
          <w:p w14:paraId="396DCA0E" w14:textId="0BB054A5" w:rsidR="005F6959" w:rsidRDefault="00295135" w:rsidP="006E2961">
            <w:pPr>
              <w:jc w:val="center"/>
            </w:pPr>
            <w:r>
              <w:t>Mindsets</w:t>
            </w:r>
            <w:r w:rsidR="005F6959">
              <w:t xml:space="preserve"> × Gender</w:t>
            </w:r>
          </w:p>
        </w:tc>
        <w:tc>
          <w:tcPr>
            <w:tcW w:w="1113" w:type="pct"/>
          </w:tcPr>
          <w:p w14:paraId="43ED5B5F" w14:textId="01BEB8CC" w:rsidR="005F6959" w:rsidRDefault="005F6959" w:rsidP="006E2961">
            <w:pPr>
              <w:jc w:val="center"/>
            </w:pPr>
            <w:r>
              <w:t>1.23</w:t>
            </w:r>
          </w:p>
        </w:tc>
        <w:tc>
          <w:tcPr>
            <w:tcW w:w="369" w:type="pct"/>
          </w:tcPr>
          <w:p w14:paraId="03D71A1E" w14:textId="1BBFC2F3" w:rsidR="005F6959" w:rsidRDefault="006212FC" w:rsidP="006E2961">
            <w:pPr>
              <w:jc w:val="center"/>
            </w:pPr>
            <w:r>
              <w:t>2</w:t>
            </w:r>
          </w:p>
        </w:tc>
        <w:tc>
          <w:tcPr>
            <w:tcW w:w="955" w:type="pct"/>
          </w:tcPr>
          <w:p w14:paraId="6E1192C3" w14:textId="21A28D0F" w:rsidR="005F6959" w:rsidRDefault="006212FC" w:rsidP="006E2961">
            <w:pPr>
              <w:jc w:val="center"/>
            </w:pPr>
            <w:r>
              <w:t>0.62</w:t>
            </w:r>
          </w:p>
        </w:tc>
        <w:tc>
          <w:tcPr>
            <w:tcW w:w="605" w:type="pct"/>
          </w:tcPr>
          <w:p w14:paraId="333846F1" w14:textId="20C07132" w:rsidR="005F6959" w:rsidRDefault="006212FC" w:rsidP="006E2961">
            <w:pPr>
              <w:jc w:val="center"/>
            </w:pPr>
            <w:r>
              <w:t>1.92</w:t>
            </w:r>
          </w:p>
        </w:tc>
        <w:tc>
          <w:tcPr>
            <w:tcW w:w="639" w:type="pct"/>
          </w:tcPr>
          <w:p w14:paraId="11064805" w14:textId="61B850C7" w:rsidR="005F6959" w:rsidRDefault="006212FC" w:rsidP="006E2961">
            <w:pPr>
              <w:jc w:val="center"/>
            </w:pPr>
            <w:r>
              <w:t>.1498</w:t>
            </w:r>
          </w:p>
        </w:tc>
      </w:tr>
      <w:tr w:rsidR="005F6959" w14:paraId="16210792" w14:textId="77777777" w:rsidTr="00295135">
        <w:tc>
          <w:tcPr>
            <w:tcW w:w="1320" w:type="pct"/>
            <w:tcBorders>
              <w:bottom w:val="single" w:sz="18" w:space="0" w:color="auto"/>
            </w:tcBorders>
          </w:tcPr>
          <w:p w14:paraId="2A7ED740" w14:textId="77777777" w:rsidR="005F6959" w:rsidRDefault="005F6959" w:rsidP="006E2961">
            <w:pPr>
              <w:jc w:val="center"/>
            </w:pPr>
            <w:r>
              <w:t>Error</w:t>
            </w:r>
          </w:p>
        </w:tc>
        <w:tc>
          <w:tcPr>
            <w:tcW w:w="1113" w:type="pct"/>
            <w:tcBorders>
              <w:bottom w:val="single" w:sz="18" w:space="0" w:color="auto"/>
            </w:tcBorders>
          </w:tcPr>
          <w:p w14:paraId="5F148711" w14:textId="3E3E1858" w:rsidR="005F6959" w:rsidRDefault="005F6959" w:rsidP="006E2961">
            <w:pPr>
              <w:jc w:val="center"/>
            </w:pPr>
            <w:r>
              <w:t>48.9</w:t>
            </w:r>
          </w:p>
        </w:tc>
        <w:tc>
          <w:tcPr>
            <w:tcW w:w="369" w:type="pct"/>
            <w:tcBorders>
              <w:bottom w:val="single" w:sz="18" w:space="0" w:color="auto"/>
            </w:tcBorders>
          </w:tcPr>
          <w:p w14:paraId="318E88B1" w14:textId="00C09D72" w:rsidR="005F6959" w:rsidRDefault="006212FC" w:rsidP="006E2961">
            <w:pPr>
              <w:jc w:val="center"/>
            </w:pPr>
            <w:r>
              <w:t>153</w:t>
            </w:r>
          </w:p>
        </w:tc>
        <w:tc>
          <w:tcPr>
            <w:tcW w:w="955" w:type="pct"/>
            <w:tcBorders>
              <w:bottom w:val="single" w:sz="18" w:space="0" w:color="auto"/>
            </w:tcBorders>
          </w:tcPr>
          <w:p w14:paraId="441ECF42" w14:textId="79E455A8" w:rsidR="005F6959" w:rsidRDefault="006212FC" w:rsidP="006E2961">
            <w:pPr>
              <w:jc w:val="center"/>
            </w:pPr>
            <w:r>
              <w:t>0.32</w:t>
            </w:r>
          </w:p>
        </w:tc>
        <w:tc>
          <w:tcPr>
            <w:tcW w:w="605" w:type="pct"/>
            <w:tcBorders>
              <w:bottom w:val="single" w:sz="18" w:space="0" w:color="auto"/>
            </w:tcBorders>
          </w:tcPr>
          <w:p w14:paraId="6D01F276" w14:textId="77777777" w:rsidR="005F6959" w:rsidRDefault="005F6959" w:rsidP="006E2961">
            <w:pPr>
              <w:jc w:val="center"/>
            </w:pPr>
          </w:p>
        </w:tc>
        <w:tc>
          <w:tcPr>
            <w:tcW w:w="639" w:type="pct"/>
            <w:tcBorders>
              <w:bottom w:val="single" w:sz="18" w:space="0" w:color="auto"/>
            </w:tcBorders>
          </w:tcPr>
          <w:p w14:paraId="7EBF90C0" w14:textId="77777777" w:rsidR="005F6959" w:rsidRDefault="005F6959" w:rsidP="006E2961">
            <w:pPr>
              <w:jc w:val="center"/>
            </w:pPr>
          </w:p>
        </w:tc>
      </w:tr>
    </w:tbl>
    <w:p w14:paraId="0C2C1C39" w14:textId="77777777" w:rsidR="005F6959" w:rsidRDefault="005F6959" w:rsidP="005F6959">
      <w:pPr>
        <w:rPr>
          <w:i/>
          <w:iCs/>
        </w:rPr>
      </w:pPr>
      <w:r>
        <w:t>*</w:t>
      </w:r>
      <w:r>
        <w:rPr>
          <w:i/>
          <w:iCs/>
        </w:rPr>
        <w:t>p &lt; .05.  **p &lt; .01.</w:t>
      </w:r>
    </w:p>
    <w:p w14:paraId="5AFF1E88" w14:textId="36DC81A9" w:rsidR="00727FDB" w:rsidRDefault="00727FDB" w:rsidP="00440CC7">
      <w:pPr>
        <w:spacing w:line="480" w:lineRule="auto"/>
      </w:pPr>
    </w:p>
    <w:p w14:paraId="2E5A0718" w14:textId="5BB9AA3F" w:rsidR="006212FC" w:rsidRDefault="006212FC" w:rsidP="006212FC">
      <w:pPr>
        <w:spacing w:line="480" w:lineRule="auto"/>
      </w:pPr>
      <w:r>
        <w:tab/>
        <w:t>The interaction plot</w:t>
      </w:r>
      <w:r w:rsidR="00295135">
        <w:t xml:space="preserve"> with specified confidence intervals was demonstrated </w:t>
      </w:r>
      <w:r w:rsidR="0068779A">
        <w:t>in Figure 1</w:t>
      </w:r>
      <w:r w:rsidR="00295135">
        <w:t xml:space="preserve"> to further illustrate the effects of mindset interventions and gender on student’s writing scores.</w:t>
      </w:r>
    </w:p>
    <w:p w14:paraId="3B8466C3" w14:textId="0CBA69A1" w:rsidR="00295135" w:rsidRDefault="0068779A" w:rsidP="006212FC">
      <w:pPr>
        <w:spacing w:line="480" w:lineRule="auto"/>
      </w:pPr>
      <w:r>
        <w:rPr>
          <w:noProof/>
        </w:rPr>
        <w:drawing>
          <wp:inline distT="0" distB="0" distL="0" distR="0" wp14:anchorId="667304F3" wp14:editId="30A12F78">
            <wp:extent cx="59436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9400"/>
                    </a:xfrm>
                    <a:prstGeom prst="rect">
                      <a:avLst/>
                    </a:prstGeom>
                  </pic:spPr>
                </pic:pic>
              </a:graphicData>
            </a:graphic>
          </wp:inline>
        </w:drawing>
      </w:r>
    </w:p>
    <w:p w14:paraId="716AD3CD" w14:textId="606D7726" w:rsidR="00295135" w:rsidRDefault="00295135" w:rsidP="006212FC">
      <w:pPr>
        <w:spacing w:line="480" w:lineRule="auto"/>
      </w:pPr>
      <w:r w:rsidRPr="00295135">
        <w:rPr>
          <w:i/>
          <w:iCs/>
        </w:rPr>
        <w:t>Figure 1</w:t>
      </w:r>
      <w:r>
        <w:t xml:space="preserve">. Interaction between gender and mindset interventions on </w:t>
      </w:r>
      <w:r w:rsidR="0068779A">
        <w:t>students’ writing scores</w:t>
      </w:r>
    </w:p>
    <w:p w14:paraId="1E7D33F9" w14:textId="77777777" w:rsidR="001C1E4A" w:rsidRDefault="001C1E4A" w:rsidP="0068779A">
      <w:pPr>
        <w:spacing w:line="480" w:lineRule="auto"/>
      </w:pPr>
    </w:p>
    <w:p w14:paraId="05B796F8" w14:textId="37D67A71" w:rsidR="00440CC7" w:rsidRDefault="0068779A" w:rsidP="0068779A">
      <w:pPr>
        <w:spacing w:line="480" w:lineRule="auto"/>
      </w:pPr>
      <w:r>
        <w:tab/>
        <w:t xml:space="preserve">Since the interaction was not significant and the main effect of mindset interventions was found, pairwise comparisons were conducted to locate the </w:t>
      </w:r>
      <w:r w:rsidR="00854A9D">
        <w:t>significant</w:t>
      </w:r>
      <w:r>
        <w:t xml:space="preserve"> between-group differences.</w:t>
      </w:r>
    </w:p>
    <w:p w14:paraId="7456AC3F" w14:textId="019A47EE" w:rsidR="0068779A" w:rsidRPr="00854A9D" w:rsidRDefault="0068779A" w:rsidP="0068779A">
      <w:pPr>
        <w:spacing w:line="480" w:lineRule="auto"/>
      </w:pPr>
      <w:r>
        <w:tab/>
        <w:t>Table 3 shows that</w:t>
      </w:r>
      <w:r w:rsidR="00854A9D">
        <w:t xml:space="preserve"> the average writing score of those who received the difficulty-as-importance mindset intervention was significantly higher than the control group, </w:t>
      </w:r>
      <w:r w:rsidR="00854A9D">
        <w:rPr>
          <w:i/>
          <w:iCs/>
        </w:rPr>
        <w:t>t</w:t>
      </w:r>
      <w:r w:rsidR="00854A9D">
        <w:t xml:space="preserve">(153) = -2.425, </w:t>
      </w:r>
      <w:r w:rsidR="00854A9D">
        <w:rPr>
          <w:i/>
          <w:iCs/>
        </w:rPr>
        <w:t>p</w:t>
      </w:r>
      <w:r w:rsidR="00854A9D">
        <w:t xml:space="preserve"> = .0165</w:t>
      </w:r>
      <w:r w:rsidR="008817F5">
        <w:t xml:space="preserve"> &lt; .05</w:t>
      </w:r>
      <w:r w:rsidR="00854A9D">
        <w:t xml:space="preserve">. </w:t>
      </w:r>
      <w:r w:rsidR="002B0701">
        <w:t>No</w:t>
      </w:r>
      <w:r w:rsidR="00854A9D">
        <w:t xml:space="preserve"> other </w:t>
      </w:r>
      <w:r w:rsidR="002B0701">
        <w:t>significant effects were found among the pairs.</w:t>
      </w:r>
    </w:p>
    <w:p w14:paraId="772C0C1F" w14:textId="77777777" w:rsidR="0068779A" w:rsidRDefault="0068779A" w:rsidP="0068779A">
      <w:pPr>
        <w:spacing w:line="480" w:lineRule="auto"/>
        <w:ind w:left="720" w:hanging="720"/>
      </w:pPr>
      <w:r>
        <w:lastRenderedPageBreak/>
        <w:t>Table 3</w:t>
      </w:r>
    </w:p>
    <w:p w14:paraId="6FD9EBBB" w14:textId="5D275C40" w:rsidR="0068779A" w:rsidRDefault="0068779A" w:rsidP="0068779A">
      <w:pPr>
        <w:spacing w:line="480" w:lineRule="auto"/>
        <w:rPr>
          <w:i/>
          <w:iCs/>
        </w:rPr>
      </w:pPr>
      <w:r>
        <w:rPr>
          <w:i/>
          <w:iCs/>
        </w:rPr>
        <w:t>Pairwise Differences of the Main Effect of Three Mind</w:t>
      </w:r>
      <w:r>
        <w:rPr>
          <w:rFonts w:hint="eastAsia"/>
          <w:i/>
          <w:iCs/>
          <w:lang w:eastAsia="zh-CN"/>
        </w:rPr>
        <w:t>set</w:t>
      </w:r>
      <w:r w:rsidR="00854A9D">
        <w:rPr>
          <w:i/>
          <w:iCs/>
          <w:lang w:eastAsia="zh-CN"/>
        </w:rPr>
        <w:t xml:space="preserve"> Interventions</w:t>
      </w:r>
      <w:r>
        <w:rPr>
          <w:i/>
          <w:iCs/>
        </w:rPr>
        <w:t xml:space="preserve"> on</w:t>
      </w:r>
      <w:r w:rsidR="00854A9D">
        <w:rPr>
          <w:i/>
          <w:iCs/>
        </w:rPr>
        <w:t xml:space="preserve"> Writing</w:t>
      </w:r>
      <w:r>
        <w:rPr>
          <w:i/>
          <w:iCs/>
        </w:rPr>
        <w:t xml:space="preserve"> </w:t>
      </w:r>
      <w:r w:rsidR="00854A9D">
        <w:rPr>
          <w:i/>
          <w:iCs/>
        </w:rPr>
        <w:t>S</w:t>
      </w:r>
      <w:r>
        <w:rPr>
          <w:i/>
          <w:iCs/>
        </w:rPr>
        <w:t>core</w:t>
      </w:r>
      <w:r w:rsidR="00854A9D">
        <w:rPr>
          <w:i/>
          <w:iCs/>
        </w:rPr>
        <w:t>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3"/>
        <w:gridCol w:w="1661"/>
        <w:gridCol w:w="1463"/>
        <w:gridCol w:w="1503"/>
        <w:gridCol w:w="1460"/>
      </w:tblGrid>
      <w:tr w:rsidR="0068779A" w14:paraId="31A64A5A" w14:textId="77777777" w:rsidTr="0068779A">
        <w:trPr>
          <w:jc w:val="center"/>
        </w:trPr>
        <w:tc>
          <w:tcPr>
            <w:tcW w:w="1748" w:type="pct"/>
            <w:tcBorders>
              <w:top w:val="single" w:sz="18" w:space="0" w:color="auto"/>
              <w:bottom w:val="single" w:sz="4" w:space="0" w:color="auto"/>
            </w:tcBorders>
            <w:vAlign w:val="bottom"/>
          </w:tcPr>
          <w:p w14:paraId="1635697C" w14:textId="77777777" w:rsidR="0068779A" w:rsidRDefault="0068779A" w:rsidP="006E2961">
            <w:pPr>
              <w:jc w:val="center"/>
            </w:pPr>
            <w:r>
              <w:t>Contrasts</w:t>
            </w:r>
          </w:p>
        </w:tc>
        <w:tc>
          <w:tcPr>
            <w:tcW w:w="887" w:type="pct"/>
            <w:tcBorders>
              <w:top w:val="single" w:sz="18" w:space="0" w:color="auto"/>
              <w:bottom w:val="single" w:sz="4" w:space="0" w:color="auto"/>
            </w:tcBorders>
            <w:vAlign w:val="bottom"/>
          </w:tcPr>
          <w:p w14:paraId="1A1C79F7" w14:textId="77777777" w:rsidR="0068779A" w:rsidRPr="00FC0289" w:rsidRDefault="0068779A" w:rsidP="006E2961">
            <w:pPr>
              <w:jc w:val="center"/>
              <w:rPr>
                <w:i/>
                <w:iCs/>
              </w:rPr>
            </w:pPr>
            <w:r w:rsidRPr="00FC0289">
              <w:rPr>
                <w:i/>
                <w:iCs/>
              </w:rPr>
              <w:t>M</w:t>
            </w:r>
          </w:p>
        </w:tc>
        <w:tc>
          <w:tcPr>
            <w:tcW w:w="781" w:type="pct"/>
            <w:tcBorders>
              <w:top w:val="single" w:sz="18" w:space="0" w:color="auto"/>
              <w:bottom w:val="single" w:sz="4" w:space="0" w:color="auto"/>
            </w:tcBorders>
            <w:vAlign w:val="bottom"/>
          </w:tcPr>
          <w:p w14:paraId="517FA9E2" w14:textId="77777777" w:rsidR="0068779A" w:rsidRPr="00FC0289" w:rsidRDefault="0068779A" w:rsidP="006E2961">
            <w:pPr>
              <w:jc w:val="center"/>
              <w:rPr>
                <w:i/>
                <w:iCs/>
              </w:rPr>
            </w:pPr>
            <w:r w:rsidRPr="00FC0289">
              <w:rPr>
                <w:i/>
                <w:iCs/>
              </w:rPr>
              <w:t>S</w:t>
            </w:r>
            <w:r>
              <w:rPr>
                <w:i/>
                <w:iCs/>
              </w:rPr>
              <w:t>E</w:t>
            </w:r>
          </w:p>
        </w:tc>
        <w:tc>
          <w:tcPr>
            <w:tcW w:w="803" w:type="pct"/>
            <w:tcBorders>
              <w:top w:val="single" w:sz="18" w:space="0" w:color="auto"/>
              <w:bottom w:val="single" w:sz="4" w:space="0" w:color="auto"/>
            </w:tcBorders>
            <w:vAlign w:val="bottom"/>
          </w:tcPr>
          <w:p w14:paraId="29A522F0" w14:textId="3EF4A952" w:rsidR="0068779A" w:rsidRPr="00FC0289" w:rsidRDefault="0068779A" w:rsidP="006E2961">
            <w:pPr>
              <w:jc w:val="center"/>
              <w:rPr>
                <w:i/>
                <w:iCs/>
              </w:rPr>
            </w:pPr>
            <w:r>
              <w:rPr>
                <w:i/>
                <w:iCs/>
              </w:rPr>
              <w:t>t(</w:t>
            </w:r>
            <w:r w:rsidR="00854A9D">
              <w:t>153</w:t>
            </w:r>
            <w:r>
              <w:rPr>
                <w:i/>
                <w:iCs/>
              </w:rPr>
              <w:t>)</w:t>
            </w:r>
          </w:p>
        </w:tc>
        <w:tc>
          <w:tcPr>
            <w:tcW w:w="780" w:type="pct"/>
            <w:tcBorders>
              <w:top w:val="single" w:sz="18" w:space="0" w:color="auto"/>
              <w:bottom w:val="single" w:sz="4" w:space="0" w:color="auto"/>
            </w:tcBorders>
          </w:tcPr>
          <w:p w14:paraId="3F3A10E0" w14:textId="77777777" w:rsidR="0068779A" w:rsidRPr="00FC0289" w:rsidRDefault="0068779A" w:rsidP="006E2961">
            <w:pPr>
              <w:jc w:val="center"/>
              <w:rPr>
                <w:i/>
                <w:iCs/>
              </w:rPr>
            </w:pPr>
            <w:r>
              <w:rPr>
                <w:i/>
                <w:iCs/>
              </w:rPr>
              <w:t>p</w:t>
            </w:r>
          </w:p>
        </w:tc>
      </w:tr>
      <w:tr w:rsidR="0068779A" w14:paraId="4B1E1FD1" w14:textId="77777777" w:rsidTr="0068779A">
        <w:trPr>
          <w:jc w:val="center"/>
        </w:trPr>
        <w:tc>
          <w:tcPr>
            <w:tcW w:w="1748" w:type="pct"/>
            <w:tcBorders>
              <w:top w:val="single" w:sz="2" w:space="0" w:color="auto"/>
            </w:tcBorders>
            <w:vAlign w:val="bottom"/>
          </w:tcPr>
          <w:p w14:paraId="537F2487" w14:textId="6D89F909" w:rsidR="0068779A" w:rsidRDefault="00854A9D" w:rsidP="006E2961">
            <w:r>
              <w:t>Mindset Intervention</w:t>
            </w:r>
            <w:r w:rsidR="0068779A">
              <w:t>s</w:t>
            </w:r>
          </w:p>
        </w:tc>
        <w:tc>
          <w:tcPr>
            <w:tcW w:w="887" w:type="pct"/>
            <w:tcBorders>
              <w:top w:val="single" w:sz="2" w:space="0" w:color="auto"/>
            </w:tcBorders>
            <w:vAlign w:val="bottom"/>
          </w:tcPr>
          <w:p w14:paraId="4FA933F9" w14:textId="77777777" w:rsidR="0068779A" w:rsidRDefault="0068779A" w:rsidP="006E2961">
            <w:pPr>
              <w:jc w:val="center"/>
            </w:pPr>
          </w:p>
        </w:tc>
        <w:tc>
          <w:tcPr>
            <w:tcW w:w="781" w:type="pct"/>
            <w:tcBorders>
              <w:top w:val="single" w:sz="2" w:space="0" w:color="auto"/>
            </w:tcBorders>
            <w:vAlign w:val="bottom"/>
          </w:tcPr>
          <w:p w14:paraId="293BA4A3" w14:textId="77777777" w:rsidR="0068779A" w:rsidRDefault="0068779A" w:rsidP="006E2961">
            <w:pPr>
              <w:jc w:val="center"/>
            </w:pPr>
          </w:p>
        </w:tc>
        <w:tc>
          <w:tcPr>
            <w:tcW w:w="803" w:type="pct"/>
            <w:tcBorders>
              <w:top w:val="single" w:sz="2" w:space="0" w:color="auto"/>
            </w:tcBorders>
            <w:vAlign w:val="bottom"/>
          </w:tcPr>
          <w:p w14:paraId="7027B822" w14:textId="77777777" w:rsidR="0068779A" w:rsidRDefault="0068779A" w:rsidP="006E2961">
            <w:pPr>
              <w:jc w:val="center"/>
            </w:pPr>
          </w:p>
        </w:tc>
        <w:tc>
          <w:tcPr>
            <w:tcW w:w="780" w:type="pct"/>
            <w:tcBorders>
              <w:top w:val="single" w:sz="2" w:space="0" w:color="auto"/>
            </w:tcBorders>
          </w:tcPr>
          <w:p w14:paraId="3ECFF606" w14:textId="77777777" w:rsidR="0068779A" w:rsidRPr="00FC0289" w:rsidRDefault="0068779A" w:rsidP="006E2961">
            <w:pPr>
              <w:jc w:val="center"/>
            </w:pPr>
          </w:p>
        </w:tc>
      </w:tr>
      <w:tr w:rsidR="0068779A" w14:paraId="18B30A98" w14:textId="77777777" w:rsidTr="0068779A">
        <w:trPr>
          <w:jc w:val="center"/>
        </w:trPr>
        <w:tc>
          <w:tcPr>
            <w:tcW w:w="1748" w:type="pct"/>
          </w:tcPr>
          <w:p w14:paraId="5DB77462" w14:textId="1894DE1B" w:rsidR="0068779A" w:rsidRDefault="00854A9D" w:rsidP="006E2961">
            <w:pPr>
              <w:jc w:val="center"/>
            </w:pPr>
            <w:r>
              <w:t>Control – Importance</w:t>
            </w:r>
          </w:p>
        </w:tc>
        <w:tc>
          <w:tcPr>
            <w:tcW w:w="887" w:type="pct"/>
          </w:tcPr>
          <w:p w14:paraId="61F8BD2C" w14:textId="1938C59C" w:rsidR="0068779A" w:rsidRDefault="00854A9D" w:rsidP="006E2961">
            <w:pPr>
              <w:jc w:val="center"/>
            </w:pPr>
            <w:r>
              <w:t>-0.27</w:t>
            </w:r>
          </w:p>
        </w:tc>
        <w:tc>
          <w:tcPr>
            <w:tcW w:w="781" w:type="pct"/>
          </w:tcPr>
          <w:p w14:paraId="1E7E3E91" w14:textId="1B30C22C" w:rsidR="0068779A" w:rsidRDefault="00854A9D" w:rsidP="006E2961">
            <w:pPr>
              <w:jc w:val="center"/>
            </w:pPr>
            <w:r>
              <w:t>0.113</w:t>
            </w:r>
          </w:p>
        </w:tc>
        <w:tc>
          <w:tcPr>
            <w:tcW w:w="803" w:type="pct"/>
          </w:tcPr>
          <w:p w14:paraId="6C3304A2" w14:textId="7C11DA51" w:rsidR="0068779A" w:rsidRDefault="00854A9D" w:rsidP="006E2961">
            <w:pPr>
              <w:jc w:val="center"/>
            </w:pPr>
            <w:r>
              <w:t>-2.425</w:t>
            </w:r>
          </w:p>
        </w:tc>
        <w:tc>
          <w:tcPr>
            <w:tcW w:w="780" w:type="pct"/>
          </w:tcPr>
          <w:p w14:paraId="7C45B163" w14:textId="09AEA9D5" w:rsidR="0068779A" w:rsidRDefault="00854A9D" w:rsidP="006E2961">
            <w:pPr>
              <w:jc w:val="center"/>
            </w:pPr>
            <w:r>
              <w:t>.0165</w:t>
            </w:r>
            <w:r>
              <w:rPr>
                <w:rFonts w:hint="eastAsia"/>
                <w:lang w:eastAsia="zh-CN"/>
              </w:rPr>
              <w:t>*</w:t>
            </w:r>
          </w:p>
        </w:tc>
      </w:tr>
      <w:tr w:rsidR="0068779A" w14:paraId="410B77B1" w14:textId="77777777" w:rsidTr="0068779A">
        <w:trPr>
          <w:jc w:val="center"/>
        </w:trPr>
        <w:tc>
          <w:tcPr>
            <w:tcW w:w="1748" w:type="pct"/>
          </w:tcPr>
          <w:p w14:paraId="27AA24CA" w14:textId="0B7E04DB" w:rsidR="0068779A" w:rsidRDefault="00854A9D" w:rsidP="006E2961">
            <w:pPr>
              <w:jc w:val="center"/>
            </w:pPr>
            <w:r>
              <w:t>Control – Impossibility</w:t>
            </w:r>
          </w:p>
        </w:tc>
        <w:tc>
          <w:tcPr>
            <w:tcW w:w="887" w:type="pct"/>
          </w:tcPr>
          <w:p w14:paraId="45521C5E" w14:textId="59B7E380" w:rsidR="0068779A" w:rsidRDefault="00854A9D" w:rsidP="006E2961">
            <w:pPr>
              <w:jc w:val="center"/>
            </w:pPr>
            <w:r>
              <w:t>-0.06</w:t>
            </w:r>
          </w:p>
        </w:tc>
        <w:tc>
          <w:tcPr>
            <w:tcW w:w="781" w:type="pct"/>
          </w:tcPr>
          <w:p w14:paraId="7A172AD2" w14:textId="2052A9C6" w:rsidR="0068779A" w:rsidRDefault="00854A9D" w:rsidP="006E2961">
            <w:pPr>
              <w:jc w:val="center"/>
            </w:pPr>
            <w:r>
              <w:t>0.112</w:t>
            </w:r>
          </w:p>
        </w:tc>
        <w:tc>
          <w:tcPr>
            <w:tcW w:w="803" w:type="pct"/>
          </w:tcPr>
          <w:p w14:paraId="65D2B0F9" w14:textId="7FC0AB46" w:rsidR="0068779A" w:rsidRDefault="00854A9D" w:rsidP="006E2961">
            <w:pPr>
              <w:jc w:val="center"/>
            </w:pPr>
            <w:r>
              <w:t>-0.569</w:t>
            </w:r>
          </w:p>
        </w:tc>
        <w:tc>
          <w:tcPr>
            <w:tcW w:w="780" w:type="pct"/>
          </w:tcPr>
          <w:p w14:paraId="5EDC35DE" w14:textId="3A961A04" w:rsidR="0068779A" w:rsidRDefault="00854A9D" w:rsidP="006E2961">
            <w:pPr>
              <w:jc w:val="center"/>
            </w:pPr>
            <w:r>
              <w:t>.5704</w:t>
            </w:r>
          </w:p>
        </w:tc>
      </w:tr>
      <w:tr w:rsidR="0068779A" w14:paraId="46A45D58" w14:textId="77777777" w:rsidTr="0068779A">
        <w:trPr>
          <w:jc w:val="center"/>
        </w:trPr>
        <w:tc>
          <w:tcPr>
            <w:tcW w:w="1748" w:type="pct"/>
            <w:tcBorders>
              <w:bottom w:val="single" w:sz="18" w:space="0" w:color="auto"/>
            </w:tcBorders>
          </w:tcPr>
          <w:p w14:paraId="6FFB864F" w14:textId="06EF4AA6" w:rsidR="0068779A" w:rsidRDefault="00854A9D" w:rsidP="006E2961">
            <w:pPr>
              <w:jc w:val="center"/>
            </w:pPr>
            <w:r>
              <w:t>Importance – Impossibility</w:t>
            </w:r>
          </w:p>
        </w:tc>
        <w:tc>
          <w:tcPr>
            <w:tcW w:w="887" w:type="pct"/>
            <w:tcBorders>
              <w:bottom w:val="single" w:sz="18" w:space="0" w:color="auto"/>
            </w:tcBorders>
          </w:tcPr>
          <w:p w14:paraId="1F5C69B4" w14:textId="5EE93E61" w:rsidR="0068779A" w:rsidRDefault="00854A9D" w:rsidP="006E2961">
            <w:pPr>
              <w:jc w:val="center"/>
            </w:pPr>
            <w:r>
              <w:t>0.21</w:t>
            </w:r>
          </w:p>
        </w:tc>
        <w:tc>
          <w:tcPr>
            <w:tcW w:w="781" w:type="pct"/>
            <w:tcBorders>
              <w:bottom w:val="single" w:sz="18" w:space="0" w:color="auto"/>
            </w:tcBorders>
          </w:tcPr>
          <w:p w14:paraId="374FF289" w14:textId="46C4B705" w:rsidR="0068779A" w:rsidRDefault="00854A9D" w:rsidP="006E2961">
            <w:pPr>
              <w:jc w:val="center"/>
            </w:pPr>
            <w:r>
              <w:t>0.111</w:t>
            </w:r>
          </w:p>
        </w:tc>
        <w:tc>
          <w:tcPr>
            <w:tcW w:w="803" w:type="pct"/>
            <w:tcBorders>
              <w:bottom w:val="single" w:sz="18" w:space="0" w:color="auto"/>
            </w:tcBorders>
          </w:tcPr>
          <w:p w14:paraId="11184AF0" w14:textId="779C01AB" w:rsidR="0068779A" w:rsidRDefault="00854A9D" w:rsidP="006E2961">
            <w:pPr>
              <w:jc w:val="center"/>
            </w:pPr>
            <w:r>
              <w:t>1.886</w:t>
            </w:r>
          </w:p>
        </w:tc>
        <w:tc>
          <w:tcPr>
            <w:tcW w:w="780" w:type="pct"/>
            <w:tcBorders>
              <w:bottom w:val="single" w:sz="18" w:space="0" w:color="auto"/>
            </w:tcBorders>
          </w:tcPr>
          <w:p w14:paraId="6BFF9281" w14:textId="4EFE37C7" w:rsidR="0068779A" w:rsidRDefault="00854A9D" w:rsidP="006E2961">
            <w:pPr>
              <w:jc w:val="center"/>
            </w:pPr>
            <w:r>
              <w:t>.0612</w:t>
            </w:r>
          </w:p>
        </w:tc>
      </w:tr>
    </w:tbl>
    <w:p w14:paraId="2A9DC3D3" w14:textId="77777777" w:rsidR="0068779A" w:rsidRDefault="0068779A" w:rsidP="00854A9D">
      <w:pPr>
        <w:rPr>
          <w:i/>
          <w:iCs/>
        </w:rPr>
      </w:pPr>
      <w:r>
        <w:t>*</w:t>
      </w:r>
      <w:r>
        <w:rPr>
          <w:i/>
          <w:iCs/>
        </w:rPr>
        <w:t>p &lt; .05.  **p &lt; .01.</w:t>
      </w:r>
    </w:p>
    <w:p w14:paraId="1DB7B54C" w14:textId="77777777" w:rsidR="0068779A" w:rsidRDefault="0068779A" w:rsidP="0068779A">
      <w:pPr>
        <w:spacing w:line="480" w:lineRule="auto"/>
      </w:pPr>
    </w:p>
    <w:p w14:paraId="48D9D76C" w14:textId="70BEA49A" w:rsidR="00000EEB" w:rsidRPr="002B0701" w:rsidRDefault="00C80146" w:rsidP="008817F5">
      <w:pPr>
        <w:spacing w:line="480" w:lineRule="auto"/>
      </w:pPr>
      <w:r>
        <w:t xml:space="preserve"> </w:t>
      </w:r>
      <w:r w:rsidR="002B0701">
        <w:tab/>
      </w:r>
      <w:r w:rsidR="008817F5">
        <w:t>Moreover, t</w:t>
      </w:r>
      <w:r w:rsidR="002B0701">
        <w:t>he contrast, -1 * difficulty-as-importance + ½ * difficulty-as-impossibility + ½ * control, was tested</w:t>
      </w:r>
      <w:r w:rsidR="008817F5">
        <w:t xml:space="preserve"> significant, </w:t>
      </w:r>
      <w:r w:rsidR="008817F5" w:rsidRPr="008817F5">
        <w:rPr>
          <w:i/>
          <w:iCs/>
        </w:rPr>
        <w:t>t</w:t>
      </w:r>
      <w:r w:rsidR="008817F5">
        <w:t xml:space="preserve">(153) = -2.496, </w:t>
      </w:r>
      <w:r w:rsidR="008817F5" w:rsidRPr="008817F5">
        <w:rPr>
          <w:i/>
          <w:iCs/>
        </w:rPr>
        <w:t>p</w:t>
      </w:r>
      <w:r w:rsidR="008817F5">
        <w:t xml:space="preserve"> = .0136 &lt; .025, while the other contrast, ½ * difficulty-as-importance – 1 * difficulty-as-impossibility + ½ * control, was not significant, , </w:t>
      </w:r>
      <w:r w:rsidR="008817F5" w:rsidRPr="008817F5">
        <w:rPr>
          <w:i/>
          <w:iCs/>
        </w:rPr>
        <w:t>t</w:t>
      </w:r>
      <w:r w:rsidR="008817F5">
        <w:t xml:space="preserve">(153) = 0.754, </w:t>
      </w:r>
      <w:r w:rsidR="008817F5" w:rsidRPr="008817F5">
        <w:rPr>
          <w:i/>
          <w:iCs/>
        </w:rPr>
        <w:t>p</w:t>
      </w:r>
      <w:r w:rsidR="008817F5">
        <w:t xml:space="preserve"> = .4520 &gt; .05, which evinced that being in the difficulty-as-importance condition</w:t>
      </w:r>
      <w:r w:rsidR="00000EEB">
        <w:t xml:space="preserve"> significantly</w:t>
      </w:r>
      <w:r w:rsidR="008817F5">
        <w:t xml:space="preserve"> improved participants’ academic performance measured by writing scores  compared to control and difficulty-as-impossibility conditions </w:t>
      </w:r>
      <w:r w:rsidR="00000EEB">
        <w:t xml:space="preserve">combined while being in the difficulty-as-impossibility condition </w:t>
      </w:r>
      <w:r w:rsidR="00FD34D3">
        <w:t>neither</w:t>
      </w:r>
      <w:r w:rsidR="00000EEB">
        <w:t xml:space="preserve"> improve</w:t>
      </w:r>
      <w:r w:rsidR="00FD34D3">
        <w:t>d</w:t>
      </w:r>
      <w:r w:rsidR="00000EEB">
        <w:t xml:space="preserve"> or impair</w:t>
      </w:r>
      <w:r w:rsidR="00FD34D3">
        <w:t>ed</w:t>
      </w:r>
      <w:r w:rsidR="00000EEB">
        <w:t xml:space="preserve"> participants’ performance significantly.</w:t>
      </w:r>
      <w:r w:rsidR="00000EEB">
        <w:tab/>
      </w:r>
    </w:p>
    <w:p w14:paraId="7115CBB7" w14:textId="77777777" w:rsidR="007A044A" w:rsidRPr="00CB66AA" w:rsidRDefault="007A044A" w:rsidP="00DF535A">
      <w:pPr>
        <w:spacing w:line="480" w:lineRule="auto"/>
        <w:jc w:val="center"/>
        <w:rPr>
          <w:b/>
        </w:rPr>
      </w:pPr>
      <w:r w:rsidRPr="00CB66AA">
        <w:rPr>
          <w:b/>
        </w:rPr>
        <w:t>Discussion</w:t>
      </w:r>
    </w:p>
    <w:p w14:paraId="627CCC7E" w14:textId="7380FBB3" w:rsidR="006E2961" w:rsidRDefault="007A044A" w:rsidP="002A724A">
      <w:pPr>
        <w:spacing w:line="480" w:lineRule="auto"/>
      </w:pPr>
      <w:r>
        <w:tab/>
      </w:r>
      <w:r w:rsidR="006E2961">
        <w:t>This study showed that middle school students in a low social class context scored better on a standardized writing task when proffered an interpretation of experienced difficulty as importance than when proffered no interpretation of experienced difficulty a</w:t>
      </w:r>
      <w:r w:rsidR="00FD34D3">
        <w:t>t</w:t>
      </w:r>
      <w:r w:rsidR="006E2961">
        <w:t xml:space="preserve"> all (control group). Writing scores were not significantly different in the control group or the </w:t>
      </w:r>
      <w:r w:rsidR="00B752FE">
        <w:t>difficulty-as-impossibility group</w:t>
      </w:r>
      <w:r w:rsidR="006E2961">
        <w:t xml:space="preserve">. We may inferred that </w:t>
      </w:r>
      <w:r w:rsidR="00B752FE">
        <w:t xml:space="preserve">when giving no cues at all (control group), students </w:t>
      </w:r>
      <w:r w:rsidR="00B752FE">
        <w:t>in this low social class context</w:t>
      </w:r>
      <w:r w:rsidR="00B752FE">
        <w:t xml:space="preserve"> may have the mindset similar to the </w:t>
      </w:r>
      <w:r w:rsidR="00B752FE">
        <w:t>difficulty-as-impossibility group</w:t>
      </w:r>
      <w:r w:rsidR="00B752FE">
        <w:t xml:space="preserve">. Therefore, positive reinforcement of the difficulty-as-importance mindset can be an </w:t>
      </w:r>
      <w:r w:rsidR="00B752FE">
        <w:lastRenderedPageBreak/>
        <w:t>indispensable intervention for students in the low social class to improve their academic performance.</w:t>
      </w:r>
    </w:p>
    <w:p w14:paraId="5BD8C558" w14:textId="104D0C6A" w:rsidR="000F7F4B" w:rsidRDefault="000F7F4B" w:rsidP="002A724A">
      <w:pPr>
        <w:spacing w:line="480" w:lineRule="auto"/>
      </w:pPr>
      <w:r>
        <w:tab/>
        <w:t xml:space="preserve">The finding of this study replicate and expand on prior research around growth mindset and grit theories. Having a difficulty-as-importance mindset is conducive to performance even if such an mindset is elicited by a subtle prime. The fact that the prime is subtle also points to accessibility as </w:t>
      </w:r>
      <w:r w:rsidR="00A2760D">
        <w:t>a possible</w:t>
      </w:r>
      <w:r>
        <w:t xml:space="preserve"> mechanism through which the mindset effect occurs</w:t>
      </w:r>
      <w:r w:rsidR="00A2760D">
        <w:t xml:space="preserve"> – because students did not actively question why a particular interpretation came to mind, they instead used the most easily accessible interpretation to respond to difficulty.</w:t>
      </w:r>
    </w:p>
    <w:p w14:paraId="76E1FF05" w14:textId="4F6AAC88" w:rsidR="00A2760D" w:rsidRDefault="00A2760D" w:rsidP="002A724A">
      <w:pPr>
        <w:spacing w:line="480" w:lineRule="auto"/>
      </w:pPr>
      <w:r>
        <w:tab/>
        <w:t xml:space="preserve">Any set of studies has limitations and this study is no exception. The first limitation is related to the subtle prime mentioned above. Since this study only measured immediate effects of the subtle manipulation, the duration of the effects of mindset interventions cannot be concluded right now. Secondly, the measure of </w:t>
      </w:r>
      <w:r w:rsidR="00B70A74">
        <w:t xml:space="preserve">academic performance using a standardized writing test limited the domain-general interpretation of the effect of the mindset intervention. Whether the positive impact of the difficulty-as-importance mindset can be transferred from literature to math or science needs to be further investigated. Thirdly, the current design excluded the possibility that difficulty-as-impossibility could be beneficial on some occasions, e.g. avoiding overinvestment and adjusting unattainable goals. Different kinds of tasks </w:t>
      </w:r>
      <w:r w:rsidR="00B260B0">
        <w:t>should</w:t>
      </w:r>
      <w:r w:rsidR="00B70A74">
        <w:t xml:space="preserve"> be used to test effects of mindset interventions on participants’</w:t>
      </w:r>
      <w:r w:rsidR="00B260B0">
        <w:t xml:space="preserve"> non-academic</w:t>
      </w:r>
      <w:r w:rsidR="00B70A74">
        <w:t xml:space="preserve"> performance</w:t>
      </w:r>
      <w:r w:rsidR="00B260B0">
        <w:t>.</w:t>
      </w:r>
    </w:p>
    <w:p w14:paraId="7115CBBA" w14:textId="4A69B4D9" w:rsidR="00C14DE9" w:rsidRDefault="00B260B0" w:rsidP="00B260B0">
      <w:pPr>
        <w:spacing w:line="480" w:lineRule="auto"/>
        <w:ind w:firstLine="720"/>
      </w:pPr>
      <w:r>
        <w:t>Overall, the</w:t>
      </w:r>
      <w:r>
        <w:t xml:space="preserve"> results suggest that efforts to remind</w:t>
      </w:r>
      <w:r>
        <w:t xml:space="preserve"> </w:t>
      </w:r>
      <w:r>
        <w:t>students that difficulty can signal the important value of</w:t>
      </w:r>
      <w:r>
        <w:t xml:space="preserve"> </w:t>
      </w:r>
      <w:r>
        <w:t>their work may keep more students on the path to academic</w:t>
      </w:r>
      <w:r>
        <w:t xml:space="preserve"> </w:t>
      </w:r>
      <w:r>
        <w:t>success.</w:t>
      </w:r>
      <w:r>
        <w:t xml:space="preserve"> Different contexts can be set up in the future to test the generalizability of the current finding.</w:t>
      </w:r>
    </w:p>
    <w:p w14:paraId="61AFAE6D" w14:textId="77777777" w:rsidR="006121FC" w:rsidRDefault="00DF535A" w:rsidP="00C14DE9">
      <w:pPr>
        <w:spacing w:line="480" w:lineRule="auto"/>
        <w:jc w:val="center"/>
      </w:pPr>
      <w:r>
        <w:br w:type="page"/>
      </w:r>
      <w:r w:rsidR="0061215E">
        <w:lastRenderedPageBreak/>
        <w:t>References</w:t>
      </w:r>
    </w:p>
    <w:p w14:paraId="1E1FF01C" w14:textId="77777777" w:rsidR="006121FC" w:rsidRPr="006121FC" w:rsidRDefault="006121FC" w:rsidP="006121FC">
      <w:pPr>
        <w:spacing w:line="480" w:lineRule="auto"/>
        <w:ind w:left="720" w:hanging="720"/>
      </w:pPr>
      <w:r w:rsidRPr="006121FC">
        <w:t xml:space="preserve">Tabachnick, B. G. &amp; Fidell, L. S. (2007). </w:t>
      </w:r>
      <w:r w:rsidRPr="006121FC">
        <w:rPr>
          <w:i/>
          <w:iCs/>
        </w:rPr>
        <w:t>Using multivariate statistics</w:t>
      </w:r>
      <w:r w:rsidRPr="006121FC">
        <w:t xml:space="preserve"> (5th Ed.). Boston, MA: Pearson, Allyn &amp; Bacon.</w:t>
      </w:r>
    </w:p>
    <w:p w14:paraId="7115CBBB" w14:textId="2BC364D7" w:rsidR="00C14DE9" w:rsidRDefault="00C14DE9" w:rsidP="006121FC">
      <w:pPr>
        <w:spacing w:line="480" w:lineRule="auto"/>
      </w:pPr>
      <w:r>
        <w:t xml:space="preserve"> </w:t>
      </w:r>
    </w:p>
    <w:p w14:paraId="58021049" w14:textId="32C105A3" w:rsidR="0061215E" w:rsidRDefault="0061215E">
      <w:r>
        <w:br w:type="page"/>
      </w:r>
    </w:p>
    <w:p w14:paraId="643430F9" w14:textId="77777777" w:rsidR="00B260B0" w:rsidRPr="006F74D7" w:rsidRDefault="00B260B0" w:rsidP="00B260B0">
      <w:pPr>
        <w:spacing w:line="480" w:lineRule="auto"/>
        <w:rPr>
          <w:b/>
          <w:bCs/>
        </w:rPr>
      </w:pPr>
      <w:r w:rsidRPr="006F74D7">
        <w:rPr>
          <w:b/>
          <w:bCs/>
        </w:rPr>
        <w:lastRenderedPageBreak/>
        <w:t>Appendix</w:t>
      </w:r>
    </w:p>
    <w:p w14:paraId="4147A503" w14:textId="628D389C" w:rsidR="00B260B0" w:rsidRDefault="00B260B0" w:rsidP="00B260B0">
      <w:pPr>
        <w:spacing w:line="480" w:lineRule="auto"/>
        <w:rPr>
          <w:i/>
          <w:iCs/>
        </w:rPr>
      </w:pPr>
      <w:r>
        <w:rPr>
          <w:i/>
          <w:iCs/>
        </w:rPr>
        <w:t xml:space="preserve">R codes for </w:t>
      </w:r>
      <w:r>
        <w:rPr>
          <w:i/>
          <w:iCs/>
        </w:rPr>
        <w:t>the analyses in this paper</w:t>
      </w:r>
    </w:p>
    <w:p w14:paraId="32020B64" w14:textId="137BD89E" w:rsidR="00B260B0" w:rsidRDefault="00B260B0"/>
    <w:p w14:paraId="05EF974D"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Upload the dataset</w:t>
      </w:r>
    </w:p>
    <w:p w14:paraId="538C0E55"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ms2 &lt;- read.csv("HUDM5123_FinalProject_02_zz2404.csv", header = TRUE)</w:t>
      </w:r>
    </w:p>
    <w:p w14:paraId="3F0EB6E9" w14:textId="77777777" w:rsidR="00B260B0" w:rsidRPr="00B260B0" w:rsidRDefault="00B260B0" w:rsidP="00B260B0">
      <w:pPr>
        <w:rPr>
          <w:rFonts w:ascii="Lucida Console" w:hAnsi="Lucida Console"/>
          <w:sz w:val="20"/>
          <w:szCs w:val="20"/>
        </w:rPr>
      </w:pPr>
    </w:p>
    <w:p w14:paraId="328BCEEE"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Rename the first column</w:t>
      </w:r>
    </w:p>
    <w:p w14:paraId="388E427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names(ms2)[1] &lt;- c("conditions")</w:t>
      </w:r>
    </w:p>
    <w:p w14:paraId="4498F6C5" w14:textId="77777777" w:rsidR="00B260B0" w:rsidRPr="00B260B0" w:rsidRDefault="00B260B0" w:rsidP="00B260B0">
      <w:pPr>
        <w:rPr>
          <w:rFonts w:ascii="Lucida Console" w:hAnsi="Lucida Console"/>
          <w:sz w:val="20"/>
          <w:szCs w:val="20"/>
        </w:rPr>
      </w:pPr>
    </w:p>
    <w:p w14:paraId="3B3FC31A"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Change the variable of gender to the factor type</w:t>
      </w:r>
    </w:p>
    <w:p w14:paraId="182C86A1"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ms2$gender_fac &lt;- factor(x=ms2$gender,</w:t>
      </w:r>
    </w:p>
    <w:p w14:paraId="7F357B38"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levels = 0:1,</w:t>
      </w:r>
    </w:p>
    <w:p w14:paraId="41C4FE0B"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labels = c("Male", "Female"))</w:t>
      </w:r>
    </w:p>
    <w:p w14:paraId="3D52B8A6" w14:textId="77777777" w:rsidR="00B260B0" w:rsidRPr="00B260B0" w:rsidRDefault="00B260B0" w:rsidP="00B260B0">
      <w:pPr>
        <w:rPr>
          <w:rFonts w:ascii="Lucida Console" w:hAnsi="Lucida Console"/>
          <w:sz w:val="20"/>
          <w:szCs w:val="20"/>
        </w:rPr>
      </w:pPr>
    </w:p>
    <w:p w14:paraId="29828B2D"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Descriptive Statistics</w:t>
      </w:r>
    </w:p>
    <w:p w14:paraId="10221325"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lm0 &lt;- lm(formula=scores~gender_fac*conditions, data=ms2)</w:t>
      </w:r>
    </w:p>
    <w:p w14:paraId="0645251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library(emmeans)</w:t>
      </w:r>
    </w:p>
    <w:p w14:paraId="25ACDB78"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emmeans(object=lm0, spec=~conditions*gender_fac)</w:t>
      </w:r>
    </w:p>
    <w:p w14:paraId="736C4496" w14:textId="77777777" w:rsidR="00B260B0" w:rsidRPr="00B260B0" w:rsidRDefault="00B260B0" w:rsidP="00B260B0">
      <w:pPr>
        <w:rPr>
          <w:rFonts w:ascii="Lucida Console" w:hAnsi="Lucida Console"/>
          <w:sz w:val="20"/>
          <w:szCs w:val="20"/>
        </w:rPr>
      </w:pPr>
    </w:p>
    <w:p w14:paraId="1B901EF6"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Assumption Check: Normality</w:t>
      </w:r>
    </w:p>
    <w:p w14:paraId="03008F93"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spssSkewKurtosis=function(x) {</w:t>
      </w:r>
    </w:p>
    <w:p w14:paraId="4790A377"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w=length(x)</w:t>
      </w:r>
    </w:p>
    <w:p w14:paraId="12DBD464"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m1=mean(x)</w:t>
      </w:r>
    </w:p>
    <w:p w14:paraId="166FC7BD"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m2=sum((x-m1)^2)</w:t>
      </w:r>
    </w:p>
    <w:p w14:paraId="594E551B"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m3=sum((x-m1)^3)</w:t>
      </w:r>
    </w:p>
    <w:p w14:paraId="2D23D68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m4=sum((x-m1)^4)</w:t>
      </w:r>
    </w:p>
    <w:p w14:paraId="52EA048F"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s1=sd(x)</w:t>
      </w:r>
    </w:p>
    <w:p w14:paraId="76BDC407"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skew=w*m3/(w-1)/(w-2)/s1^3</w:t>
      </w:r>
    </w:p>
    <w:p w14:paraId="691637D4"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sdskew=sqrt( 6*w*(w-1) / ((w-2)*(w+1)*(w+3)) )</w:t>
      </w:r>
    </w:p>
    <w:p w14:paraId="1468A074"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kurtosis=(w*(w+1)*m4 - 3*m2^2*(w-1)) / ((w-1)*(w-2)*(w-3)*s1^4)</w:t>
      </w:r>
    </w:p>
    <w:p w14:paraId="0CE02CDA"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sdkurtosis=sqrt( 4*(w^2-1) * sdskew^2 / ((w-3)*(w+5)) )</w:t>
      </w:r>
    </w:p>
    <w:p w14:paraId="0F256F34"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mat=matrix(c(skew,kurtosis, sdskew,sdkurtosis), 2,</w:t>
      </w:r>
    </w:p>
    <w:p w14:paraId="2A27E6B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dimnames=list(c("skew","kurtosis"), c("estimate","se")))</w:t>
      </w:r>
    </w:p>
    <w:p w14:paraId="57CB0FF6"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return(mat)</w:t>
      </w:r>
    </w:p>
    <w:p w14:paraId="24303885"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w:t>
      </w:r>
    </w:p>
    <w:p w14:paraId="68F50C39" w14:textId="77777777" w:rsidR="00B260B0" w:rsidRPr="00B260B0" w:rsidRDefault="00B260B0" w:rsidP="00B260B0">
      <w:pPr>
        <w:rPr>
          <w:rFonts w:ascii="Lucida Console" w:hAnsi="Lucida Console"/>
          <w:sz w:val="20"/>
          <w:szCs w:val="20"/>
        </w:rPr>
      </w:pPr>
    </w:p>
    <w:p w14:paraId="1BE2D29B"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spssSkewKurtosis(ms2[which(ms2$conditions=="control" &amp; ms2$gender_fac=="Male"),"scores"])[1,1]/spssSkewKurtosis(ms2[which(ms2$conditions=="control" &amp; ms2$gender_fac=="Male"),"scores"])[1,2]</w:t>
      </w:r>
    </w:p>
    <w:p w14:paraId="67B64D5D"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-3.09 &lt; 2.244032 &lt; 3.09, Pass Normality Check</w:t>
      </w:r>
    </w:p>
    <w:p w14:paraId="46CA72F9" w14:textId="77777777" w:rsidR="00B260B0" w:rsidRDefault="00B260B0" w:rsidP="00B260B0">
      <w:pPr>
        <w:rPr>
          <w:rFonts w:ascii="Lucida Console" w:hAnsi="Lucida Console"/>
          <w:sz w:val="20"/>
          <w:szCs w:val="20"/>
        </w:rPr>
      </w:pPr>
    </w:p>
    <w:p w14:paraId="57C2C672" w14:textId="5EC1AB03" w:rsidR="00B260B0" w:rsidRPr="00B260B0" w:rsidRDefault="00B260B0" w:rsidP="00B260B0">
      <w:pPr>
        <w:rPr>
          <w:rFonts w:ascii="Lucida Console" w:hAnsi="Lucida Console"/>
          <w:sz w:val="20"/>
          <w:szCs w:val="20"/>
        </w:rPr>
      </w:pPr>
      <w:r w:rsidRPr="00B260B0">
        <w:rPr>
          <w:rFonts w:ascii="Lucida Console" w:hAnsi="Lucida Console"/>
          <w:sz w:val="20"/>
          <w:szCs w:val="20"/>
        </w:rPr>
        <w:t>spssSkewKurtosis(ms2[which(ms2$conditions=="control" &amp; ms2$gender_fac=="Female"),"scores"])[1,1]/spssSkewKurtosis(ms2[which(ms2$conditions=="control" &amp; ms2$gender_fac=="Male"),"scores"])[1,2]</w:t>
      </w:r>
    </w:p>
    <w:p w14:paraId="6643DF33"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-3.09 &lt; 0.2530942 &lt; 3.09, Pass Normality Check</w:t>
      </w:r>
    </w:p>
    <w:p w14:paraId="06DEE278" w14:textId="77777777" w:rsidR="00B260B0" w:rsidRDefault="00B260B0" w:rsidP="00B260B0">
      <w:pPr>
        <w:rPr>
          <w:rFonts w:ascii="Lucida Console" w:hAnsi="Lucida Console"/>
          <w:sz w:val="20"/>
          <w:szCs w:val="20"/>
        </w:rPr>
      </w:pPr>
    </w:p>
    <w:p w14:paraId="54D694EC" w14:textId="5FA98EF9" w:rsidR="00B260B0" w:rsidRPr="00B260B0" w:rsidRDefault="00B260B0" w:rsidP="00B260B0">
      <w:pPr>
        <w:rPr>
          <w:rFonts w:ascii="Lucida Console" w:hAnsi="Lucida Console"/>
          <w:sz w:val="20"/>
          <w:szCs w:val="20"/>
        </w:rPr>
      </w:pPr>
      <w:r w:rsidRPr="00B260B0">
        <w:rPr>
          <w:rFonts w:ascii="Lucida Console" w:hAnsi="Lucida Console"/>
          <w:sz w:val="20"/>
          <w:szCs w:val="20"/>
        </w:rPr>
        <w:t>spssSkewKurtosis(ms2[which(ms2$conditions=="importance" &amp; ms2$gender_fac=="Male"),"scores"])[1,1]/spssSkewKurtosis(ms2[which(ms2$conditions=="control" &amp; ms2$gender_fac=="Male"),"scores"])[1,2]</w:t>
      </w:r>
    </w:p>
    <w:p w14:paraId="471C0311"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-3.09 &lt; 0.3832331 &lt; 3.09, Pass Normality Check</w:t>
      </w:r>
    </w:p>
    <w:p w14:paraId="10D242B1" w14:textId="77777777" w:rsidR="00B260B0" w:rsidRDefault="00B260B0" w:rsidP="00B260B0">
      <w:pPr>
        <w:rPr>
          <w:rFonts w:ascii="Lucida Console" w:hAnsi="Lucida Console"/>
          <w:sz w:val="20"/>
          <w:szCs w:val="20"/>
        </w:rPr>
      </w:pPr>
    </w:p>
    <w:p w14:paraId="18AE7B25" w14:textId="2FA2BA4F" w:rsidR="00B260B0" w:rsidRPr="00B260B0" w:rsidRDefault="00B260B0" w:rsidP="00B260B0">
      <w:pPr>
        <w:rPr>
          <w:rFonts w:ascii="Lucida Console" w:hAnsi="Lucida Console"/>
          <w:sz w:val="20"/>
          <w:szCs w:val="20"/>
        </w:rPr>
      </w:pPr>
      <w:r w:rsidRPr="00B260B0">
        <w:rPr>
          <w:rFonts w:ascii="Lucida Console" w:hAnsi="Lucida Console"/>
          <w:sz w:val="20"/>
          <w:szCs w:val="20"/>
        </w:rPr>
        <w:t>spssSkewKurtosis(ms2[which(ms2$conditions=="importance" &amp; ms2$gender_fac=="Female"),"scores"])[1,1]/spssSkewKurtosis(ms2[which(ms2$conditions=="control" &amp; ms2$gender_fac=="Male"),"scores"])[1,2]</w:t>
      </w:r>
    </w:p>
    <w:p w14:paraId="78B6F75B"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-3.09 &lt; 0.3056062 &lt; 3.09, Pass Normality Check</w:t>
      </w:r>
    </w:p>
    <w:p w14:paraId="798D8101" w14:textId="77777777" w:rsidR="00B260B0" w:rsidRDefault="00B260B0" w:rsidP="00B260B0">
      <w:pPr>
        <w:rPr>
          <w:rFonts w:ascii="Lucida Console" w:hAnsi="Lucida Console"/>
          <w:sz w:val="20"/>
          <w:szCs w:val="20"/>
        </w:rPr>
      </w:pPr>
    </w:p>
    <w:p w14:paraId="1E3C51C0" w14:textId="6D55398B" w:rsidR="00B260B0" w:rsidRPr="00B260B0" w:rsidRDefault="00B260B0" w:rsidP="00B260B0">
      <w:pPr>
        <w:rPr>
          <w:rFonts w:ascii="Lucida Console" w:hAnsi="Lucida Console"/>
          <w:sz w:val="20"/>
          <w:szCs w:val="20"/>
        </w:rPr>
      </w:pPr>
      <w:r w:rsidRPr="00B260B0">
        <w:rPr>
          <w:rFonts w:ascii="Lucida Console" w:hAnsi="Lucida Console"/>
          <w:sz w:val="20"/>
          <w:szCs w:val="20"/>
        </w:rPr>
        <w:t>spssSkewKurtosis(ms2[which(ms2$conditions=="impossibility" &amp; ms2$gender_fac=="Male"),"scores"])[1,1]/spssSkewKurtosis(ms2[which(ms2$conditions=="control" &amp; ms2$gender_fac=="Male"),"scores"])[1,2]</w:t>
      </w:r>
    </w:p>
    <w:p w14:paraId="0B18F79D"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-3.09 &lt; 0.933647 &lt; 3.09, Pass Normality Check</w:t>
      </w:r>
    </w:p>
    <w:p w14:paraId="0846B60D" w14:textId="77777777" w:rsidR="00B260B0" w:rsidRDefault="00B260B0" w:rsidP="00B260B0">
      <w:pPr>
        <w:rPr>
          <w:rFonts w:ascii="Lucida Console" w:hAnsi="Lucida Console"/>
          <w:sz w:val="20"/>
          <w:szCs w:val="20"/>
        </w:rPr>
      </w:pPr>
    </w:p>
    <w:p w14:paraId="57DFF2BD" w14:textId="449AF8C7" w:rsidR="00B260B0" w:rsidRPr="00B260B0" w:rsidRDefault="00B260B0" w:rsidP="00B260B0">
      <w:pPr>
        <w:rPr>
          <w:rFonts w:ascii="Lucida Console" w:hAnsi="Lucida Console"/>
          <w:sz w:val="20"/>
          <w:szCs w:val="20"/>
        </w:rPr>
      </w:pPr>
      <w:r w:rsidRPr="00B260B0">
        <w:rPr>
          <w:rFonts w:ascii="Lucida Console" w:hAnsi="Lucida Console"/>
          <w:sz w:val="20"/>
          <w:szCs w:val="20"/>
        </w:rPr>
        <w:t>spssSkewKurtosis(ms2[which(ms2$conditions=="impossibility" &amp; ms2$gender_fac=="Female"),"scores"])[1,1]/spssSkewKurtosis(ms2[which(ms2$conditions=="control" &amp; ms2$gender_fac=="Male"),"scores"])[1,2]</w:t>
      </w:r>
    </w:p>
    <w:p w14:paraId="4570190C"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-3.09 &lt; 0.7098966 &lt; 3.09, Pass Normality Check</w:t>
      </w:r>
    </w:p>
    <w:p w14:paraId="787DB9C6" w14:textId="77777777" w:rsidR="00B260B0" w:rsidRPr="00B260B0" w:rsidRDefault="00B260B0" w:rsidP="00B260B0">
      <w:pPr>
        <w:rPr>
          <w:rFonts w:ascii="Lucida Console" w:hAnsi="Lucida Console"/>
          <w:sz w:val="20"/>
          <w:szCs w:val="20"/>
        </w:rPr>
      </w:pPr>
    </w:p>
    <w:p w14:paraId="0A4CC7A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Assumption Check: Homoscedasticity</w:t>
      </w:r>
    </w:p>
    <w:p w14:paraId="3E945312"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ms2$groups &lt;- paste(ms2$conditions,ms2$gender_fac)</w:t>
      </w:r>
    </w:p>
    <w:p w14:paraId="5B43A79D"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library(lawstat)</w:t>
      </w:r>
    </w:p>
    <w:p w14:paraId="4D821637"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levene.test(ms2[,"scores"], ms2[,c("groups")])</w:t>
      </w:r>
    </w:p>
    <w:p w14:paraId="129B1034"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p-value = .06991 &gt; .05, No evidence for heteroscedasticity, Pass Homoscedasticity Check.</w:t>
      </w:r>
    </w:p>
    <w:p w14:paraId="61C954A9" w14:textId="77777777" w:rsidR="00B260B0" w:rsidRPr="00B260B0" w:rsidRDefault="00B260B0" w:rsidP="00B260B0">
      <w:pPr>
        <w:rPr>
          <w:rFonts w:ascii="Lucida Console" w:hAnsi="Lucida Console"/>
          <w:sz w:val="20"/>
          <w:szCs w:val="20"/>
        </w:rPr>
      </w:pPr>
    </w:p>
    <w:p w14:paraId="03C1B2F6"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The data meet both the assumptions for a ANOVA test, the ANOVA test can be carried out from here on.</w:t>
      </w:r>
    </w:p>
    <w:p w14:paraId="38FB397F" w14:textId="77777777" w:rsidR="00B260B0" w:rsidRPr="00B260B0" w:rsidRDefault="00B260B0" w:rsidP="00B260B0">
      <w:pPr>
        <w:rPr>
          <w:rFonts w:ascii="Lucida Console" w:hAnsi="Lucida Console"/>
          <w:sz w:val="20"/>
          <w:szCs w:val="20"/>
        </w:rPr>
      </w:pPr>
    </w:p>
    <w:p w14:paraId="18D9847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Change the default handling of unordered factors to deviation coding (contr.sum)</w:t>
      </w:r>
    </w:p>
    <w:p w14:paraId="6BBBC66F"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options(contrasts=c("contr.sum", "contr.poly"))</w:t>
      </w:r>
    </w:p>
    <w:p w14:paraId="1DB87E2C" w14:textId="77777777" w:rsidR="00B260B0" w:rsidRPr="00B260B0" w:rsidRDefault="00B260B0" w:rsidP="00B260B0">
      <w:pPr>
        <w:rPr>
          <w:rFonts w:ascii="Lucida Console" w:hAnsi="Lucida Console"/>
          <w:sz w:val="20"/>
          <w:szCs w:val="20"/>
        </w:rPr>
      </w:pPr>
    </w:p>
    <w:p w14:paraId="49CD1C8D"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Fit the linear regression model to conduct ANCOVA, DV = scores, IVs = gender*condition, COVs = effort, grade, words, and sentences</w:t>
      </w:r>
    </w:p>
    <w:p w14:paraId="5CCD1A66"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lm1 &lt;- lm(formula = scores ~ conditions*gender_fac + z_effort + z_grade + z_words + z_sentences, data = ms2)</w:t>
      </w:r>
    </w:p>
    <w:p w14:paraId="437A9857" w14:textId="77777777" w:rsidR="00B260B0" w:rsidRPr="00B260B0" w:rsidRDefault="00B260B0" w:rsidP="00B260B0">
      <w:pPr>
        <w:rPr>
          <w:rFonts w:ascii="Lucida Console" w:hAnsi="Lucida Console"/>
          <w:sz w:val="20"/>
          <w:szCs w:val="20"/>
        </w:rPr>
      </w:pPr>
    </w:p>
    <w:p w14:paraId="513320EA"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The ANOVA Source Table</w:t>
      </w:r>
    </w:p>
    <w:p w14:paraId="31828CA5"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library(car)</w:t>
      </w:r>
    </w:p>
    <w:p w14:paraId="785A7566"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Anova(lm1, type=3) # interaction is not significant, p-value = .15</w:t>
      </w:r>
    </w:p>
    <w:p w14:paraId="4156B3A1" w14:textId="77777777" w:rsidR="00B260B0" w:rsidRPr="00B260B0" w:rsidRDefault="00B260B0" w:rsidP="00B260B0">
      <w:pPr>
        <w:rPr>
          <w:rFonts w:ascii="Lucida Console" w:hAnsi="Lucida Console"/>
          <w:sz w:val="20"/>
          <w:szCs w:val="20"/>
        </w:rPr>
      </w:pPr>
    </w:p>
    <w:p w14:paraId="3635FEC8" w14:textId="44EB5E12" w:rsidR="00B260B0" w:rsidRPr="00B260B0" w:rsidRDefault="00B260B0" w:rsidP="00B260B0">
      <w:pPr>
        <w:rPr>
          <w:rFonts w:ascii="Lucida Console" w:hAnsi="Lucida Console"/>
          <w:sz w:val="20"/>
          <w:szCs w:val="20"/>
        </w:rPr>
      </w:pPr>
      <w:r w:rsidRPr="00B260B0">
        <w:rPr>
          <w:rFonts w:ascii="Lucida Console" w:hAnsi="Lucida Console"/>
          <w:sz w:val="20"/>
          <w:szCs w:val="20"/>
        </w:rPr>
        <w:t xml:space="preserve"># </w:t>
      </w:r>
      <w:r>
        <w:rPr>
          <w:rFonts w:ascii="Lucida Console" w:hAnsi="Lucida Console"/>
          <w:sz w:val="20"/>
          <w:szCs w:val="20"/>
        </w:rPr>
        <w:t xml:space="preserve">The </w:t>
      </w:r>
      <w:r w:rsidRPr="00B260B0">
        <w:rPr>
          <w:rFonts w:ascii="Lucida Console" w:hAnsi="Lucida Console"/>
          <w:sz w:val="20"/>
          <w:szCs w:val="20"/>
        </w:rPr>
        <w:t>Interaction Plot</w:t>
      </w:r>
    </w:p>
    <w:p w14:paraId="507C0995"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library(emmeans)</w:t>
      </w:r>
    </w:p>
    <w:p w14:paraId="41888B8B"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emm1&lt;-emmeans(object = lm1, spec=~conditions*gender_fac)</w:t>
      </w:r>
    </w:p>
    <w:p w14:paraId="2E5E3B5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ip1 &lt;- emmip(object=emm1, formula = gender_fac ~ conditions, xlab=c("Mindset Interventions"), ylab=c("Writing Scores"), CIs = TRUE, ylim=c(0,4))</w:t>
      </w:r>
    </w:p>
    <w:p w14:paraId="701795BA"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ip1$labels$colour &lt;-  "Gender"</w:t>
      </w:r>
    </w:p>
    <w:p w14:paraId="53D7FCF3"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print(ip1)</w:t>
      </w:r>
    </w:p>
    <w:p w14:paraId="200FE433" w14:textId="77777777" w:rsidR="00B260B0" w:rsidRPr="00B260B0" w:rsidRDefault="00B260B0" w:rsidP="00B260B0">
      <w:pPr>
        <w:rPr>
          <w:rFonts w:ascii="Lucida Console" w:hAnsi="Lucida Console"/>
          <w:sz w:val="20"/>
          <w:szCs w:val="20"/>
        </w:rPr>
      </w:pPr>
    </w:p>
    <w:p w14:paraId="1CB23DEA"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Pairwise comparisons</w:t>
      </w:r>
    </w:p>
    <w:p w14:paraId="7CFDF51F"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emm1.m&lt;-emmeans(object = lm1, spec=~conditions) # the main effect of conditions</w:t>
      </w:r>
    </w:p>
    <w:p w14:paraId="35B1B287"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pairs(emm1.m, adjust="none")</w:t>
      </w:r>
    </w:p>
    <w:p w14:paraId="7D1AC014"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The only significant pair is "control - importance". p-value = .0165 &lt; .05/1, the Shaffer's Planned Post-Omnibus</w:t>
      </w:r>
    </w:p>
    <w:p w14:paraId="0647B3B5" w14:textId="77777777" w:rsidR="00B260B0" w:rsidRPr="00B260B0" w:rsidRDefault="00B260B0" w:rsidP="00B260B0">
      <w:pPr>
        <w:rPr>
          <w:rFonts w:ascii="Lucida Console" w:hAnsi="Lucida Console"/>
          <w:sz w:val="20"/>
          <w:szCs w:val="20"/>
        </w:rPr>
      </w:pPr>
    </w:p>
    <w:p w14:paraId="07C5E4B9"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Linear contrasts</w:t>
      </w:r>
    </w:p>
    <w:p w14:paraId="4DE44900"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contrast(emm1.m, method=list(c(1/2,-1,1/2))) # importance vs others</w:t>
      </w:r>
    </w:p>
    <w:p w14:paraId="49D15CE4"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Significant, p-value = .0136 &lt; .05/2, the Holm-Bonferroni Correction</w:t>
      </w:r>
    </w:p>
    <w:p w14:paraId="7FE57323"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contrast(emm1.m, method=list(c(1/2,1/2,-1))) # impossibility vs others</w:t>
      </w:r>
    </w:p>
    <w:p w14:paraId="207EFD87" w14:textId="77777777" w:rsidR="00B260B0" w:rsidRPr="00B260B0" w:rsidRDefault="00B260B0" w:rsidP="00B260B0">
      <w:pPr>
        <w:rPr>
          <w:rFonts w:ascii="Lucida Console" w:hAnsi="Lucida Console"/>
          <w:sz w:val="20"/>
          <w:szCs w:val="20"/>
        </w:rPr>
      </w:pPr>
      <w:r w:rsidRPr="00B260B0">
        <w:rPr>
          <w:rFonts w:ascii="Lucida Console" w:hAnsi="Lucida Console"/>
          <w:sz w:val="20"/>
          <w:szCs w:val="20"/>
        </w:rPr>
        <w:t>## Not significant, p-value = .4520</w:t>
      </w:r>
    </w:p>
    <w:p w14:paraId="1131DE59" w14:textId="77777777" w:rsidR="00B260B0" w:rsidRPr="00B260B0" w:rsidRDefault="00B260B0">
      <w:pPr>
        <w:rPr>
          <w:rFonts w:ascii="Lucida Console" w:hAnsi="Lucida Console"/>
          <w:sz w:val="20"/>
          <w:szCs w:val="20"/>
        </w:rPr>
      </w:pPr>
    </w:p>
    <w:sectPr w:rsidR="00B260B0" w:rsidRPr="00B260B0" w:rsidSect="002F6A8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8A275" w14:textId="77777777" w:rsidR="00D55A2E" w:rsidRDefault="00D55A2E">
      <w:r>
        <w:separator/>
      </w:r>
    </w:p>
  </w:endnote>
  <w:endnote w:type="continuationSeparator" w:id="0">
    <w:p w14:paraId="43167CD4" w14:textId="77777777" w:rsidR="00D55A2E" w:rsidRDefault="00D5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972ED" w14:textId="77777777" w:rsidR="00D55A2E" w:rsidRDefault="00D55A2E">
      <w:r>
        <w:separator/>
      </w:r>
    </w:p>
  </w:footnote>
  <w:footnote w:type="continuationSeparator" w:id="0">
    <w:p w14:paraId="29A67E98" w14:textId="77777777" w:rsidR="00D55A2E" w:rsidRDefault="00D55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CBDB" w14:textId="3521F958" w:rsidR="006E2961" w:rsidRDefault="006E2961" w:rsidP="002A724A">
    <w:pPr>
      <w:pStyle w:val="Header"/>
      <w:tabs>
        <w:tab w:val="clear" w:pos="8640"/>
        <w:tab w:val="right" w:pos="9270"/>
      </w:tabs>
    </w:pPr>
    <w:r>
      <w:t>HUDM5123 – FINAL PROJECT</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CBDC" w14:textId="7C724F8E" w:rsidR="006E2961" w:rsidRDefault="006E2961" w:rsidP="002F6A81">
    <w:pPr>
      <w:pStyle w:val="Header"/>
      <w:tabs>
        <w:tab w:val="clear" w:pos="8640"/>
        <w:tab w:val="left" w:pos="9270"/>
      </w:tabs>
      <w:ind w:right="-180"/>
    </w:pPr>
    <w:r>
      <w:t>Running head: HUDM5123 – FINAL PROJECT</w:t>
    </w:r>
    <w:r>
      <w:tab/>
    </w:r>
    <w:r>
      <w:fldChar w:fldCharType="begin"/>
    </w:r>
    <w:r>
      <w:instrText xml:space="preserve"> PAGE   \* MERGEFORMAT </w:instrText>
    </w:r>
    <w:r>
      <w:fldChar w:fldCharType="separate"/>
    </w:r>
    <w:r>
      <w:rPr>
        <w:noProof/>
      </w:rPr>
      <w:t>1</w:t>
    </w:r>
    <w:r>
      <w:rPr>
        <w:noProof/>
      </w:rPr>
      <w:fldChar w:fldCharType="end"/>
    </w:r>
  </w:p>
  <w:p w14:paraId="7115CBDD" w14:textId="77777777" w:rsidR="006E2961" w:rsidRDefault="006E2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AF"/>
    <w:rsid w:val="00000EEB"/>
    <w:rsid w:val="00012202"/>
    <w:rsid w:val="000537A4"/>
    <w:rsid w:val="0007165E"/>
    <w:rsid w:val="00093851"/>
    <w:rsid w:val="00093F5D"/>
    <w:rsid w:val="000F7F4B"/>
    <w:rsid w:val="00131EF6"/>
    <w:rsid w:val="00160324"/>
    <w:rsid w:val="0017702C"/>
    <w:rsid w:val="00184064"/>
    <w:rsid w:val="00184363"/>
    <w:rsid w:val="001B7AD9"/>
    <w:rsid w:val="001C1E4A"/>
    <w:rsid w:val="001C33B0"/>
    <w:rsid w:val="002144F9"/>
    <w:rsid w:val="002263BC"/>
    <w:rsid w:val="00234F44"/>
    <w:rsid w:val="00244F93"/>
    <w:rsid w:val="00280A88"/>
    <w:rsid w:val="00295135"/>
    <w:rsid w:val="002A23FD"/>
    <w:rsid w:val="002A724A"/>
    <w:rsid w:val="002B0701"/>
    <w:rsid w:val="002E31E9"/>
    <w:rsid w:val="002F6A81"/>
    <w:rsid w:val="00322AE9"/>
    <w:rsid w:val="003370EC"/>
    <w:rsid w:val="003532A6"/>
    <w:rsid w:val="003627C4"/>
    <w:rsid w:val="00365535"/>
    <w:rsid w:val="00396774"/>
    <w:rsid w:val="003C2E39"/>
    <w:rsid w:val="00403AF1"/>
    <w:rsid w:val="00416BB9"/>
    <w:rsid w:val="004409FD"/>
    <w:rsid w:val="00440CC7"/>
    <w:rsid w:val="00452203"/>
    <w:rsid w:val="005144C9"/>
    <w:rsid w:val="005476BF"/>
    <w:rsid w:val="00555EEB"/>
    <w:rsid w:val="00580F56"/>
    <w:rsid w:val="005A3E3D"/>
    <w:rsid w:val="005E5D60"/>
    <w:rsid w:val="005F09C8"/>
    <w:rsid w:val="005F6959"/>
    <w:rsid w:val="006047CE"/>
    <w:rsid w:val="0061215E"/>
    <w:rsid w:val="006121FC"/>
    <w:rsid w:val="006212FC"/>
    <w:rsid w:val="006216A3"/>
    <w:rsid w:val="006657C2"/>
    <w:rsid w:val="00672104"/>
    <w:rsid w:val="0068779A"/>
    <w:rsid w:val="00691760"/>
    <w:rsid w:val="00697D6E"/>
    <w:rsid w:val="006A0AE5"/>
    <w:rsid w:val="006B5830"/>
    <w:rsid w:val="006C38CE"/>
    <w:rsid w:val="006D5798"/>
    <w:rsid w:val="006E2961"/>
    <w:rsid w:val="00716B83"/>
    <w:rsid w:val="00727FDB"/>
    <w:rsid w:val="00782C46"/>
    <w:rsid w:val="007903F8"/>
    <w:rsid w:val="007A044A"/>
    <w:rsid w:val="007D66D4"/>
    <w:rsid w:val="007D7F3D"/>
    <w:rsid w:val="008058A4"/>
    <w:rsid w:val="00816697"/>
    <w:rsid w:val="00817FD7"/>
    <w:rsid w:val="008514EE"/>
    <w:rsid w:val="00854A9D"/>
    <w:rsid w:val="008817F5"/>
    <w:rsid w:val="008964F7"/>
    <w:rsid w:val="008B7F1C"/>
    <w:rsid w:val="00903D7D"/>
    <w:rsid w:val="00941E38"/>
    <w:rsid w:val="00952F52"/>
    <w:rsid w:val="009736B1"/>
    <w:rsid w:val="009A7356"/>
    <w:rsid w:val="009B79A4"/>
    <w:rsid w:val="009E302A"/>
    <w:rsid w:val="009E5D18"/>
    <w:rsid w:val="009E6324"/>
    <w:rsid w:val="00A069AF"/>
    <w:rsid w:val="00A203C4"/>
    <w:rsid w:val="00A2760D"/>
    <w:rsid w:val="00A36BD9"/>
    <w:rsid w:val="00A4761E"/>
    <w:rsid w:val="00A5506F"/>
    <w:rsid w:val="00A64959"/>
    <w:rsid w:val="00A90EAB"/>
    <w:rsid w:val="00A96F98"/>
    <w:rsid w:val="00AA1FA8"/>
    <w:rsid w:val="00AA48AD"/>
    <w:rsid w:val="00AC2820"/>
    <w:rsid w:val="00AD1E7F"/>
    <w:rsid w:val="00AD4A81"/>
    <w:rsid w:val="00AD51C2"/>
    <w:rsid w:val="00AE1E4E"/>
    <w:rsid w:val="00AE34B4"/>
    <w:rsid w:val="00B22734"/>
    <w:rsid w:val="00B260B0"/>
    <w:rsid w:val="00B40F59"/>
    <w:rsid w:val="00B46DCF"/>
    <w:rsid w:val="00B51C43"/>
    <w:rsid w:val="00B5530C"/>
    <w:rsid w:val="00B70A74"/>
    <w:rsid w:val="00B752FE"/>
    <w:rsid w:val="00BB388A"/>
    <w:rsid w:val="00BD2EC2"/>
    <w:rsid w:val="00BE2AEE"/>
    <w:rsid w:val="00BF20D5"/>
    <w:rsid w:val="00C10371"/>
    <w:rsid w:val="00C14DE9"/>
    <w:rsid w:val="00C16C70"/>
    <w:rsid w:val="00C41FB3"/>
    <w:rsid w:val="00C65318"/>
    <w:rsid w:val="00C6689E"/>
    <w:rsid w:val="00C80146"/>
    <w:rsid w:val="00C90010"/>
    <w:rsid w:val="00CB66AA"/>
    <w:rsid w:val="00CE4DD4"/>
    <w:rsid w:val="00D144D8"/>
    <w:rsid w:val="00D37359"/>
    <w:rsid w:val="00D524C3"/>
    <w:rsid w:val="00D55A2E"/>
    <w:rsid w:val="00D67206"/>
    <w:rsid w:val="00D8229E"/>
    <w:rsid w:val="00DA644C"/>
    <w:rsid w:val="00DC0BE3"/>
    <w:rsid w:val="00DE3084"/>
    <w:rsid w:val="00DF535A"/>
    <w:rsid w:val="00E46B86"/>
    <w:rsid w:val="00E53B6F"/>
    <w:rsid w:val="00E67C03"/>
    <w:rsid w:val="00ED23EA"/>
    <w:rsid w:val="00EE3A92"/>
    <w:rsid w:val="00F102F4"/>
    <w:rsid w:val="00F10F4B"/>
    <w:rsid w:val="00F2087D"/>
    <w:rsid w:val="00F46794"/>
    <w:rsid w:val="00F5140A"/>
    <w:rsid w:val="00F64B98"/>
    <w:rsid w:val="00F84B13"/>
    <w:rsid w:val="00FA793A"/>
    <w:rsid w:val="00FD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5CB9D"/>
  <w15:docId w15:val="{50651C30-9F28-428D-90FE-95A21A5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E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69AF"/>
    <w:pPr>
      <w:tabs>
        <w:tab w:val="center" w:pos="4320"/>
        <w:tab w:val="right" w:pos="8640"/>
      </w:tabs>
    </w:pPr>
  </w:style>
  <w:style w:type="paragraph" w:styleId="Footer">
    <w:name w:val="footer"/>
    <w:basedOn w:val="Normal"/>
    <w:rsid w:val="00A069AF"/>
    <w:pPr>
      <w:tabs>
        <w:tab w:val="center" w:pos="4320"/>
        <w:tab w:val="right" w:pos="8640"/>
      </w:tabs>
    </w:pPr>
  </w:style>
  <w:style w:type="character" w:styleId="PageNumber">
    <w:name w:val="page number"/>
    <w:basedOn w:val="DefaultParagraphFont"/>
    <w:rsid w:val="00A069AF"/>
  </w:style>
  <w:style w:type="character" w:styleId="Hyperlink">
    <w:name w:val="Hyperlink"/>
    <w:basedOn w:val="DefaultParagraphFont"/>
    <w:rsid w:val="00816697"/>
    <w:rPr>
      <w:color w:val="0000FF"/>
      <w:u w:val="single"/>
    </w:rPr>
  </w:style>
  <w:style w:type="character" w:styleId="FollowedHyperlink">
    <w:name w:val="FollowedHyperlink"/>
    <w:basedOn w:val="DefaultParagraphFont"/>
    <w:rsid w:val="003627C4"/>
    <w:rPr>
      <w:color w:val="800080"/>
      <w:u w:val="single"/>
    </w:rPr>
  </w:style>
  <w:style w:type="character" w:customStyle="1" w:styleId="HeaderChar">
    <w:name w:val="Header Char"/>
    <w:basedOn w:val="DefaultParagraphFont"/>
    <w:link w:val="Header"/>
    <w:uiPriority w:val="99"/>
    <w:rsid w:val="002F6A81"/>
    <w:rPr>
      <w:sz w:val="24"/>
      <w:szCs w:val="24"/>
    </w:rPr>
  </w:style>
  <w:style w:type="paragraph" w:styleId="BalloonText">
    <w:name w:val="Balloon Text"/>
    <w:basedOn w:val="Normal"/>
    <w:link w:val="BalloonTextChar"/>
    <w:semiHidden/>
    <w:unhideWhenUsed/>
    <w:rsid w:val="00AE1E4E"/>
    <w:rPr>
      <w:rFonts w:ascii="Segoe UI" w:hAnsi="Segoe UI" w:cs="Segoe UI"/>
      <w:sz w:val="18"/>
      <w:szCs w:val="18"/>
    </w:rPr>
  </w:style>
  <w:style w:type="character" w:customStyle="1" w:styleId="BalloonTextChar">
    <w:name w:val="Balloon Text Char"/>
    <w:basedOn w:val="DefaultParagraphFont"/>
    <w:link w:val="BalloonText"/>
    <w:semiHidden/>
    <w:rsid w:val="00AE1E4E"/>
    <w:rPr>
      <w:rFonts w:ascii="Segoe UI" w:hAnsi="Segoe UI" w:cs="Segoe UI"/>
      <w:sz w:val="18"/>
      <w:szCs w:val="18"/>
    </w:rPr>
  </w:style>
  <w:style w:type="character" w:styleId="CommentReference">
    <w:name w:val="annotation reference"/>
    <w:basedOn w:val="DefaultParagraphFont"/>
    <w:semiHidden/>
    <w:unhideWhenUsed/>
    <w:rsid w:val="00DE3084"/>
    <w:rPr>
      <w:sz w:val="16"/>
      <w:szCs w:val="16"/>
    </w:rPr>
  </w:style>
  <w:style w:type="paragraph" w:styleId="CommentText">
    <w:name w:val="annotation text"/>
    <w:basedOn w:val="Normal"/>
    <w:link w:val="CommentTextChar"/>
    <w:semiHidden/>
    <w:unhideWhenUsed/>
    <w:rsid w:val="00DE3084"/>
    <w:rPr>
      <w:sz w:val="20"/>
      <w:szCs w:val="20"/>
    </w:rPr>
  </w:style>
  <w:style w:type="character" w:customStyle="1" w:styleId="CommentTextChar">
    <w:name w:val="Comment Text Char"/>
    <w:basedOn w:val="DefaultParagraphFont"/>
    <w:link w:val="CommentText"/>
    <w:semiHidden/>
    <w:rsid w:val="00DE3084"/>
  </w:style>
  <w:style w:type="paragraph" w:styleId="CommentSubject">
    <w:name w:val="annotation subject"/>
    <w:basedOn w:val="CommentText"/>
    <w:next w:val="CommentText"/>
    <w:link w:val="CommentSubjectChar"/>
    <w:semiHidden/>
    <w:unhideWhenUsed/>
    <w:rsid w:val="00DE3084"/>
    <w:rPr>
      <w:b/>
      <w:bCs/>
    </w:rPr>
  </w:style>
  <w:style w:type="character" w:customStyle="1" w:styleId="CommentSubjectChar">
    <w:name w:val="Comment Subject Char"/>
    <w:basedOn w:val="CommentTextChar"/>
    <w:link w:val="CommentSubject"/>
    <w:semiHidden/>
    <w:rsid w:val="00DE3084"/>
    <w:rPr>
      <w:b/>
      <w:bCs/>
    </w:rPr>
  </w:style>
  <w:style w:type="table" w:styleId="TableGrid">
    <w:name w:val="Table Grid"/>
    <w:basedOn w:val="TableNormal"/>
    <w:rsid w:val="0044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6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#1: Preliminary Descriptive Analysis of SAT Data</vt:lpstr>
    </vt:vector>
  </TitlesOfParts>
  <Company>College Board</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Preliminary Descriptive Analysis of SAT Data</dc:title>
  <dc:creator>College Board</dc:creator>
  <cp:lastModifiedBy>Zhuqian Zhou</cp:lastModifiedBy>
  <cp:revision>3</cp:revision>
  <dcterms:created xsi:type="dcterms:W3CDTF">2020-05-09T21:16:00Z</dcterms:created>
  <dcterms:modified xsi:type="dcterms:W3CDTF">2020-05-10T19:38:00Z</dcterms:modified>
</cp:coreProperties>
</file>