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9639A" w14:textId="69A073F6" w:rsidR="007A7D84" w:rsidRDefault="00F14D21" w:rsidP="007A7D84">
      <w:pPr>
        <w:spacing w:after="0" w:line="240" w:lineRule="auto"/>
        <w:rPr>
          <w:rFonts w:ascii="Times New Roman" w:eastAsia="Times New Roman" w:hAnsi="Times New Roman" w:cs="Times New Roman"/>
          <w:kern w:val="0"/>
          <w:sz w:val="24"/>
          <w:szCs w:val="24"/>
          <w14:ligatures w14:val="none"/>
        </w:rPr>
      </w:pPr>
      <w:r>
        <w:rPr>
          <w:rFonts w:ascii="Arial" w:hAnsi="Arial" w:cs="Arial"/>
          <w:b/>
          <w:bCs/>
          <w:color w:val="0B5394"/>
          <w:shd w:val="clear" w:color="auto" w:fill="FFFFFF"/>
        </w:rPr>
        <w:t>Meeting on NA issues with NISR (dec. 11, 2023)—outcome and steps for follow-up</w:t>
      </w:r>
    </w:p>
    <w:p w14:paraId="24E03A71" w14:textId="77777777" w:rsidR="00F14D21" w:rsidRPr="007A7D84" w:rsidRDefault="00F14D21" w:rsidP="007A7D84">
      <w:pPr>
        <w:spacing w:after="0" w:line="240" w:lineRule="auto"/>
        <w:rPr>
          <w:rFonts w:ascii="Times New Roman" w:eastAsia="Times New Roman" w:hAnsi="Times New Roman" w:cs="Times New Roman"/>
          <w:kern w:val="0"/>
          <w:sz w:val="24"/>
          <w:szCs w:val="24"/>
          <w14:ligatures w14:val="none"/>
        </w:rPr>
      </w:pPr>
    </w:p>
    <w:p w14:paraId="118ED32E"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b/>
          <w:bCs/>
          <w:kern w:val="0"/>
          <w:sz w:val="24"/>
          <w:szCs w:val="24"/>
          <w14:ligatures w14:val="none"/>
        </w:rPr>
        <w:t>1. NA govt consumption much larger than in Budget</w:t>
      </w:r>
    </w:p>
    <w:p w14:paraId="02425F63" w14:textId="5071929D"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w:t>
      </w:r>
      <w:r w:rsidRPr="007A7D84">
        <w:rPr>
          <w:rFonts w:ascii="Times New Roman" w:eastAsia="Times New Roman" w:hAnsi="Times New Roman" w:cs="Times New Roman"/>
          <w:kern w:val="0"/>
          <w:sz w:val="24"/>
          <w:szCs w:val="24"/>
          <w14:ligatures w14:val="none"/>
        </w:rPr>
        <w:sym w:font="Wingdings" w:char="F0E8"/>
      </w:r>
      <w:r w:rsidRPr="007A7D84">
        <w:rPr>
          <w:rFonts w:ascii="Times New Roman" w:eastAsia="Times New Roman" w:hAnsi="Times New Roman" w:cs="Times New Roman"/>
          <w:kern w:val="0"/>
          <w:sz w:val="24"/>
          <w:szCs w:val="24"/>
          <w14:ligatures w14:val="none"/>
        </w:rPr>
        <w:t>NISR will provide the detailed mapping from budget execution to NA govt consumption of G&amp;S for the years 2019-22</w:t>
      </w:r>
      <w:r w:rsidR="003B0473">
        <w:rPr>
          <w:rFonts w:ascii="Times New Roman" w:eastAsia="Times New Roman" w:hAnsi="Times New Roman" w:cs="Times New Roman"/>
          <w:kern w:val="0"/>
          <w:sz w:val="24"/>
          <w:szCs w:val="24"/>
          <w14:ligatures w14:val="none"/>
        </w:rPr>
        <w:t xml:space="preserve">; </w:t>
      </w:r>
      <w:r w:rsidRPr="007A7D84">
        <w:rPr>
          <w:rFonts w:ascii="Times New Roman" w:eastAsia="Times New Roman" w:hAnsi="Times New Roman" w:cs="Times New Roman"/>
          <w:kern w:val="0"/>
          <w:sz w:val="24"/>
          <w:szCs w:val="24"/>
          <w14:ligatures w14:val="none"/>
        </w:rPr>
        <w:t>this will show which lines from the govt Chart of Accounts were reclassified as govt consumption, incl. from govt capital spending as well as the total extracted from govt accts for govt cons.</w:t>
      </w:r>
    </w:p>
    <w:p w14:paraId="47521BE0" w14:textId="49E7EE2E" w:rsidR="007A7D84" w:rsidRPr="007A7D84" w:rsidRDefault="00AF0F39" w:rsidP="007A7D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==As </w:t>
      </w:r>
      <w:r w:rsidR="007A7D84" w:rsidRPr="007A7D84">
        <w:rPr>
          <w:rFonts w:ascii="Times New Roman" w:eastAsia="Times New Roman" w:hAnsi="Times New Roman" w:cs="Times New Roman"/>
          <w:kern w:val="0"/>
          <w:sz w:val="24"/>
          <w:szCs w:val="24"/>
          <w14:ligatures w14:val="none"/>
        </w:rPr>
        <w:t>NA govt consumption includes consumption of G&amp;S by NBR</w:t>
      </w:r>
      <w:r>
        <w:rPr>
          <w:rFonts w:ascii="Times New Roman" w:eastAsia="Times New Roman" w:hAnsi="Times New Roman" w:cs="Times New Roman"/>
          <w:kern w:val="0"/>
          <w:sz w:val="24"/>
          <w:szCs w:val="24"/>
          <w14:ligatures w14:val="none"/>
        </w:rPr>
        <w:t xml:space="preserve">, for </w:t>
      </w:r>
      <w:r w:rsidR="007A7D84" w:rsidRPr="007A7D84">
        <w:rPr>
          <w:rFonts w:ascii="Times New Roman" w:eastAsia="Times New Roman" w:hAnsi="Times New Roman" w:cs="Times New Roman"/>
          <w:kern w:val="0"/>
          <w:sz w:val="24"/>
          <w:szCs w:val="24"/>
          <w14:ligatures w14:val="none"/>
        </w:rPr>
        <w:t>MINECOFIN to explore obtaining an estimate of that</w:t>
      </w:r>
      <w:r w:rsidR="003B0473">
        <w:rPr>
          <w:rFonts w:ascii="Times New Roman" w:eastAsia="Times New Roman" w:hAnsi="Times New Roman" w:cs="Times New Roman"/>
          <w:kern w:val="0"/>
          <w:sz w:val="24"/>
          <w:szCs w:val="24"/>
          <w14:ligatures w14:val="none"/>
        </w:rPr>
        <w:t>.</w:t>
      </w:r>
    </w:p>
    <w:p w14:paraId="34044216"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p>
    <w:p w14:paraId="22680B14"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b/>
          <w:bCs/>
          <w:kern w:val="0"/>
          <w:sz w:val="24"/>
          <w:szCs w:val="24"/>
          <w14:ligatures w14:val="none"/>
        </w:rPr>
        <w:t>2. NA govt investment excluding part of NANFA</w:t>
      </w:r>
    </w:p>
    <w:p w14:paraId="478DF99D" w14:textId="77777777" w:rsidR="003B0473"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 xml:space="preserve">​NISR did not revise its estimation method for NA investment when MINECOFIN adopted GFS2014 from 2019/20 </w:t>
      </w:r>
      <w:r w:rsidR="003B0473">
        <w:rPr>
          <w:rFonts w:ascii="Times New Roman" w:eastAsia="Times New Roman" w:hAnsi="Times New Roman" w:cs="Times New Roman"/>
          <w:kern w:val="0"/>
          <w:sz w:val="24"/>
          <w:szCs w:val="24"/>
          <w14:ligatures w14:val="none"/>
        </w:rPr>
        <w:t xml:space="preserve">on </w:t>
      </w:r>
      <w:r w:rsidRPr="007A7D84">
        <w:rPr>
          <w:rFonts w:ascii="Times New Roman" w:eastAsia="Times New Roman" w:hAnsi="Times New Roman" w:cs="Times New Roman"/>
          <w:kern w:val="0"/>
          <w:sz w:val="24"/>
          <w:szCs w:val="24"/>
          <w14:ligatures w14:val="none"/>
        </w:rPr>
        <w:t>(with a new definition of govt investment: NANFA)</w:t>
      </w:r>
      <w:r w:rsidR="003B0473">
        <w:rPr>
          <w:rFonts w:ascii="Times New Roman" w:eastAsia="Times New Roman" w:hAnsi="Times New Roman" w:cs="Times New Roman"/>
          <w:kern w:val="0"/>
          <w:sz w:val="24"/>
          <w:szCs w:val="24"/>
          <w14:ligatures w14:val="none"/>
        </w:rPr>
        <w:t>. H</w:t>
      </w:r>
      <w:r w:rsidRPr="007A7D84">
        <w:rPr>
          <w:rFonts w:ascii="Times New Roman" w:eastAsia="Times New Roman" w:hAnsi="Times New Roman" w:cs="Times New Roman"/>
          <w:kern w:val="0"/>
          <w:sz w:val="24"/>
          <w:szCs w:val="24"/>
          <w14:ligatures w14:val="none"/>
        </w:rPr>
        <w:t xml:space="preserve">ence NISR does not include total govt NANFA in its estimate of NA investment. </w:t>
      </w:r>
    </w:p>
    <w:p w14:paraId="0C7DC3E1" w14:textId="6E658436"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Instead, govt investment is indirectly captured by taking govt capital goods/other imports and spending on construction.</w:t>
      </w:r>
    </w:p>
    <w:p w14:paraId="4FD03866" w14:textId="0DCF579E"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 xml:space="preserve">As NA govt consumption far exceeds budget govt consumption (by RWF 500 </w:t>
      </w:r>
      <w:proofErr w:type="spellStart"/>
      <w:r w:rsidRPr="007A7D84">
        <w:rPr>
          <w:rFonts w:ascii="Times New Roman" w:eastAsia="Times New Roman" w:hAnsi="Times New Roman" w:cs="Times New Roman"/>
          <w:kern w:val="0"/>
          <w:sz w:val="24"/>
          <w:szCs w:val="24"/>
          <w14:ligatures w14:val="none"/>
        </w:rPr>
        <w:t>bln</w:t>
      </w:r>
      <w:proofErr w:type="spellEnd"/>
      <w:r w:rsidRPr="007A7D84">
        <w:rPr>
          <w:rFonts w:ascii="Times New Roman" w:eastAsia="Times New Roman" w:hAnsi="Times New Roman" w:cs="Times New Roman"/>
          <w:kern w:val="0"/>
          <w:sz w:val="24"/>
          <w:szCs w:val="24"/>
          <w14:ligatures w14:val="none"/>
        </w:rPr>
        <w:t xml:space="preserve"> in 2022</w:t>
      </w:r>
      <w:r w:rsidR="003B0473">
        <w:rPr>
          <w:rFonts w:ascii="Times New Roman" w:eastAsia="Times New Roman" w:hAnsi="Times New Roman" w:cs="Times New Roman"/>
          <w:kern w:val="0"/>
          <w:sz w:val="24"/>
          <w:szCs w:val="24"/>
          <w14:ligatures w14:val="none"/>
        </w:rPr>
        <w:t xml:space="preserve"> and with smaller discrepancies in 2019-21</w:t>
      </w:r>
      <w:r w:rsidRPr="007A7D84">
        <w:rPr>
          <w:rFonts w:ascii="Times New Roman" w:eastAsia="Times New Roman" w:hAnsi="Times New Roman" w:cs="Times New Roman"/>
          <w:kern w:val="0"/>
          <w:sz w:val="24"/>
          <w:szCs w:val="24"/>
          <w14:ligatures w14:val="none"/>
        </w:rPr>
        <w:t>), it seems that the former includes a chunk of govt NANFA, which is th</w:t>
      </w:r>
      <w:r w:rsidR="00AF0F39">
        <w:rPr>
          <w:rFonts w:ascii="Times New Roman" w:eastAsia="Times New Roman" w:hAnsi="Times New Roman" w:cs="Times New Roman"/>
          <w:kern w:val="0"/>
          <w:sz w:val="24"/>
          <w:szCs w:val="24"/>
          <w14:ligatures w14:val="none"/>
        </w:rPr>
        <w:t xml:space="preserve">erefore </w:t>
      </w:r>
      <w:r w:rsidRPr="007A7D84">
        <w:rPr>
          <w:rFonts w:ascii="Times New Roman" w:eastAsia="Times New Roman" w:hAnsi="Times New Roman" w:cs="Times New Roman"/>
          <w:kern w:val="0"/>
          <w:sz w:val="24"/>
          <w:szCs w:val="24"/>
          <w14:ligatures w14:val="none"/>
        </w:rPr>
        <w:t>not included in NA investment.</w:t>
      </w:r>
    </w:p>
    <w:p w14:paraId="02107A99" w14:textId="3376F0E1" w:rsidR="007A7D84" w:rsidRPr="00745CB4" w:rsidRDefault="00AF0F39" w:rsidP="007A7D84">
      <w:pPr>
        <w:spacing w:after="0" w:line="240" w:lineRule="auto"/>
        <w:rPr>
          <w:rFonts w:ascii="Times New Roman" w:eastAsia="Times New Roman" w:hAnsi="Times New Roman" w:cs="Times New Roman"/>
          <w:color w:val="C00000"/>
          <w:kern w:val="0"/>
          <w:sz w:val="24"/>
          <w:szCs w:val="24"/>
          <w14:ligatures w14:val="none"/>
        </w:rPr>
      </w:pPr>
      <w:bookmarkStart w:id="0" w:name="_GoBack"/>
      <w:r w:rsidRPr="00745CB4">
        <w:rPr>
          <w:rFonts w:ascii="Times New Roman" w:eastAsia="Times New Roman" w:hAnsi="Times New Roman" w:cs="Times New Roman"/>
          <w:color w:val="C00000"/>
          <w:kern w:val="0"/>
          <w:sz w:val="24"/>
          <w:szCs w:val="24"/>
          <w14:ligatures w14:val="none"/>
        </w:rPr>
        <w:sym w:font="Wingdings" w:char="F0E8"/>
      </w:r>
      <w:r w:rsidR="007A7D84" w:rsidRPr="00745CB4">
        <w:rPr>
          <w:rFonts w:ascii="Times New Roman" w:eastAsia="Times New Roman" w:hAnsi="Times New Roman" w:cs="Times New Roman"/>
          <w:color w:val="C00000"/>
          <w:kern w:val="0"/>
          <w:sz w:val="24"/>
          <w:szCs w:val="24"/>
          <w14:ligatures w14:val="none"/>
        </w:rPr>
        <w:t>NISR will look at this classification problem, but maybe only when it  produces the new SUT tables (March 2025). </w:t>
      </w:r>
    </w:p>
    <w:p w14:paraId="4D3BF561" w14:textId="38D3C016" w:rsidR="007A7D84" w:rsidRPr="00745CB4" w:rsidRDefault="007A7D84" w:rsidP="007A7D84">
      <w:pPr>
        <w:spacing w:after="0" w:line="240" w:lineRule="auto"/>
        <w:rPr>
          <w:rFonts w:ascii="Times New Roman" w:eastAsia="Times New Roman" w:hAnsi="Times New Roman" w:cs="Times New Roman"/>
          <w:color w:val="C00000"/>
          <w:kern w:val="0"/>
          <w:sz w:val="24"/>
          <w:szCs w:val="24"/>
          <w14:ligatures w14:val="none"/>
        </w:rPr>
      </w:pPr>
      <w:r w:rsidRPr="00745CB4">
        <w:rPr>
          <w:rFonts w:ascii="Times New Roman" w:eastAsia="Times New Roman" w:hAnsi="Times New Roman" w:cs="Times New Roman"/>
          <w:color w:val="C00000"/>
          <w:kern w:val="0"/>
          <w:sz w:val="24"/>
          <w:szCs w:val="24"/>
          <w14:ligatures w14:val="none"/>
        </w:rPr>
        <w:sym w:font="Wingdings" w:char="F0E8"/>
      </w:r>
      <w:r w:rsidRPr="00745CB4">
        <w:rPr>
          <w:rFonts w:ascii="Times New Roman" w:eastAsia="Times New Roman" w:hAnsi="Times New Roman" w:cs="Times New Roman"/>
          <w:color w:val="C00000"/>
          <w:kern w:val="0"/>
          <w:sz w:val="24"/>
          <w:szCs w:val="24"/>
          <w14:ligatures w14:val="none"/>
        </w:rPr>
        <w:t>NISR to provide a methodological note on how govt investment is captured in NA investment.</w:t>
      </w:r>
    </w:p>
    <w:bookmarkEnd w:id="0"/>
    <w:p w14:paraId="1041741E"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p>
    <w:p w14:paraId="3A106044" w14:textId="1D7E88CA"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b/>
          <w:bCs/>
          <w:kern w:val="0"/>
          <w:sz w:val="24"/>
          <w:szCs w:val="24"/>
          <w14:ligatures w14:val="none"/>
        </w:rPr>
        <w:t>1-2.</w:t>
      </w:r>
      <w:r w:rsidRPr="007A7D84">
        <w:rPr>
          <w:rFonts w:ascii="Times New Roman" w:eastAsia="Times New Roman" w:hAnsi="Times New Roman" w:cs="Times New Roman"/>
          <w:kern w:val="0"/>
          <w:sz w:val="24"/>
          <w:szCs w:val="24"/>
          <w14:ligatures w14:val="none"/>
        </w:rPr>
        <w:t xml:space="preserve"> the NA overestimation of govt consumption and (likely) underestimation of govt and total investment is of the 3% of GDP </w:t>
      </w:r>
      <w:r w:rsidR="00AF0F39">
        <w:rPr>
          <w:rFonts w:ascii="Times New Roman" w:eastAsia="Times New Roman" w:hAnsi="Times New Roman" w:cs="Times New Roman"/>
          <w:kern w:val="0"/>
          <w:sz w:val="24"/>
          <w:szCs w:val="24"/>
          <w14:ligatures w14:val="none"/>
        </w:rPr>
        <w:t>(o</w:t>
      </w:r>
      <w:r w:rsidRPr="007A7D84">
        <w:rPr>
          <w:rFonts w:ascii="Times New Roman" w:eastAsia="Times New Roman" w:hAnsi="Times New Roman" w:cs="Times New Roman"/>
          <w:kern w:val="0"/>
          <w:sz w:val="24"/>
          <w:szCs w:val="24"/>
          <w14:ligatures w14:val="none"/>
        </w:rPr>
        <w:t xml:space="preserve">ther </w:t>
      </w:r>
      <w:r w:rsidR="00AF0F39">
        <w:rPr>
          <w:rFonts w:ascii="Times New Roman" w:eastAsia="Times New Roman" w:hAnsi="Times New Roman" w:cs="Times New Roman"/>
          <w:kern w:val="0"/>
          <w:sz w:val="24"/>
          <w:szCs w:val="24"/>
          <w14:ligatures w14:val="none"/>
        </w:rPr>
        <w:t>N</w:t>
      </w:r>
      <w:r w:rsidRPr="007A7D84">
        <w:rPr>
          <w:rFonts w:ascii="Times New Roman" w:eastAsia="Times New Roman" w:hAnsi="Times New Roman" w:cs="Times New Roman"/>
          <w:kern w:val="0"/>
          <w:sz w:val="24"/>
          <w:szCs w:val="24"/>
          <w14:ligatures w14:val="none"/>
        </w:rPr>
        <w:t>A aggregates could be affected as well</w:t>
      </w:r>
      <w:r w:rsidR="00AF0F39">
        <w:rPr>
          <w:rFonts w:ascii="Times New Roman" w:eastAsia="Times New Roman" w:hAnsi="Times New Roman" w:cs="Times New Roman"/>
          <w:kern w:val="0"/>
          <w:sz w:val="24"/>
          <w:szCs w:val="24"/>
          <w14:ligatures w14:val="none"/>
        </w:rPr>
        <w:t>)</w:t>
      </w:r>
      <w:r w:rsidRPr="007A7D84">
        <w:rPr>
          <w:rFonts w:ascii="Times New Roman" w:eastAsia="Times New Roman" w:hAnsi="Times New Roman" w:cs="Times New Roman"/>
          <w:kern w:val="0"/>
          <w:sz w:val="24"/>
          <w:szCs w:val="24"/>
          <w14:ligatures w14:val="none"/>
        </w:rPr>
        <w:t>.</w:t>
      </w:r>
    </w:p>
    <w:p w14:paraId="2149E17A"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p>
    <w:p w14:paraId="2A5BD7D1"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b/>
          <w:bCs/>
          <w:kern w:val="0"/>
          <w:sz w:val="24"/>
          <w:szCs w:val="24"/>
          <w14:ligatures w14:val="none"/>
        </w:rPr>
        <w:t>​3. NA inventories inconsistencies</w:t>
      </w:r>
    </w:p>
    <w:p w14:paraId="2073463E" w14:textId="120A8480"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NISR is aware of the problems with change</w:t>
      </w:r>
      <w:r w:rsidR="00AF0F39">
        <w:rPr>
          <w:rFonts w:ascii="Times New Roman" w:eastAsia="Times New Roman" w:hAnsi="Times New Roman" w:cs="Times New Roman"/>
          <w:kern w:val="0"/>
          <w:sz w:val="24"/>
          <w:szCs w:val="24"/>
          <w14:ligatures w14:val="none"/>
        </w:rPr>
        <w:t>-</w:t>
      </w:r>
      <w:r w:rsidRPr="007A7D84">
        <w:rPr>
          <w:rFonts w:ascii="Times New Roman" w:eastAsia="Times New Roman" w:hAnsi="Times New Roman" w:cs="Times New Roman"/>
          <w:kern w:val="0"/>
          <w:sz w:val="24"/>
          <w:szCs w:val="24"/>
          <w14:ligatures w14:val="none"/>
        </w:rPr>
        <w:t>in</w:t>
      </w:r>
      <w:r w:rsidR="00AF0F39">
        <w:rPr>
          <w:rFonts w:ascii="Times New Roman" w:eastAsia="Times New Roman" w:hAnsi="Times New Roman" w:cs="Times New Roman"/>
          <w:kern w:val="0"/>
          <w:sz w:val="24"/>
          <w:szCs w:val="24"/>
          <w14:ligatures w14:val="none"/>
        </w:rPr>
        <w:t>-</w:t>
      </w:r>
      <w:r w:rsidRPr="007A7D84">
        <w:rPr>
          <w:rFonts w:ascii="Times New Roman" w:eastAsia="Times New Roman" w:hAnsi="Times New Roman" w:cs="Times New Roman"/>
          <w:kern w:val="0"/>
          <w:sz w:val="24"/>
          <w:szCs w:val="24"/>
          <w14:ligatures w14:val="none"/>
        </w:rPr>
        <w:t>inventories estimates, even though directly obtained from </w:t>
      </w:r>
      <w:r w:rsidR="00AF0F39">
        <w:rPr>
          <w:rFonts w:ascii="Times New Roman" w:eastAsia="Times New Roman" w:hAnsi="Times New Roman" w:cs="Times New Roman"/>
          <w:kern w:val="0"/>
          <w:sz w:val="24"/>
          <w:szCs w:val="24"/>
          <w14:ligatures w14:val="none"/>
        </w:rPr>
        <w:t xml:space="preserve">enterprise </w:t>
      </w:r>
      <w:r w:rsidR="006C4870">
        <w:rPr>
          <w:rFonts w:ascii="Times New Roman" w:eastAsia="Times New Roman" w:hAnsi="Times New Roman" w:cs="Times New Roman"/>
          <w:kern w:val="0"/>
          <w:sz w:val="24"/>
          <w:szCs w:val="24"/>
          <w14:ligatures w14:val="none"/>
        </w:rPr>
        <w:t>reporting</w:t>
      </w:r>
      <w:r w:rsidR="00AF0F39">
        <w:rPr>
          <w:rFonts w:ascii="Times New Roman" w:eastAsia="Times New Roman" w:hAnsi="Times New Roman" w:cs="Times New Roman"/>
          <w:kern w:val="0"/>
          <w:sz w:val="24"/>
          <w:szCs w:val="24"/>
          <w14:ligatures w14:val="none"/>
        </w:rPr>
        <w:t xml:space="preserve">; </w:t>
      </w:r>
      <w:r w:rsidRPr="007A7D84">
        <w:rPr>
          <w:rFonts w:ascii="Times New Roman" w:eastAsia="Times New Roman" w:hAnsi="Times New Roman" w:cs="Times New Roman"/>
          <w:kern w:val="0"/>
          <w:sz w:val="24"/>
          <w:szCs w:val="24"/>
          <w14:ligatures w14:val="none"/>
        </w:rPr>
        <w:t xml:space="preserve">and inventories deflators are meaningless </w:t>
      </w:r>
      <w:r w:rsidR="00AF0F39">
        <w:rPr>
          <w:rFonts w:ascii="Times New Roman" w:eastAsia="Times New Roman" w:hAnsi="Times New Roman" w:cs="Times New Roman"/>
          <w:kern w:val="0"/>
          <w:sz w:val="24"/>
          <w:szCs w:val="24"/>
          <w14:ligatures w14:val="none"/>
        </w:rPr>
        <w:t xml:space="preserve">(negative! or very small) </w:t>
      </w:r>
      <w:r w:rsidRPr="007A7D84">
        <w:rPr>
          <w:rFonts w:ascii="Times New Roman" w:eastAsia="Times New Roman" w:hAnsi="Times New Roman" w:cs="Times New Roman"/>
          <w:kern w:val="0"/>
          <w:sz w:val="24"/>
          <w:szCs w:val="24"/>
          <w14:ligatures w14:val="none"/>
        </w:rPr>
        <w:t>and hence not reported.</w:t>
      </w:r>
    </w:p>
    <w:p w14:paraId="015A7FC9"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The problems with inventories likely affect the accuracy of other NA aggregates in both current and constant prices.</w:t>
      </w:r>
    </w:p>
    <w:p w14:paraId="07E4EB89" w14:textId="7805902A"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45CB4">
        <w:rPr>
          <w:rFonts w:ascii="Times New Roman" w:eastAsia="Times New Roman" w:hAnsi="Times New Roman" w:cs="Times New Roman"/>
          <w:b/>
          <w:bCs/>
          <w:color w:val="C00000"/>
          <w:kern w:val="0"/>
          <w:sz w:val="24"/>
          <w:szCs w:val="24"/>
          <w14:ligatures w14:val="none"/>
        </w:rPr>
        <w:sym w:font="Wingdings" w:char="F0E8"/>
      </w:r>
      <w:r w:rsidRPr="00745CB4">
        <w:rPr>
          <w:rFonts w:ascii="Times New Roman" w:eastAsia="Times New Roman" w:hAnsi="Times New Roman" w:cs="Times New Roman"/>
          <w:color w:val="C00000"/>
          <w:kern w:val="0"/>
          <w:sz w:val="24"/>
          <w:szCs w:val="24"/>
          <w14:ligatures w14:val="none"/>
        </w:rPr>
        <w:t xml:space="preserve">NISR </w:t>
      </w:r>
      <w:r w:rsidR="00AF0F39" w:rsidRPr="00745CB4">
        <w:rPr>
          <w:rFonts w:ascii="Times New Roman" w:eastAsia="Times New Roman" w:hAnsi="Times New Roman" w:cs="Times New Roman"/>
          <w:color w:val="C00000"/>
          <w:kern w:val="0"/>
          <w:sz w:val="24"/>
          <w:szCs w:val="24"/>
          <w14:ligatures w14:val="none"/>
        </w:rPr>
        <w:t>to</w:t>
      </w:r>
      <w:r w:rsidRPr="00745CB4">
        <w:rPr>
          <w:rFonts w:ascii="Times New Roman" w:eastAsia="Times New Roman" w:hAnsi="Times New Roman" w:cs="Times New Roman"/>
          <w:color w:val="C00000"/>
          <w:kern w:val="0"/>
          <w:sz w:val="24"/>
          <w:szCs w:val="24"/>
          <w14:ligatures w14:val="none"/>
        </w:rPr>
        <w:t xml:space="preserve"> look </w:t>
      </w:r>
      <w:r w:rsidR="00AF0F39" w:rsidRPr="00745CB4">
        <w:rPr>
          <w:rFonts w:ascii="Times New Roman" w:eastAsia="Times New Roman" w:hAnsi="Times New Roman" w:cs="Times New Roman"/>
          <w:color w:val="C00000"/>
          <w:kern w:val="0"/>
          <w:sz w:val="24"/>
          <w:szCs w:val="24"/>
          <w14:ligatures w14:val="none"/>
        </w:rPr>
        <w:t>into</w:t>
      </w:r>
      <w:r w:rsidRPr="00745CB4">
        <w:rPr>
          <w:rFonts w:ascii="Times New Roman" w:eastAsia="Times New Roman" w:hAnsi="Times New Roman" w:cs="Times New Roman"/>
          <w:color w:val="C00000"/>
          <w:kern w:val="0"/>
          <w:sz w:val="24"/>
          <w:szCs w:val="24"/>
          <w14:ligatures w14:val="none"/>
        </w:rPr>
        <w:t xml:space="preserve"> </w:t>
      </w:r>
      <w:r w:rsidR="00745CB4" w:rsidRPr="00745CB4">
        <w:rPr>
          <w:rFonts w:ascii="Times New Roman" w:eastAsia="Times New Roman" w:hAnsi="Times New Roman" w:cs="Times New Roman"/>
          <w:color w:val="C00000"/>
          <w:kern w:val="0"/>
          <w:sz w:val="24"/>
          <w:szCs w:val="24"/>
          <w14:ligatures w14:val="none"/>
        </w:rPr>
        <w:t xml:space="preserve">account </w:t>
      </w:r>
      <w:r w:rsidRPr="00745CB4">
        <w:rPr>
          <w:rFonts w:ascii="Times New Roman" w:eastAsia="Times New Roman" w:hAnsi="Times New Roman" w:cs="Times New Roman"/>
          <w:color w:val="C00000"/>
          <w:kern w:val="0"/>
          <w:sz w:val="24"/>
          <w:szCs w:val="24"/>
          <w14:ligatures w14:val="none"/>
        </w:rPr>
        <w:t xml:space="preserve">this problem and provide further explanation or </w:t>
      </w:r>
      <w:r w:rsidR="00AA7F8F" w:rsidRPr="00745CB4">
        <w:rPr>
          <w:rFonts w:ascii="Times New Roman" w:eastAsia="Times New Roman" w:hAnsi="Times New Roman" w:cs="Times New Roman"/>
          <w:color w:val="C00000"/>
          <w:kern w:val="0"/>
          <w:sz w:val="24"/>
          <w:szCs w:val="24"/>
          <w14:ligatures w14:val="none"/>
        </w:rPr>
        <w:t>adjustment</w:t>
      </w:r>
      <w:r w:rsidRPr="007A7D84">
        <w:rPr>
          <w:rFonts w:ascii="Times New Roman" w:eastAsia="Times New Roman" w:hAnsi="Times New Roman" w:cs="Times New Roman"/>
          <w:kern w:val="0"/>
          <w:sz w:val="24"/>
          <w:szCs w:val="24"/>
          <w14:ligatures w14:val="none"/>
        </w:rPr>
        <w:t>.</w:t>
      </w:r>
    </w:p>
    <w:p w14:paraId="742C8C02"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p>
    <w:p w14:paraId="6C0418A1" w14:textId="77777777" w:rsidR="007A7D84" w:rsidRPr="007A7D84"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b/>
          <w:bCs/>
          <w:kern w:val="0"/>
          <w:sz w:val="24"/>
          <w:szCs w:val="24"/>
          <w14:ligatures w14:val="none"/>
        </w:rPr>
        <w:t>4. Indirect taxes in NA</w:t>
      </w:r>
    </w:p>
    <w:p w14:paraId="3B2C6D10" w14:textId="77777777" w:rsidR="00AF0F39" w:rsidRDefault="007A7D84" w:rsidP="007A7D84">
      <w:pPr>
        <w:spacing w:after="0" w:line="240" w:lineRule="auto"/>
        <w:rPr>
          <w:rFonts w:ascii="Times New Roman" w:eastAsia="Times New Roman" w:hAnsi="Times New Roman" w:cs="Times New Roman"/>
          <w:kern w:val="0"/>
          <w:sz w:val="24"/>
          <w:szCs w:val="24"/>
          <w14:ligatures w14:val="none"/>
        </w:rPr>
      </w:pPr>
      <w:r w:rsidRPr="007A7D84">
        <w:rPr>
          <w:rFonts w:ascii="Times New Roman" w:eastAsia="Times New Roman" w:hAnsi="Times New Roman" w:cs="Times New Roman"/>
          <w:kern w:val="0"/>
          <w:sz w:val="24"/>
          <w:szCs w:val="24"/>
          <w14:ligatures w14:val="none"/>
        </w:rPr>
        <w:t>​NISR bases the estimates on data from RRA and budget reports on indirect subsidies, but only for total</w:t>
      </w:r>
      <w:r w:rsidR="00AF0F39">
        <w:rPr>
          <w:rFonts w:ascii="Times New Roman" w:eastAsia="Times New Roman" w:hAnsi="Times New Roman" w:cs="Times New Roman"/>
          <w:kern w:val="0"/>
          <w:sz w:val="24"/>
          <w:szCs w:val="24"/>
          <w14:ligatures w14:val="none"/>
        </w:rPr>
        <w:t>,</w:t>
      </w:r>
      <w:r w:rsidRPr="007A7D84">
        <w:rPr>
          <w:rFonts w:ascii="Times New Roman" w:eastAsia="Times New Roman" w:hAnsi="Times New Roman" w:cs="Times New Roman"/>
          <w:kern w:val="0"/>
          <w:sz w:val="24"/>
          <w:szCs w:val="24"/>
          <w14:ligatures w14:val="none"/>
        </w:rPr>
        <w:t xml:space="preserve"> not by commodity. The latter breakdown is only done for SUT, next time for 2023.</w:t>
      </w:r>
    </w:p>
    <w:p w14:paraId="3610DE88" w14:textId="661B2A23" w:rsidR="007A7D84" w:rsidRDefault="00AF0F39" w:rsidP="007A7D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7A7D84" w:rsidRPr="007A7D84">
        <w:rPr>
          <w:rFonts w:ascii="Times New Roman" w:eastAsia="Times New Roman" w:hAnsi="Times New Roman" w:cs="Times New Roman"/>
          <w:kern w:val="0"/>
          <w:sz w:val="24"/>
          <w:szCs w:val="24"/>
          <w14:ligatures w14:val="none"/>
        </w:rPr>
        <w:t>For MINECOFIN-OCE to have details on indirect taxes/subsidies by commodity, it should obtain these from RRA (source of VAT, import and excise tax data) and Budget execution (subsidies)</w:t>
      </w:r>
      <w:r w:rsidR="007A7D84">
        <w:rPr>
          <w:rFonts w:ascii="Times New Roman" w:eastAsia="Times New Roman" w:hAnsi="Times New Roman" w:cs="Times New Roman"/>
          <w:kern w:val="0"/>
          <w:sz w:val="24"/>
          <w:szCs w:val="24"/>
          <w14:ligatures w14:val="none"/>
        </w:rPr>
        <w:t>.</w:t>
      </w:r>
    </w:p>
    <w:p w14:paraId="58C22E57" w14:textId="31C8C629" w:rsidR="00A65788" w:rsidRPr="00745CB4" w:rsidRDefault="007A7D84" w:rsidP="007A7D84">
      <w:pPr>
        <w:spacing w:after="0" w:line="240" w:lineRule="auto"/>
        <w:rPr>
          <w:rFonts w:ascii="Times New Roman" w:eastAsia="Times New Roman" w:hAnsi="Times New Roman" w:cs="Times New Roman"/>
          <w:color w:val="C00000"/>
          <w:kern w:val="0"/>
          <w:sz w:val="24"/>
          <w:szCs w:val="24"/>
          <w14:ligatures w14:val="none"/>
        </w:rPr>
      </w:pPr>
      <w:r w:rsidRPr="00745CB4">
        <w:rPr>
          <w:rFonts w:ascii="Times New Roman" w:eastAsia="Times New Roman" w:hAnsi="Times New Roman" w:cs="Times New Roman"/>
          <w:color w:val="C00000"/>
          <w:kern w:val="0"/>
          <w:sz w:val="24"/>
          <w:szCs w:val="24"/>
          <w14:ligatures w14:val="none"/>
        </w:rPr>
        <w:sym w:font="Wingdings" w:char="F0E8"/>
      </w:r>
      <w:r w:rsidRPr="00745CB4">
        <w:rPr>
          <w:rFonts w:ascii="Times New Roman" w:eastAsia="Times New Roman" w:hAnsi="Times New Roman" w:cs="Times New Roman"/>
          <w:color w:val="C00000"/>
          <w:kern w:val="0"/>
          <w:sz w:val="24"/>
          <w:szCs w:val="24"/>
          <w14:ligatures w14:val="none"/>
        </w:rPr>
        <w:t>NISR will look into issues of deflator for indirect taxes /subsidies (which s</w:t>
      </w:r>
      <w:r w:rsidR="00AF0F39" w:rsidRPr="00745CB4">
        <w:rPr>
          <w:rFonts w:ascii="Times New Roman" w:eastAsia="Times New Roman" w:hAnsi="Times New Roman" w:cs="Times New Roman"/>
          <w:color w:val="C00000"/>
          <w:kern w:val="0"/>
          <w:sz w:val="24"/>
          <w:szCs w:val="24"/>
          <w14:ligatures w14:val="none"/>
        </w:rPr>
        <w:t>tood</w:t>
      </w:r>
      <w:r w:rsidRPr="00745CB4">
        <w:rPr>
          <w:rFonts w:ascii="Times New Roman" w:eastAsia="Times New Roman" w:hAnsi="Times New Roman" w:cs="Times New Roman"/>
          <w:color w:val="C00000"/>
          <w:kern w:val="0"/>
          <w:sz w:val="24"/>
          <w:szCs w:val="24"/>
          <w14:ligatures w14:val="none"/>
        </w:rPr>
        <w:t xml:space="preserve"> at 99 in 2022, 2017=100 whereas the GDP deflator stood at 130, close to deflator of indirect tax base &amp; rate</w:t>
      </w:r>
      <w:r w:rsidR="00AF0F39" w:rsidRPr="00745CB4">
        <w:rPr>
          <w:rFonts w:ascii="Times New Roman" w:eastAsia="Times New Roman" w:hAnsi="Times New Roman" w:cs="Times New Roman"/>
          <w:color w:val="C00000"/>
          <w:kern w:val="0"/>
          <w:sz w:val="24"/>
          <w:szCs w:val="24"/>
          <w14:ligatures w14:val="none"/>
        </w:rPr>
        <w:t>)</w:t>
      </w:r>
      <w:r w:rsidRPr="00745CB4">
        <w:rPr>
          <w:rFonts w:ascii="Times New Roman" w:eastAsia="Times New Roman" w:hAnsi="Times New Roman" w:cs="Times New Roman"/>
          <w:color w:val="C00000"/>
          <w:kern w:val="0"/>
          <w:sz w:val="24"/>
          <w:szCs w:val="24"/>
          <w14:ligatures w14:val="none"/>
        </w:rPr>
        <w:t>.</w:t>
      </w:r>
    </w:p>
    <w:p w14:paraId="207694FF" w14:textId="7A52F185" w:rsidR="007A7D84" w:rsidRPr="00745CB4" w:rsidRDefault="007A7D84" w:rsidP="007A7D84">
      <w:pPr>
        <w:spacing w:after="0" w:line="240" w:lineRule="auto"/>
        <w:rPr>
          <w:rFonts w:ascii="Times New Roman" w:eastAsia="Times New Roman" w:hAnsi="Times New Roman" w:cs="Times New Roman"/>
          <w:color w:val="C00000"/>
          <w:kern w:val="0"/>
          <w:sz w:val="24"/>
          <w:szCs w:val="24"/>
          <w14:ligatures w14:val="none"/>
        </w:rPr>
      </w:pPr>
      <w:r w:rsidRPr="00745CB4">
        <w:rPr>
          <w:rFonts w:ascii="Times New Roman" w:eastAsia="Times New Roman" w:hAnsi="Times New Roman" w:cs="Times New Roman"/>
          <w:color w:val="C00000"/>
          <w:kern w:val="0"/>
          <w:sz w:val="24"/>
          <w:szCs w:val="24"/>
          <w14:ligatures w14:val="none"/>
        </w:rPr>
        <w:t xml:space="preserve">The low deflator for indirect taxes (10% of GDP) </w:t>
      </w:r>
      <w:r w:rsidR="00AA7F8F" w:rsidRPr="00745CB4">
        <w:rPr>
          <w:rFonts w:ascii="Times New Roman" w:eastAsia="Times New Roman" w:hAnsi="Times New Roman" w:cs="Times New Roman"/>
          <w:color w:val="C00000"/>
          <w:kern w:val="0"/>
          <w:sz w:val="24"/>
          <w:szCs w:val="24"/>
          <w14:ligatures w14:val="none"/>
        </w:rPr>
        <w:t>suggests</w:t>
      </w:r>
      <w:r w:rsidRPr="00745CB4">
        <w:rPr>
          <w:rFonts w:ascii="Times New Roman" w:eastAsia="Times New Roman" w:hAnsi="Times New Roman" w:cs="Times New Roman"/>
          <w:color w:val="C00000"/>
          <w:kern w:val="0"/>
          <w:sz w:val="24"/>
          <w:szCs w:val="24"/>
          <w14:ligatures w14:val="none"/>
        </w:rPr>
        <w:t xml:space="preserve"> an underestimation of nominal GDP.</w:t>
      </w:r>
    </w:p>
    <w:p w14:paraId="777F499E" w14:textId="66087E18" w:rsidR="007A7D84" w:rsidRDefault="007A7D84" w:rsidP="007A7D84">
      <w:pPr>
        <w:spacing w:after="0" w:line="240" w:lineRule="auto"/>
        <w:rPr>
          <w:rFonts w:ascii="Times New Roman" w:eastAsia="Times New Roman" w:hAnsi="Times New Roman" w:cs="Times New Roman"/>
          <w:kern w:val="0"/>
          <w:sz w:val="24"/>
          <w:szCs w:val="24"/>
          <w14:ligatures w14:val="none"/>
        </w:rPr>
      </w:pPr>
    </w:p>
    <w:p w14:paraId="56F405D1" w14:textId="0E69DFEA" w:rsidR="007A7D84" w:rsidRDefault="007A7D84" w:rsidP="007A7D84">
      <w:pPr>
        <w:spacing w:after="0" w:line="240" w:lineRule="auto"/>
        <w:rPr>
          <w:rFonts w:ascii="Times New Roman" w:eastAsia="Times New Roman" w:hAnsi="Times New Roman" w:cs="Times New Roman"/>
          <w:b/>
          <w:bCs/>
          <w:kern w:val="0"/>
          <w:sz w:val="24"/>
          <w:szCs w:val="24"/>
          <w14:ligatures w14:val="none"/>
        </w:rPr>
      </w:pPr>
      <w:r w:rsidRPr="007A7D84">
        <w:rPr>
          <w:rFonts w:ascii="Times New Roman" w:eastAsia="Times New Roman" w:hAnsi="Times New Roman" w:cs="Times New Roman"/>
          <w:b/>
          <w:bCs/>
          <w:kern w:val="0"/>
          <w:sz w:val="24"/>
          <w:szCs w:val="24"/>
          <w14:ligatures w14:val="none"/>
        </w:rPr>
        <w:t>a. CPI</w:t>
      </w:r>
    </w:p>
    <w:p w14:paraId="75289C41" w14:textId="2E1F112D" w:rsidR="008456BC" w:rsidRPr="008456BC" w:rsidRDefault="00DD201D" w:rsidP="007A7D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w:t>
      </w:r>
      <w:r w:rsidR="007A7D84" w:rsidRPr="007A7D84">
        <w:rPr>
          <w:rFonts w:ascii="Times New Roman" w:eastAsia="Times New Roman" w:hAnsi="Times New Roman" w:cs="Times New Roman"/>
          <w:kern w:val="0"/>
          <w:sz w:val="24"/>
          <w:szCs w:val="24"/>
          <w14:ligatures w14:val="none"/>
        </w:rPr>
        <w:t xml:space="preserve">ntMF and QMFM need </w:t>
      </w:r>
      <w:r w:rsidR="007A7D84">
        <w:rPr>
          <w:rFonts w:ascii="Times New Roman" w:eastAsia="Times New Roman" w:hAnsi="Times New Roman" w:cs="Times New Roman"/>
          <w:kern w:val="0"/>
          <w:sz w:val="24"/>
          <w:szCs w:val="24"/>
          <w14:ligatures w14:val="none"/>
        </w:rPr>
        <w:t>a breakdown of CPI lines by domestic/import</w:t>
      </w:r>
      <w:r w:rsidR="008456BC">
        <w:rPr>
          <w:rFonts w:ascii="Times New Roman" w:eastAsia="Times New Roman" w:hAnsi="Times New Roman" w:cs="Times New Roman"/>
          <w:kern w:val="0"/>
          <w:sz w:val="24"/>
          <w:szCs w:val="24"/>
          <w14:ligatures w14:val="none"/>
        </w:rPr>
        <w:t>, but the CPI data provides this for only three items (</w:t>
      </w:r>
      <w:r w:rsidR="008456BC" w:rsidRPr="008456BC">
        <w:rPr>
          <w:rFonts w:ascii="Times New Roman" w:eastAsia="Times New Roman" w:hAnsi="Times New Roman" w:cs="Times New Roman"/>
          <w:kern w:val="0"/>
          <w:sz w:val="24"/>
          <w:szCs w:val="24"/>
          <w14:ligatures w14:val="none"/>
        </w:rPr>
        <w:t>Food and non-alcoholic beverages</w:t>
      </w:r>
      <w:r w:rsidR="008456BC" w:rsidRPr="00DD201D">
        <w:rPr>
          <w:rFonts w:ascii="Times New Roman" w:eastAsia="Times New Roman" w:hAnsi="Times New Roman" w:cs="Times New Roman"/>
          <w:kern w:val="0"/>
          <w:sz w:val="24"/>
          <w:szCs w:val="24"/>
          <w14:ligatures w14:val="none"/>
        </w:rPr>
        <w:t xml:space="preserve">, </w:t>
      </w:r>
      <w:r w:rsidR="008456BC" w:rsidRPr="008456BC">
        <w:rPr>
          <w:rFonts w:ascii="Times New Roman" w:eastAsia="Times New Roman" w:hAnsi="Times New Roman" w:cs="Times New Roman"/>
          <w:kern w:val="0"/>
          <w:sz w:val="24"/>
          <w:szCs w:val="24"/>
          <w14:ligatures w14:val="none"/>
        </w:rPr>
        <w:t>Furnishing, household equipment</w:t>
      </w:r>
      <w:r w:rsidR="008456BC" w:rsidRPr="00DD201D">
        <w:rPr>
          <w:rFonts w:ascii="Times New Roman" w:eastAsia="Times New Roman" w:hAnsi="Times New Roman" w:cs="Times New Roman"/>
          <w:kern w:val="0"/>
          <w:sz w:val="24"/>
          <w:szCs w:val="24"/>
          <w14:ligatures w14:val="none"/>
        </w:rPr>
        <w:t xml:space="preserve">, </w:t>
      </w:r>
      <w:r w:rsidR="008456BC" w:rsidRPr="008456BC">
        <w:rPr>
          <w:rFonts w:ascii="Times New Roman" w:eastAsia="Times New Roman" w:hAnsi="Times New Roman" w:cs="Times New Roman"/>
          <w:kern w:val="0"/>
          <w:sz w:val="24"/>
          <w:szCs w:val="24"/>
          <w14:ligatures w14:val="none"/>
        </w:rPr>
        <w:t>Transport</w:t>
      </w:r>
      <w:r w:rsidR="008456BC" w:rsidRPr="00DD201D">
        <w:rPr>
          <w:rFonts w:ascii="Times New Roman" w:eastAsia="Times New Roman" w:hAnsi="Times New Roman" w:cs="Times New Roman"/>
          <w:kern w:val="0"/>
          <w:sz w:val="24"/>
          <w:szCs w:val="24"/>
          <w14:ligatures w14:val="none"/>
        </w:rPr>
        <w:t>).</w:t>
      </w:r>
      <w:r w:rsidR="008456BC">
        <w:rPr>
          <w:rFonts w:ascii="Times New Roman" w:eastAsia="Times New Roman" w:hAnsi="Times New Roman" w:cs="Times New Roman"/>
          <w:kern w:val="0"/>
          <w:sz w:val="20"/>
          <w:szCs w:val="20"/>
          <w14:ligatures w14:val="none"/>
        </w:rPr>
        <w:t xml:space="preserve"> </w:t>
      </w:r>
      <w:r w:rsidR="008456BC" w:rsidRPr="008456BC">
        <w:rPr>
          <w:rFonts w:ascii="Times New Roman" w:eastAsia="Times New Roman" w:hAnsi="Times New Roman" w:cs="Times New Roman"/>
          <w:kern w:val="0"/>
          <w:sz w:val="24"/>
          <w:szCs w:val="24"/>
          <w14:ligatures w14:val="none"/>
        </w:rPr>
        <w:t>Similarly, a detailed breakdown of energy (by type and local/import) is needed.</w:t>
      </w:r>
    </w:p>
    <w:p w14:paraId="7E6A5D39" w14:textId="2ED2B3E2" w:rsidR="008456BC" w:rsidRPr="00AF0F39" w:rsidRDefault="00AF0F39" w:rsidP="008456BC">
      <w:pPr>
        <w:spacing w:after="0" w:line="240" w:lineRule="auto"/>
        <w:rPr>
          <w:rFonts w:ascii="Times New Roman" w:eastAsia="Times New Roman" w:hAnsi="Times New Roman" w:cs="Times New Roman"/>
          <w:kern w:val="0"/>
          <w:sz w:val="24"/>
          <w:szCs w:val="24"/>
          <w14:ligatures w14:val="none"/>
        </w:rPr>
      </w:pPr>
      <w:r w:rsidRPr="00AF0F39">
        <w:rPr>
          <w:rFonts w:ascii="Times New Roman" w:eastAsia="Times New Roman" w:hAnsi="Times New Roman" w:cs="Times New Roman"/>
          <w:kern w:val="0"/>
          <w:sz w:val="24"/>
          <w:szCs w:val="24"/>
          <w14:ligatures w14:val="none"/>
        </w:rPr>
        <w:lastRenderedPageBreak/>
        <w:t>==</w:t>
      </w:r>
      <w:r w:rsidR="008456BC" w:rsidRPr="00AF0F39">
        <w:rPr>
          <w:rFonts w:ascii="Times New Roman" w:eastAsia="Times New Roman" w:hAnsi="Times New Roman" w:cs="Times New Roman"/>
          <w:kern w:val="0"/>
          <w:sz w:val="24"/>
          <w:szCs w:val="24"/>
          <w14:ligatures w14:val="none"/>
        </w:rPr>
        <w:t>OCE to verify its CPI data sou</w:t>
      </w:r>
      <w:r w:rsidR="00DD201D" w:rsidRPr="00AF0F39">
        <w:rPr>
          <w:rFonts w:ascii="Times New Roman" w:eastAsia="Times New Roman" w:hAnsi="Times New Roman" w:cs="Times New Roman"/>
          <w:kern w:val="0"/>
          <w:sz w:val="24"/>
          <w:szCs w:val="24"/>
          <w14:ligatures w14:val="none"/>
        </w:rPr>
        <w:t>r</w:t>
      </w:r>
      <w:r w:rsidR="008456BC" w:rsidRPr="00AF0F39">
        <w:rPr>
          <w:rFonts w:ascii="Times New Roman" w:eastAsia="Times New Roman" w:hAnsi="Times New Roman" w:cs="Times New Roman"/>
          <w:kern w:val="0"/>
          <w:sz w:val="24"/>
          <w:szCs w:val="24"/>
          <w14:ligatures w14:val="none"/>
        </w:rPr>
        <w:t>ces and get back to NISR with a precise request, including to make the additional data provision by NISR systematic.</w:t>
      </w:r>
    </w:p>
    <w:p w14:paraId="0E32DCFC" w14:textId="2B519E09" w:rsidR="007A7D84" w:rsidRDefault="007A7D84" w:rsidP="007A7D84">
      <w:pPr>
        <w:spacing w:after="0" w:line="240" w:lineRule="auto"/>
      </w:pPr>
    </w:p>
    <w:p w14:paraId="1449A3BA" w14:textId="773D86D0" w:rsidR="00DD201D" w:rsidRDefault="00DD201D" w:rsidP="00DD20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b</w:t>
      </w:r>
      <w:r w:rsidRPr="007A7D84">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PKO</w:t>
      </w:r>
    </w:p>
    <w:p w14:paraId="534863B1" w14:textId="2EFC498B" w:rsidR="00DD201D" w:rsidRDefault="00DD201D" w:rsidP="00DD201D">
      <w:pPr>
        <w:spacing w:after="0" w:line="240" w:lineRule="auto"/>
        <w:rPr>
          <w:rFonts w:ascii="Times New Roman" w:eastAsia="Times New Roman" w:hAnsi="Times New Roman" w:cs="Times New Roman"/>
          <w:kern w:val="0"/>
          <w:sz w:val="24"/>
          <w:szCs w:val="24"/>
          <w14:ligatures w14:val="none"/>
        </w:rPr>
      </w:pPr>
      <w:r w:rsidRPr="007A7D84">
        <w:sym w:font="Wingdings" w:char="F0E8"/>
      </w:r>
      <w:r w:rsidRPr="00DD201D">
        <w:rPr>
          <w:rFonts w:ascii="Times New Roman" w:eastAsia="Times New Roman" w:hAnsi="Times New Roman" w:cs="Times New Roman"/>
          <w:kern w:val="0"/>
          <w:sz w:val="24"/>
          <w:szCs w:val="24"/>
          <w14:ligatures w14:val="none"/>
        </w:rPr>
        <w:t>NISR to provide breakdown of public admin GD</w:t>
      </w:r>
      <w:r>
        <w:rPr>
          <w:rFonts w:ascii="Times New Roman" w:eastAsia="Times New Roman" w:hAnsi="Times New Roman" w:cs="Times New Roman"/>
          <w:kern w:val="0"/>
          <w:sz w:val="24"/>
          <w:szCs w:val="24"/>
          <w14:ligatures w14:val="none"/>
        </w:rPr>
        <w:t>P by govt wage bill, other govt, VA from PKO,</w:t>
      </w:r>
    </w:p>
    <w:p w14:paraId="34FF44CC" w14:textId="4A79BBAD" w:rsidR="00DD201D" w:rsidRDefault="00DD201D" w:rsidP="00DD20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at least for 2019-22</w:t>
      </w:r>
      <w:r w:rsidR="00AF0F39">
        <w:rPr>
          <w:rFonts w:ascii="Times New Roman" w:eastAsia="Times New Roman" w:hAnsi="Times New Roman" w:cs="Times New Roman"/>
          <w:kern w:val="0"/>
          <w:sz w:val="24"/>
          <w:szCs w:val="24"/>
          <w14:ligatures w14:val="none"/>
        </w:rPr>
        <w:t>.</w:t>
      </w:r>
    </w:p>
    <w:p w14:paraId="44C59C6E" w14:textId="77777777" w:rsidR="00DD201D" w:rsidRDefault="00DD201D" w:rsidP="007A7D84">
      <w:pPr>
        <w:spacing w:after="0" w:line="240" w:lineRule="auto"/>
      </w:pPr>
    </w:p>
    <w:p w14:paraId="170AD4AB" w14:textId="0EBFBB59" w:rsidR="00DD201D" w:rsidRDefault="00DD201D" w:rsidP="00DD20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w:t>
      </w:r>
      <w:r w:rsidRPr="007A7D84">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in/formal</w:t>
      </w:r>
    </w:p>
    <w:p w14:paraId="16B0C88F" w14:textId="438EF6CE" w:rsidR="00DD201D" w:rsidRDefault="00DD201D" w:rsidP="007A7D84">
      <w:pPr>
        <w:spacing w:after="0" w:line="240" w:lineRule="auto"/>
        <w:rPr>
          <w:rFonts w:ascii="Times New Roman" w:eastAsia="Times New Roman" w:hAnsi="Times New Roman" w:cs="Times New Roman"/>
          <w:kern w:val="0"/>
          <w:sz w:val="24"/>
          <w:szCs w:val="24"/>
          <w14:ligatures w14:val="none"/>
        </w:rPr>
      </w:pPr>
      <w:r w:rsidRPr="007A7D84">
        <w:sym w:font="Wingdings" w:char="F0E8"/>
      </w:r>
      <w:r w:rsidRPr="00DD201D">
        <w:rPr>
          <w:rFonts w:ascii="Times New Roman" w:eastAsia="Times New Roman" w:hAnsi="Times New Roman" w:cs="Times New Roman"/>
          <w:kern w:val="0"/>
          <w:sz w:val="24"/>
          <w:szCs w:val="24"/>
          <w14:ligatures w14:val="none"/>
        </w:rPr>
        <w:t>NISR</w:t>
      </w:r>
      <w:r>
        <w:rPr>
          <w:rFonts w:ascii="Times New Roman" w:eastAsia="Times New Roman" w:hAnsi="Times New Roman" w:cs="Times New Roman"/>
          <w:kern w:val="0"/>
          <w:sz w:val="24"/>
          <w:szCs w:val="24"/>
          <w14:ligatures w14:val="none"/>
        </w:rPr>
        <w:t xml:space="preserve"> to provide latest methodological note on estimation in/formal sector GDP by sector.</w:t>
      </w:r>
    </w:p>
    <w:p w14:paraId="166CB116" w14:textId="77777777" w:rsidR="00DD201D" w:rsidRDefault="00DD201D" w:rsidP="007A7D84">
      <w:pPr>
        <w:spacing w:after="0" w:line="240" w:lineRule="auto"/>
        <w:rPr>
          <w:rFonts w:ascii="Times New Roman" w:eastAsia="Times New Roman" w:hAnsi="Times New Roman" w:cs="Times New Roman"/>
          <w:kern w:val="0"/>
          <w:sz w:val="24"/>
          <w:szCs w:val="24"/>
          <w14:ligatures w14:val="none"/>
        </w:rPr>
      </w:pPr>
    </w:p>
    <w:p w14:paraId="18AE4040" w14:textId="6F4307C6" w:rsidR="00DD201D" w:rsidRDefault="00DD201D" w:rsidP="00DD20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e</w:t>
      </w:r>
      <w:r w:rsidRPr="007A7D84">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deflators</w:t>
      </w:r>
    </w:p>
    <w:p w14:paraId="5F7E69C1" w14:textId="18CDC1E2" w:rsidR="00DD201D" w:rsidRDefault="00DD201D" w:rsidP="00DD201D">
      <w:pPr>
        <w:spacing w:after="0" w:line="240" w:lineRule="auto"/>
        <w:rPr>
          <w:rFonts w:ascii="Times New Roman" w:eastAsia="Times New Roman" w:hAnsi="Times New Roman" w:cs="Times New Roman"/>
          <w:b/>
          <w:bCs/>
          <w:kern w:val="0"/>
          <w:sz w:val="24"/>
          <w:szCs w:val="24"/>
          <w14:ligatures w14:val="none"/>
        </w:rPr>
      </w:pPr>
      <w:r w:rsidRPr="007A7D84">
        <w:sym w:font="Wingdings" w:char="F0E8"/>
      </w:r>
      <w:r w:rsidRPr="00DD201D">
        <w:rPr>
          <w:rFonts w:ascii="Times New Roman" w:eastAsia="Times New Roman" w:hAnsi="Times New Roman" w:cs="Times New Roman"/>
          <w:kern w:val="0"/>
          <w:sz w:val="24"/>
          <w:szCs w:val="24"/>
          <w14:ligatures w14:val="none"/>
        </w:rPr>
        <w:t>NISR</w:t>
      </w:r>
      <w:r>
        <w:rPr>
          <w:rFonts w:ascii="Times New Roman" w:eastAsia="Times New Roman" w:hAnsi="Times New Roman" w:cs="Times New Roman"/>
          <w:kern w:val="0"/>
          <w:sz w:val="24"/>
          <w:szCs w:val="24"/>
          <w14:ligatures w14:val="none"/>
        </w:rPr>
        <w:t xml:space="preserve"> to provide methodological note on estimation of deflator (and/or GDP in constant prices</w:t>
      </w:r>
      <w:r w:rsidR="00AF0F39">
        <w:rPr>
          <w:rFonts w:ascii="Times New Roman" w:eastAsia="Times New Roman" w:hAnsi="Times New Roman" w:cs="Times New Roman"/>
          <w:kern w:val="0"/>
          <w:sz w:val="24"/>
          <w:szCs w:val="24"/>
          <w14:ligatures w14:val="none"/>
        </w:rPr>
        <w:t xml:space="preserve"> (employment)</w:t>
      </w:r>
      <w:r>
        <w:rPr>
          <w:rFonts w:ascii="Times New Roman" w:eastAsia="Times New Roman" w:hAnsi="Times New Roman" w:cs="Times New Roman"/>
          <w:kern w:val="0"/>
          <w:sz w:val="24"/>
          <w:szCs w:val="24"/>
          <w14:ligatures w14:val="none"/>
        </w:rPr>
        <w:t xml:space="preserve">, as applicable) for public admin, education and health (the latter for </w:t>
      </w:r>
      <w:r w:rsidR="00AF0F39">
        <w:rPr>
          <w:rFonts w:ascii="Times New Roman" w:eastAsia="Times New Roman" w:hAnsi="Times New Roman" w:cs="Times New Roman"/>
          <w:kern w:val="0"/>
          <w:sz w:val="24"/>
          <w:szCs w:val="24"/>
          <w14:ligatures w14:val="none"/>
        </w:rPr>
        <w:t xml:space="preserve">both </w:t>
      </w:r>
      <w:r>
        <w:rPr>
          <w:rFonts w:ascii="Times New Roman" w:eastAsia="Times New Roman" w:hAnsi="Times New Roman" w:cs="Times New Roman"/>
          <w:kern w:val="0"/>
          <w:sz w:val="24"/>
          <w:szCs w:val="24"/>
          <w14:ligatures w14:val="none"/>
        </w:rPr>
        <w:t>public and private).</w:t>
      </w:r>
    </w:p>
    <w:p w14:paraId="393104BD" w14:textId="11EE1F90" w:rsidR="00DD201D" w:rsidRPr="007A7D84" w:rsidRDefault="00DD201D" w:rsidP="007A7D84">
      <w:pPr>
        <w:spacing w:after="0" w:line="240" w:lineRule="auto"/>
      </w:pPr>
    </w:p>
    <w:sectPr w:rsidR="00DD201D" w:rsidRPr="007A7D84" w:rsidSect="008456BC">
      <w:pgSz w:w="12240" w:h="15840"/>
      <w:pgMar w:top="1152" w:right="1267"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87C53"/>
    <w:multiLevelType w:val="hybridMultilevel"/>
    <w:tmpl w:val="A266B7BA"/>
    <w:lvl w:ilvl="0" w:tplc="2CF05E12">
      <w:start w:val="1"/>
      <w:numFmt w:val="lowerRoman"/>
      <w:lvlText w:val="(%1)"/>
      <w:lvlJc w:val="left"/>
      <w:pPr>
        <w:ind w:left="72" w:hanging="72"/>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F01CE"/>
    <w:multiLevelType w:val="hybridMultilevel"/>
    <w:tmpl w:val="8EF03262"/>
    <w:lvl w:ilvl="0" w:tplc="09AA3D8C">
      <w:start w:val="1"/>
      <w:numFmt w:val="lowerLetter"/>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3E469A"/>
    <w:multiLevelType w:val="hybridMultilevel"/>
    <w:tmpl w:val="AB7AF2BE"/>
    <w:lvl w:ilvl="0" w:tplc="93DE3730">
      <w:start w:val="1"/>
      <w:numFmt w:val="lowerRoman"/>
      <w:lvlText w:val="(%1)"/>
      <w:lvlJc w:val="left"/>
      <w:pPr>
        <w:ind w:left="1080" w:hanging="72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AF1209"/>
    <w:multiLevelType w:val="hybridMultilevel"/>
    <w:tmpl w:val="D1707368"/>
    <w:lvl w:ilvl="0" w:tplc="34FABB66">
      <w:start w:val="1"/>
      <w:numFmt w:val="lowerRoman"/>
      <w:lvlText w:val="%1."/>
      <w:lvlJc w:val="left"/>
      <w:pPr>
        <w:ind w:left="1080" w:hanging="72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26446F"/>
    <w:multiLevelType w:val="hybridMultilevel"/>
    <w:tmpl w:val="3AD09C8E"/>
    <w:lvl w:ilvl="0" w:tplc="D0363964">
      <w:start w:val="1"/>
      <w:numFmt w:val="lowerLetter"/>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942753"/>
    <w:multiLevelType w:val="hybridMultilevel"/>
    <w:tmpl w:val="D4D6A452"/>
    <w:lvl w:ilvl="0" w:tplc="7526C6D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D84"/>
    <w:rsid w:val="003B0473"/>
    <w:rsid w:val="006C4870"/>
    <w:rsid w:val="00745CB4"/>
    <w:rsid w:val="007A7D84"/>
    <w:rsid w:val="00817EFF"/>
    <w:rsid w:val="008456BC"/>
    <w:rsid w:val="00A65788"/>
    <w:rsid w:val="00AA7F8F"/>
    <w:rsid w:val="00AF0F39"/>
    <w:rsid w:val="00DD201D"/>
    <w:rsid w:val="00F14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2370"/>
  <w15:chartTrackingRefBased/>
  <w15:docId w15:val="{4330AC25-C079-45C8-A341-629F8490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D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928308">
      <w:bodyDiv w:val="1"/>
      <w:marLeft w:val="0"/>
      <w:marRight w:val="0"/>
      <w:marTop w:val="0"/>
      <w:marBottom w:val="0"/>
      <w:divBdr>
        <w:top w:val="none" w:sz="0" w:space="0" w:color="auto"/>
        <w:left w:val="none" w:sz="0" w:space="0" w:color="auto"/>
        <w:bottom w:val="none" w:sz="0" w:space="0" w:color="auto"/>
        <w:right w:val="none" w:sz="0" w:space="0" w:color="auto"/>
      </w:divBdr>
    </w:div>
    <w:div w:id="1223833153">
      <w:bodyDiv w:val="1"/>
      <w:marLeft w:val="0"/>
      <w:marRight w:val="0"/>
      <w:marTop w:val="0"/>
      <w:marBottom w:val="0"/>
      <w:divBdr>
        <w:top w:val="none" w:sz="0" w:space="0" w:color="auto"/>
        <w:left w:val="none" w:sz="0" w:space="0" w:color="auto"/>
        <w:bottom w:val="none" w:sz="0" w:space="0" w:color="auto"/>
        <w:right w:val="none" w:sz="0" w:space="0" w:color="auto"/>
      </w:divBdr>
      <w:divsChild>
        <w:div w:id="948702363">
          <w:marLeft w:val="0"/>
          <w:marRight w:val="0"/>
          <w:marTop w:val="0"/>
          <w:marBottom w:val="0"/>
          <w:divBdr>
            <w:top w:val="none" w:sz="0" w:space="0" w:color="auto"/>
            <w:left w:val="none" w:sz="0" w:space="0" w:color="auto"/>
            <w:bottom w:val="none" w:sz="0" w:space="0" w:color="auto"/>
            <w:right w:val="none" w:sz="0" w:space="0" w:color="auto"/>
          </w:divBdr>
        </w:div>
        <w:div w:id="746919678">
          <w:marLeft w:val="0"/>
          <w:marRight w:val="0"/>
          <w:marTop w:val="0"/>
          <w:marBottom w:val="0"/>
          <w:divBdr>
            <w:top w:val="none" w:sz="0" w:space="0" w:color="auto"/>
            <w:left w:val="none" w:sz="0" w:space="0" w:color="auto"/>
            <w:bottom w:val="none" w:sz="0" w:space="0" w:color="auto"/>
            <w:right w:val="none" w:sz="0" w:space="0" w:color="auto"/>
          </w:divBdr>
        </w:div>
        <w:div w:id="341326291">
          <w:marLeft w:val="0"/>
          <w:marRight w:val="0"/>
          <w:marTop w:val="0"/>
          <w:marBottom w:val="0"/>
          <w:divBdr>
            <w:top w:val="none" w:sz="0" w:space="0" w:color="auto"/>
            <w:left w:val="none" w:sz="0" w:space="0" w:color="auto"/>
            <w:bottom w:val="none" w:sz="0" w:space="0" w:color="auto"/>
            <w:right w:val="none" w:sz="0" w:space="0" w:color="auto"/>
          </w:divBdr>
        </w:div>
        <w:div w:id="1781875305">
          <w:marLeft w:val="0"/>
          <w:marRight w:val="0"/>
          <w:marTop w:val="0"/>
          <w:marBottom w:val="0"/>
          <w:divBdr>
            <w:top w:val="none" w:sz="0" w:space="0" w:color="auto"/>
            <w:left w:val="none" w:sz="0" w:space="0" w:color="auto"/>
            <w:bottom w:val="none" w:sz="0" w:space="0" w:color="auto"/>
            <w:right w:val="none" w:sz="0" w:space="0" w:color="auto"/>
          </w:divBdr>
        </w:div>
        <w:div w:id="1693071024">
          <w:marLeft w:val="0"/>
          <w:marRight w:val="0"/>
          <w:marTop w:val="0"/>
          <w:marBottom w:val="0"/>
          <w:divBdr>
            <w:top w:val="none" w:sz="0" w:space="0" w:color="auto"/>
            <w:left w:val="none" w:sz="0" w:space="0" w:color="auto"/>
            <w:bottom w:val="none" w:sz="0" w:space="0" w:color="auto"/>
            <w:right w:val="none" w:sz="0" w:space="0" w:color="auto"/>
          </w:divBdr>
        </w:div>
        <w:div w:id="229850415">
          <w:marLeft w:val="0"/>
          <w:marRight w:val="0"/>
          <w:marTop w:val="0"/>
          <w:marBottom w:val="0"/>
          <w:divBdr>
            <w:top w:val="none" w:sz="0" w:space="0" w:color="auto"/>
            <w:left w:val="none" w:sz="0" w:space="0" w:color="auto"/>
            <w:bottom w:val="none" w:sz="0" w:space="0" w:color="auto"/>
            <w:right w:val="none" w:sz="0" w:space="0" w:color="auto"/>
          </w:divBdr>
        </w:div>
        <w:div w:id="1243679009">
          <w:marLeft w:val="0"/>
          <w:marRight w:val="0"/>
          <w:marTop w:val="0"/>
          <w:marBottom w:val="0"/>
          <w:divBdr>
            <w:top w:val="none" w:sz="0" w:space="0" w:color="auto"/>
            <w:left w:val="none" w:sz="0" w:space="0" w:color="auto"/>
            <w:bottom w:val="none" w:sz="0" w:space="0" w:color="auto"/>
            <w:right w:val="none" w:sz="0" w:space="0" w:color="auto"/>
          </w:divBdr>
        </w:div>
        <w:div w:id="1287617035">
          <w:marLeft w:val="0"/>
          <w:marRight w:val="0"/>
          <w:marTop w:val="0"/>
          <w:marBottom w:val="0"/>
          <w:divBdr>
            <w:top w:val="none" w:sz="0" w:space="0" w:color="auto"/>
            <w:left w:val="none" w:sz="0" w:space="0" w:color="auto"/>
            <w:bottom w:val="none" w:sz="0" w:space="0" w:color="auto"/>
            <w:right w:val="none" w:sz="0" w:space="0" w:color="auto"/>
          </w:divBdr>
        </w:div>
        <w:div w:id="550993529">
          <w:marLeft w:val="0"/>
          <w:marRight w:val="0"/>
          <w:marTop w:val="0"/>
          <w:marBottom w:val="0"/>
          <w:divBdr>
            <w:top w:val="none" w:sz="0" w:space="0" w:color="auto"/>
            <w:left w:val="none" w:sz="0" w:space="0" w:color="auto"/>
            <w:bottom w:val="none" w:sz="0" w:space="0" w:color="auto"/>
            <w:right w:val="none" w:sz="0" w:space="0" w:color="auto"/>
          </w:divBdr>
        </w:div>
        <w:div w:id="43532205">
          <w:marLeft w:val="0"/>
          <w:marRight w:val="0"/>
          <w:marTop w:val="0"/>
          <w:marBottom w:val="0"/>
          <w:divBdr>
            <w:top w:val="none" w:sz="0" w:space="0" w:color="auto"/>
            <w:left w:val="none" w:sz="0" w:space="0" w:color="auto"/>
            <w:bottom w:val="none" w:sz="0" w:space="0" w:color="auto"/>
            <w:right w:val="none" w:sz="0" w:space="0" w:color="auto"/>
          </w:divBdr>
        </w:div>
        <w:div w:id="1858420130">
          <w:marLeft w:val="0"/>
          <w:marRight w:val="0"/>
          <w:marTop w:val="0"/>
          <w:marBottom w:val="0"/>
          <w:divBdr>
            <w:top w:val="none" w:sz="0" w:space="0" w:color="auto"/>
            <w:left w:val="none" w:sz="0" w:space="0" w:color="auto"/>
            <w:bottom w:val="none" w:sz="0" w:space="0" w:color="auto"/>
            <w:right w:val="none" w:sz="0" w:space="0" w:color="auto"/>
          </w:divBdr>
        </w:div>
        <w:div w:id="254363709">
          <w:marLeft w:val="0"/>
          <w:marRight w:val="0"/>
          <w:marTop w:val="0"/>
          <w:marBottom w:val="0"/>
          <w:divBdr>
            <w:top w:val="none" w:sz="0" w:space="0" w:color="auto"/>
            <w:left w:val="none" w:sz="0" w:space="0" w:color="auto"/>
            <w:bottom w:val="none" w:sz="0" w:space="0" w:color="auto"/>
            <w:right w:val="none" w:sz="0" w:space="0" w:color="auto"/>
          </w:divBdr>
        </w:div>
        <w:div w:id="1615676479">
          <w:marLeft w:val="0"/>
          <w:marRight w:val="0"/>
          <w:marTop w:val="0"/>
          <w:marBottom w:val="0"/>
          <w:divBdr>
            <w:top w:val="none" w:sz="0" w:space="0" w:color="auto"/>
            <w:left w:val="none" w:sz="0" w:space="0" w:color="auto"/>
            <w:bottom w:val="none" w:sz="0" w:space="0" w:color="auto"/>
            <w:right w:val="none" w:sz="0" w:space="0" w:color="auto"/>
          </w:divBdr>
        </w:div>
        <w:div w:id="1268386293">
          <w:marLeft w:val="0"/>
          <w:marRight w:val="0"/>
          <w:marTop w:val="0"/>
          <w:marBottom w:val="0"/>
          <w:divBdr>
            <w:top w:val="none" w:sz="0" w:space="0" w:color="auto"/>
            <w:left w:val="none" w:sz="0" w:space="0" w:color="auto"/>
            <w:bottom w:val="none" w:sz="0" w:space="0" w:color="auto"/>
            <w:right w:val="none" w:sz="0" w:space="0" w:color="auto"/>
          </w:divBdr>
        </w:div>
        <w:div w:id="86194417">
          <w:marLeft w:val="0"/>
          <w:marRight w:val="0"/>
          <w:marTop w:val="0"/>
          <w:marBottom w:val="0"/>
          <w:divBdr>
            <w:top w:val="none" w:sz="0" w:space="0" w:color="auto"/>
            <w:left w:val="none" w:sz="0" w:space="0" w:color="auto"/>
            <w:bottom w:val="none" w:sz="0" w:space="0" w:color="auto"/>
            <w:right w:val="none" w:sz="0" w:space="0" w:color="auto"/>
          </w:divBdr>
        </w:div>
        <w:div w:id="192038354">
          <w:marLeft w:val="0"/>
          <w:marRight w:val="0"/>
          <w:marTop w:val="0"/>
          <w:marBottom w:val="0"/>
          <w:divBdr>
            <w:top w:val="none" w:sz="0" w:space="0" w:color="auto"/>
            <w:left w:val="none" w:sz="0" w:space="0" w:color="auto"/>
            <w:bottom w:val="none" w:sz="0" w:space="0" w:color="auto"/>
            <w:right w:val="none" w:sz="0" w:space="0" w:color="auto"/>
          </w:divBdr>
        </w:div>
        <w:div w:id="880482683">
          <w:marLeft w:val="0"/>
          <w:marRight w:val="0"/>
          <w:marTop w:val="0"/>
          <w:marBottom w:val="0"/>
          <w:divBdr>
            <w:top w:val="none" w:sz="0" w:space="0" w:color="auto"/>
            <w:left w:val="none" w:sz="0" w:space="0" w:color="auto"/>
            <w:bottom w:val="none" w:sz="0" w:space="0" w:color="auto"/>
            <w:right w:val="none" w:sz="0" w:space="0" w:color="auto"/>
          </w:divBdr>
        </w:div>
        <w:div w:id="568423235">
          <w:marLeft w:val="0"/>
          <w:marRight w:val="0"/>
          <w:marTop w:val="0"/>
          <w:marBottom w:val="0"/>
          <w:divBdr>
            <w:top w:val="none" w:sz="0" w:space="0" w:color="auto"/>
            <w:left w:val="none" w:sz="0" w:space="0" w:color="auto"/>
            <w:bottom w:val="none" w:sz="0" w:space="0" w:color="auto"/>
            <w:right w:val="none" w:sz="0" w:space="0" w:color="auto"/>
          </w:divBdr>
        </w:div>
        <w:div w:id="51122142">
          <w:marLeft w:val="0"/>
          <w:marRight w:val="0"/>
          <w:marTop w:val="0"/>
          <w:marBottom w:val="0"/>
          <w:divBdr>
            <w:top w:val="none" w:sz="0" w:space="0" w:color="auto"/>
            <w:left w:val="none" w:sz="0" w:space="0" w:color="auto"/>
            <w:bottom w:val="none" w:sz="0" w:space="0" w:color="auto"/>
            <w:right w:val="none" w:sz="0" w:space="0" w:color="auto"/>
          </w:divBdr>
        </w:div>
        <w:div w:id="1261908966">
          <w:marLeft w:val="0"/>
          <w:marRight w:val="0"/>
          <w:marTop w:val="0"/>
          <w:marBottom w:val="0"/>
          <w:divBdr>
            <w:top w:val="none" w:sz="0" w:space="0" w:color="auto"/>
            <w:left w:val="none" w:sz="0" w:space="0" w:color="auto"/>
            <w:bottom w:val="none" w:sz="0" w:space="0" w:color="auto"/>
            <w:right w:val="none" w:sz="0" w:space="0" w:color="auto"/>
          </w:divBdr>
        </w:div>
        <w:div w:id="642581245">
          <w:marLeft w:val="0"/>
          <w:marRight w:val="0"/>
          <w:marTop w:val="0"/>
          <w:marBottom w:val="0"/>
          <w:divBdr>
            <w:top w:val="none" w:sz="0" w:space="0" w:color="auto"/>
            <w:left w:val="none" w:sz="0" w:space="0" w:color="auto"/>
            <w:bottom w:val="none" w:sz="0" w:space="0" w:color="auto"/>
            <w:right w:val="none" w:sz="0" w:space="0" w:color="auto"/>
          </w:divBdr>
        </w:div>
        <w:div w:id="515651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5</cp:revision>
  <dcterms:created xsi:type="dcterms:W3CDTF">2023-12-12T11:57:00Z</dcterms:created>
  <dcterms:modified xsi:type="dcterms:W3CDTF">2023-12-12T19:05:00Z</dcterms:modified>
</cp:coreProperties>
</file>