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E965DB" w14:textId="3CA5FCEA" w:rsidR="00B7729D" w:rsidRDefault="00B7729D" w:rsidP="000E5D67">
      <w:pPr>
        <w:spacing w:after="0"/>
        <w:ind w:firstLine="360"/>
        <w:rPr>
          <w:b/>
          <w:bCs/>
          <w:sz w:val="24"/>
          <w:szCs w:val="24"/>
        </w:rPr>
      </w:pPr>
      <w:r w:rsidRPr="000E5D67">
        <w:rPr>
          <w:b/>
          <w:bCs/>
          <w:sz w:val="24"/>
          <w:szCs w:val="24"/>
        </w:rPr>
        <w:t xml:space="preserve">Issues/questions  for </w:t>
      </w:r>
      <w:r w:rsidRPr="00B7729D">
        <w:rPr>
          <w:b/>
          <w:bCs/>
          <w:sz w:val="24"/>
          <w:szCs w:val="24"/>
        </w:rPr>
        <w:t>QMFM WS(</w:t>
      </w:r>
      <w:r w:rsidRPr="000E5D67">
        <w:rPr>
          <w:b/>
          <w:bCs/>
          <w:sz w:val="24"/>
          <w:szCs w:val="24"/>
        </w:rPr>
        <w:t>6</w:t>
      </w:r>
      <w:r w:rsidRPr="00B7729D">
        <w:rPr>
          <w:b/>
          <w:bCs/>
          <w:sz w:val="24"/>
          <w:szCs w:val="24"/>
        </w:rPr>
        <w:t xml:space="preserve">) </w:t>
      </w:r>
      <w:r w:rsidRPr="000E5D67">
        <w:rPr>
          <w:b/>
          <w:bCs/>
          <w:sz w:val="24"/>
          <w:szCs w:val="24"/>
        </w:rPr>
        <w:t>November 18-25</w:t>
      </w:r>
      <w:r w:rsidR="0040158A">
        <w:rPr>
          <w:b/>
          <w:bCs/>
          <w:sz w:val="24"/>
          <w:szCs w:val="24"/>
        </w:rPr>
        <w:t>, 2024 (Nov.16)</w:t>
      </w:r>
    </w:p>
    <w:p w14:paraId="681CF6BE" w14:textId="77777777" w:rsidR="000E5D67" w:rsidRPr="000E5D67" w:rsidRDefault="000E5D67" w:rsidP="000E5D67">
      <w:pPr>
        <w:spacing w:after="0"/>
        <w:jc w:val="center"/>
        <w:rPr>
          <w:b/>
          <w:bCs/>
          <w:sz w:val="24"/>
          <w:szCs w:val="24"/>
        </w:rPr>
      </w:pPr>
    </w:p>
    <w:p w14:paraId="7828D08D" w14:textId="1D57557D" w:rsidR="001C127B" w:rsidRPr="008B1F3B" w:rsidRDefault="008B1F3B" w:rsidP="0063152E">
      <w:pPr>
        <w:pStyle w:val="ListParagraph"/>
        <w:numPr>
          <w:ilvl w:val="0"/>
          <w:numId w:val="1"/>
        </w:numPr>
        <w:spacing w:after="120"/>
        <w:rPr>
          <w:b/>
          <w:bCs/>
        </w:rPr>
      </w:pPr>
      <w:r w:rsidRPr="008B1F3B">
        <w:rPr>
          <w:b/>
          <w:bCs/>
        </w:rPr>
        <w:t>Filte</w:t>
      </w:r>
      <w:r w:rsidR="00FE3520">
        <w:rPr>
          <w:b/>
          <w:bCs/>
        </w:rPr>
        <w:t>r</w:t>
      </w:r>
      <w:r>
        <w:rPr>
          <w:b/>
          <w:bCs/>
        </w:rPr>
        <w:t xml:space="preserve"> </w:t>
      </w:r>
      <w:r w:rsidRPr="008B1F3B">
        <w:rPr>
          <w:b/>
          <w:bCs/>
        </w:rPr>
        <w:t>issues</w:t>
      </w:r>
    </w:p>
    <w:p w14:paraId="3A31B464" w14:textId="6A5D4A40" w:rsidR="000F5B76" w:rsidRPr="00B7729D" w:rsidRDefault="00442FE7" w:rsidP="000F5B76">
      <w:r w:rsidRPr="00442FE7">
        <w:rPr>
          <w:b/>
          <w:bCs/>
        </w:rPr>
        <w:t>Filter</w:t>
      </w:r>
      <w:r w:rsidR="008B1F3B">
        <w:rPr>
          <w:b/>
          <w:bCs/>
        </w:rPr>
        <w:t>ing</w:t>
      </w:r>
      <w:r w:rsidRPr="00442FE7">
        <w:rPr>
          <w:b/>
          <w:bCs/>
        </w:rPr>
        <w:t xml:space="preserve"> in</w:t>
      </w:r>
      <w:r w:rsidR="00B7729D" w:rsidRPr="00B7729D">
        <w:rPr>
          <w:b/>
          <w:bCs/>
        </w:rPr>
        <w:t xml:space="preserve"> relat</w:t>
      </w:r>
      <w:r w:rsidRPr="00442FE7">
        <w:rPr>
          <w:b/>
          <w:bCs/>
        </w:rPr>
        <w:t xml:space="preserve">ion </w:t>
      </w:r>
      <w:r w:rsidR="00B7729D" w:rsidRPr="00B7729D">
        <w:rPr>
          <w:b/>
          <w:bCs/>
        </w:rPr>
        <w:t>to Historic tuning</w:t>
      </w:r>
      <w:r>
        <w:t xml:space="preserve"> </w:t>
      </w:r>
      <w:r w:rsidR="00B7729D" w:rsidRPr="00B7729D">
        <w:t xml:space="preserve"> </w:t>
      </w:r>
      <w:r>
        <w:t>(incl</w:t>
      </w:r>
      <w:r w:rsidR="00B7729D" w:rsidRPr="00B7729D">
        <w:t>. when observations a</w:t>
      </w:r>
      <w:r>
        <w:t xml:space="preserve">re </w:t>
      </w:r>
      <w:r w:rsidR="00B7729D" w:rsidRPr="00B7729D">
        <w:t>missing</w:t>
      </w:r>
      <w:r>
        <w:t>)</w:t>
      </w:r>
      <w:r w:rsidR="00B7729D" w:rsidRPr="00B7729D">
        <w:t>:</w:t>
      </w:r>
      <w:r>
        <w:t xml:space="preserve"> </w:t>
      </w:r>
      <w:r w:rsidR="00B7729D" w:rsidRPr="00B7729D">
        <w:t>how the filter estimates trend (</w:t>
      </w:r>
      <w:r w:rsidR="00B9556A">
        <w:t>and</w:t>
      </w:r>
      <w:r w:rsidR="00B7729D" w:rsidRPr="00B7729D">
        <w:t xml:space="preserve"> gap), and how </w:t>
      </w:r>
      <w:r w:rsidR="00B9556A">
        <w:t>it</w:t>
      </w:r>
      <w:r w:rsidR="00B7729D" w:rsidRPr="00B7729D">
        <w:t xml:space="preserve"> uses shocks</w:t>
      </w:r>
      <w:r>
        <w:t xml:space="preserve"> (SD imposed vs observed)</w:t>
      </w:r>
      <w:r w:rsidR="000F5B76">
        <w:t xml:space="preserve">—with and without tuning. </w:t>
      </w:r>
      <w:r>
        <w:t xml:space="preserve"> What is the impact or implication of </w:t>
      </w:r>
      <w:r w:rsidR="00B9556A">
        <w:t xml:space="preserve">missing </w:t>
      </w:r>
      <w:r>
        <w:t>observations</w:t>
      </w:r>
      <w:r w:rsidR="000F5B76">
        <w:t xml:space="preserve">—with </w:t>
      </w:r>
      <w:r w:rsidR="000F5B76" w:rsidRPr="00B7729D">
        <w:t xml:space="preserve">and without </w:t>
      </w:r>
      <w:r w:rsidR="00F3212C" w:rsidRPr="00B7729D">
        <w:t>tuning</w:t>
      </w:r>
      <w:r w:rsidR="00F3212C">
        <w:t>?</w:t>
      </w:r>
    </w:p>
    <w:p w14:paraId="307A9211" w14:textId="19B43D10" w:rsidR="00FE3520" w:rsidRPr="008B1F3B" w:rsidRDefault="00FE3520" w:rsidP="00FE3520">
      <w:pPr>
        <w:pStyle w:val="ListParagraph"/>
        <w:numPr>
          <w:ilvl w:val="0"/>
          <w:numId w:val="1"/>
        </w:numPr>
        <w:rPr>
          <w:b/>
          <w:bCs/>
        </w:rPr>
      </w:pPr>
      <w:r w:rsidRPr="008B1F3B">
        <w:rPr>
          <w:b/>
          <w:bCs/>
        </w:rPr>
        <w:t>F</w:t>
      </w:r>
      <w:r>
        <w:rPr>
          <w:b/>
          <w:bCs/>
        </w:rPr>
        <w:t>orecast</w:t>
      </w:r>
      <w:r>
        <w:rPr>
          <w:b/>
          <w:bCs/>
        </w:rPr>
        <w:t xml:space="preserve"> </w:t>
      </w:r>
      <w:r w:rsidRPr="008B1F3B">
        <w:rPr>
          <w:b/>
          <w:bCs/>
        </w:rPr>
        <w:t>issues</w:t>
      </w:r>
    </w:p>
    <w:p w14:paraId="1631C486" w14:textId="555F9321" w:rsidR="00FE3520" w:rsidRPr="00BB2010" w:rsidRDefault="00FE3520" w:rsidP="00FE3520">
      <w:pPr>
        <w:spacing w:after="120"/>
      </w:pPr>
      <w:r w:rsidRPr="00FE3520">
        <w:rPr>
          <w:b/>
          <w:bCs/>
        </w:rPr>
        <w:t xml:space="preserve">Producing forecast errors (and fan charts). </w:t>
      </w:r>
      <w:r w:rsidRPr="00BE37E9">
        <w:t>We w</w:t>
      </w:r>
      <w:r>
        <w:t xml:space="preserve">ould like to </w:t>
      </w:r>
      <w:r w:rsidRPr="00BE37E9">
        <w:t xml:space="preserve">include </w:t>
      </w:r>
      <w:r w:rsidRPr="00FE3520">
        <w:rPr>
          <w:color w:val="FF0000"/>
        </w:rPr>
        <w:t>f</w:t>
      </w:r>
      <w:r w:rsidRPr="00BE37E9">
        <w:t xml:space="preserve">orecast </w:t>
      </w:r>
      <w:r w:rsidRPr="00FE3520">
        <w:rPr>
          <w:color w:val="FF0000"/>
        </w:rPr>
        <w:t>e</w:t>
      </w:r>
      <w:r w:rsidRPr="00BE37E9">
        <w:t xml:space="preserve">rrors (and </w:t>
      </w:r>
      <w:r w:rsidRPr="00FE3520">
        <w:rPr>
          <w:color w:val="FF0000"/>
        </w:rPr>
        <w:t>v</w:t>
      </w:r>
      <w:r w:rsidRPr="00BE37E9">
        <w:t xml:space="preserve">ariance </w:t>
      </w:r>
      <w:r w:rsidRPr="00FE3520">
        <w:rPr>
          <w:color w:val="FF0000"/>
        </w:rPr>
        <w:t>d</w:t>
      </w:r>
      <w:r w:rsidRPr="00BE37E9">
        <w:t xml:space="preserve">ecomposition, </w:t>
      </w:r>
      <w:r w:rsidRPr="00FE3520">
        <w:rPr>
          <w:color w:val="FF0000"/>
        </w:rPr>
        <w:t>FEVD-FESTD</w:t>
      </w:r>
      <w:r w:rsidRPr="00BE37E9">
        <w:t xml:space="preserve">) in reportForecast (e.g., in </w:t>
      </w:r>
      <w:r>
        <w:t xml:space="preserve">a </w:t>
      </w:r>
      <w:r w:rsidRPr="00BE37E9">
        <w:t>table) and fan charts</w:t>
      </w:r>
      <w:r>
        <w:t>,</w:t>
      </w:r>
      <w:r w:rsidRPr="00BE37E9">
        <w:t xml:space="preserve"> </w:t>
      </w:r>
      <w:r>
        <w:t xml:space="preserve">at least </w:t>
      </w:r>
      <w:r w:rsidRPr="00BE37E9">
        <w:t xml:space="preserve">for key variables. </w:t>
      </w:r>
    </w:p>
    <w:p w14:paraId="0E4CF4E4" w14:textId="7D17B2FD" w:rsidR="00FE3520" w:rsidRPr="00FE3520" w:rsidRDefault="00FE3520" w:rsidP="00FE3520">
      <w:pPr>
        <w:rPr>
          <w:color w:val="222222"/>
        </w:rPr>
      </w:pPr>
      <w:r>
        <w:t xml:space="preserve">The guidance </w:t>
      </w:r>
      <w:r w:rsidR="00F3212C">
        <w:t>so far</w:t>
      </w:r>
      <w:r>
        <w:t xml:space="preserve"> (and </w:t>
      </w:r>
      <w:r w:rsidRPr="00FE3520">
        <w:rPr>
          <w:color w:val="FF0000"/>
        </w:rPr>
        <w:t>Forecast_error_calcSI.m</w:t>
      </w:r>
      <w:r w:rsidRPr="00FE35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used only in WS Dec2022, still in </w:t>
      </w:r>
      <w:r w:rsidRPr="00FE3520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codes/misc</w:t>
      </w:r>
      <w:r w:rsidRPr="00FE352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derives the </w:t>
      </w:r>
      <w:r w:rsidRPr="00FE3520">
        <w:rPr>
          <w:color w:val="222222"/>
        </w:rPr>
        <w:t>confidence interval of one SD around point-estimated forecast for each period.</w:t>
      </w:r>
    </w:p>
    <w:p w14:paraId="42447A25" w14:textId="70622E2F" w:rsidR="00FE3520" w:rsidRPr="00FE3520" w:rsidRDefault="00FE3520" w:rsidP="00FA2FA3">
      <w:r w:rsidRPr="00FE3520">
        <w:t>While we understand that the distribution of each forecast variable depends on the (calibrated</w:t>
      </w:r>
      <w:r w:rsidR="006F2C8F">
        <w:t xml:space="preserve"> or model</w:t>
      </w:r>
      <w:r w:rsidRPr="00FE3520">
        <w:t>) SD of all relevant shocks, we need to better understand how exactly the</w:t>
      </w:r>
      <w:r w:rsidRPr="006F2C8F">
        <w:rPr>
          <w:color w:val="FF0000"/>
        </w:rPr>
        <w:t xml:space="preserve"> </w:t>
      </w:r>
      <w:r w:rsidR="006F2C8F" w:rsidRPr="006F2C8F">
        <w:rPr>
          <w:color w:val="FF0000"/>
        </w:rPr>
        <w:t>FEVD</w:t>
      </w:r>
      <w:r w:rsidRPr="00FE3520">
        <w:t xml:space="preserve"> function generates the SD of the forecast variable, via </w:t>
      </w:r>
      <w:r w:rsidR="006F2C8F">
        <w:t xml:space="preserve">the </w:t>
      </w:r>
      <w:r w:rsidRPr="00FE3520">
        <w:t>SD and contributions of each shock and how to interpret its arguments.</w:t>
      </w:r>
      <w:r w:rsidR="006F2C8F">
        <w:t xml:space="preserve"> </w:t>
      </w:r>
    </w:p>
    <w:p w14:paraId="41F41E38" w14:textId="5B4F6B4B" w:rsidR="00FA2FA3" w:rsidRDefault="00FA2FA3" w:rsidP="00B9556A">
      <w:pPr>
        <w:spacing w:after="240"/>
      </w:pPr>
      <w:r>
        <w:t>See further the illustration of our query in Annex below.</w:t>
      </w:r>
    </w:p>
    <w:p w14:paraId="535FD57D" w14:textId="0A8D5425" w:rsidR="00865AAE" w:rsidRDefault="00865AAE" w:rsidP="00865AAE">
      <w:pPr>
        <w:spacing w:after="120"/>
      </w:pPr>
      <w:r>
        <w:rPr>
          <w:b/>
          <w:bCs/>
        </w:rPr>
        <w:t>Forecast</w:t>
      </w:r>
      <w:r w:rsidRPr="00CC1856">
        <w:rPr>
          <w:b/>
          <w:bCs/>
        </w:rPr>
        <w:t xml:space="preserve"> antic</w:t>
      </w:r>
      <w:r>
        <w:rPr>
          <w:b/>
          <w:bCs/>
        </w:rPr>
        <w:t>i</w:t>
      </w:r>
      <w:r w:rsidRPr="00CC1856">
        <w:rPr>
          <w:b/>
          <w:bCs/>
        </w:rPr>
        <w:t>pated shocks</w:t>
      </w:r>
      <w:r>
        <w:rPr>
          <w:b/>
          <w:bCs/>
        </w:rPr>
        <w:t xml:space="preserve">. </w:t>
      </w:r>
      <w:r>
        <w:t>N</w:t>
      </w:r>
      <w:r w:rsidRPr="00CC1856">
        <w:t xml:space="preserve">otice a change in </w:t>
      </w:r>
      <w:r>
        <w:t xml:space="preserve">ZR’s </w:t>
      </w:r>
      <w:r w:rsidRPr="00CC1856">
        <w:t>Baseline of Sept 11, line 70</w:t>
      </w:r>
      <w:r>
        <w:t>, it had</w:t>
      </w:r>
      <w:r w:rsidR="00531F54">
        <w:t>:</w:t>
      </w:r>
    </w:p>
    <w:p w14:paraId="1E8E0576" w14:textId="6AE1C4DD" w:rsidR="00865AAE" w:rsidRDefault="00865AAE" w:rsidP="00865AAE">
      <w:pPr>
        <w:rPr>
          <w:color w:val="FF0000"/>
        </w:rPr>
      </w:pPr>
      <w:r w:rsidRPr="00CC1856">
        <w:rPr>
          <w:color w:val="FF0000"/>
        </w:rPr>
        <w:t>pln = Plan.forModel(m, rngFcast, "anticipate",true).</w:t>
      </w:r>
      <w:r>
        <w:rPr>
          <w:color w:val="FF0000"/>
        </w:rPr>
        <w:t xml:space="preserve"> </w:t>
      </w:r>
      <w:r>
        <w:t>w</w:t>
      </w:r>
      <w:r w:rsidRPr="00CC1856">
        <w:t>hereas</w:t>
      </w:r>
      <w:r>
        <w:t xml:space="preserve"> we have so far used</w:t>
      </w:r>
      <w:r w:rsidR="00531F54">
        <w:t>:</w:t>
      </w:r>
    </w:p>
    <w:p w14:paraId="49744CAB" w14:textId="77777777" w:rsidR="00865AAE" w:rsidRPr="00CC1856" w:rsidRDefault="00865AAE" w:rsidP="00865AAE">
      <w:pPr>
        <w:spacing w:after="120"/>
        <w:rPr>
          <w:color w:val="FF0000"/>
        </w:rPr>
      </w:pPr>
      <w:r w:rsidRPr="00CC1856">
        <w:rPr>
          <w:color w:val="FF0000"/>
          <w:lang w:val="da-DK"/>
        </w:rPr>
        <w:t>pln = Plan.forModel(m, rngFcast)</w:t>
      </w:r>
      <w:r w:rsidRPr="0022477E">
        <w:rPr>
          <w:color w:val="FF0000"/>
          <w:lang w:val="da-DK"/>
        </w:rPr>
        <w:t>.</w:t>
      </w:r>
      <w:r w:rsidRPr="00CC1856">
        <w:rPr>
          <w:color w:val="FF0000"/>
          <w:lang w:val="da-DK"/>
        </w:rPr>
        <w:t xml:space="preserve"> </w:t>
      </w:r>
      <w:r w:rsidRPr="0022477E">
        <w:rPr>
          <w:color w:val="FF0000"/>
          <w:lang w:val="da-DK"/>
        </w:rPr>
        <w:t xml:space="preserve"> </w:t>
      </w:r>
      <w:r>
        <w:t>W</w:t>
      </w:r>
      <w:r w:rsidRPr="00CC1856">
        <w:t>e are not sure if/how this matters</w:t>
      </w:r>
      <w:r>
        <w:t>.</w:t>
      </w:r>
    </w:p>
    <w:p w14:paraId="0DAE1CEF" w14:textId="11E04760" w:rsidR="00865AAE" w:rsidRDefault="00865AAE" w:rsidP="00865AAE">
      <w:pPr>
        <w:spacing w:after="240"/>
      </w:pPr>
      <w:r>
        <w:t>I</w:t>
      </w:r>
      <w:r w:rsidRPr="00CC1856">
        <w:t xml:space="preserve">n our </w:t>
      </w:r>
      <w:r w:rsidR="00531F54">
        <w:t xml:space="preserve">current </w:t>
      </w:r>
      <w:r w:rsidRPr="00CC1856">
        <w:t xml:space="preserve">Baseline tuning, </w:t>
      </w:r>
      <w:r w:rsidR="00531F54">
        <w:t xml:space="preserve">are </w:t>
      </w:r>
      <w:r w:rsidRPr="00CC1856">
        <w:t>shocks anticipated</w:t>
      </w:r>
      <w:r>
        <w:t>?</w:t>
      </w:r>
    </w:p>
    <w:p w14:paraId="0225C83C" w14:textId="77777777" w:rsidR="00E06F67" w:rsidRDefault="00CF13E9" w:rsidP="00FE3520">
      <w:pPr>
        <w:pStyle w:val="ListParagraph"/>
        <w:numPr>
          <w:ilvl w:val="0"/>
          <w:numId w:val="1"/>
        </w:numPr>
      </w:pPr>
      <w:r w:rsidRPr="00E06F67">
        <w:rPr>
          <w:b/>
          <w:bCs/>
        </w:rPr>
        <w:t>Bayesian estimation</w:t>
      </w:r>
      <w:r>
        <w:t xml:space="preserve"> </w:t>
      </w:r>
    </w:p>
    <w:p w14:paraId="4AEEC92A" w14:textId="7089F9E9" w:rsidR="00B7729D" w:rsidRDefault="00053586" w:rsidP="00FA2FA3">
      <w:pPr>
        <w:spacing w:after="240"/>
      </w:pPr>
      <w:r>
        <w:t xml:space="preserve">While the explanation of the theory  is clear from the handout </w:t>
      </w:r>
      <w:r w:rsidR="00CF13E9">
        <w:t>(Set II, Handout 5)</w:t>
      </w:r>
      <w:r>
        <w:t xml:space="preserve">, what has been less clear for us is the practical application including the use of simulations (varying the parameter value using the prior distribution). </w:t>
      </w:r>
      <w:r w:rsidR="00BE618D">
        <w:t xml:space="preserve">We would </w:t>
      </w:r>
      <w:r w:rsidR="00531F54">
        <w:t xml:space="preserve">benefit from </w:t>
      </w:r>
      <w:r w:rsidR="00BE618D">
        <w:t>a lot more guidance on the latter, including on the use of codes/estim/… for the estimat</w:t>
      </w:r>
      <w:r w:rsidR="00B9556A">
        <w:t>i</w:t>
      </w:r>
      <w:r w:rsidR="00BE618D">
        <w:t>on of selected parameters.</w:t>
      </w:r>
    </w:p>
    <w:p w14:paraId="180E38BD" w14:textId="6CD12652" w:rsidR="00CB02D8" w:rsidRDefault="00CB02D8" w:rsidP="00FE352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Model infrastructure</w:t>
      </w:r>
    </w:p>
    <w:p w14:paraId="4C7B45B3" w14:textId="03DDF117" w:rsidR="00CB02D8" w:rsidRPr="00CB02D8" w:rsidRDefault="00CB02D8" w:rsidP="0063152E">
      <w:pPr>
        <w:spacing w:after="240"/>
      </w:pPr>
      <w:r>
        <w:rPr>
          <w:b/>
          <w:bCs/>
        </w:rPr>
        <w:t xml:space="preserve">Options. </w:t>
      </w:r>
      <w:r>
        <w:t xml:space="preserve">We would benefit from a revisiting of the use of “options”, now the infrastructure is complete, including the Dec2023/Jan2024 streamlining and the use of </w:t>
      </w:r>
      <w:r w:rsidRPr="00CB02D8">
        <w:rPr>
          <w:color w:val="FF0000"/>
        </w:rPr>
        <w:t>process</w:t>
      </w:r>
      <w:r>
        <w:t>.</w:t>
      </w:r>
      <w:r w:rsidRPr="00CB02D8">
        <w:rPr>
          <w:color w:val="FF0000"/>
        </w:rPr>
        <w:t>options</w:t>
      </w:r>
      <w:r>
        <w:t xml:space="preserve"> in the </w:t>
      </w:r>
      <w:r w:rsidRPr="00B9556A">
        <w:rPr>
          <w:color w:val="FF0000"/>
        </w:rPr>
        <w:t xml:space="preserve">codes/utils </w:t>
      </w:r>
      <w:r>
        <w:t xml:space="preserve">directory </w:t>
      </w:r>
      <w:r w:rsidR="00B9556A">
        <w:t xml:space="preserve">(as well as the main other codes in </w:t>
      </w:r>
      <w:r w:rsidR="00B9556A" w:rsidRPr="00B9556A">
        <w:rPr>
          <w:color w:val="FF0000"/>
        </w:rPr>
        <w:t>utils</w:t>
      </w:r>
      <w:r w:rsidR="00B9556A">
        <w:t>).</w:t>
      </w:r>
    </w:p>
    <w:p w14:paraId="0677BEDF" w14:textId="0499C7E1" w:rsidR="00CB02D8" w:rsidRPr="00CC1856" w:rsidRDefault="00CB02D8" w:rsidP="00FE3520">
      <w:pPr>
        <w:pStyle w:val="ListParagraph"/>
        <w:numPr>
          <w:ilvl w:val="0"/>
          <w:numId w:val="1"/>
        </w:numPr>
        <w:rPr>
          <w:b/>
          <w:bCs/>
        </w:rPr>
      </w:pPr>
      <w:r w:rsidRPr="00CC1856">
        <w:rPr>
          <w:b/>
          <w:bCs/>
        </w:rPr>
        <w:t>Model spec</w:t>
      </w:r>
      <w:r w:rsidR="00B9556A">
        <w:rPr>
          <w:b/>
          <w:bCs/>
        </w:rPr>
        <w:t>s</w:t>
      </w:r>
      <w:r w:rsidRPr="00CC1856">
        <w:rPr>
          <w:b/>
          <w:bCs/>
        </w:rPr>
        <w:t xml:space="preserve"> and tuning  in relation to Sept </w:t>
      </w:r>
      <w:r w:rsidR="00B9556A">
        <w:rPr>
          <w:b/>
          <w:bCs/>
        </w:rPr>
        <w:t xml:space="preserve"> </w:t>
      </w:r>
      <w:r w:rsidRPr="00CC1856">
        <w:rPr>
          <w:b/>
          <w:bCs/>
        </w:rPr>
        <w:t>2024 forecast</w:t>
      </w:r>
    </w:p>
    <w:p w14:paraId="3AE22889" w14:textId="51BB271A" w:rsidR="00CB02D8" w:rsidRDefault="00CB02D8" w:rsidP="00CB02D8">
      <w:r>
        <w:rPr>
          <w:b/>
          <w:bCs/>
        </w:rPr>
        <w:t xml:space="preserve">Doubtful NA final demand figures recent Q. </w:t>
      </w:r>
      <w:r w:rsidRPr="00CC1856">
        <w:t>Are we right in suppressing all final demands but gcons?</w:t>
      </w:r>
      <w:r>
        <w:t xml:space="preserve"> Even gcons in NA (which </w:t>
      </w:r>
      <w:r w:rsidR="00FA2FA3">
        <w:t>we assume</w:t>
      </w:r>
      <w:r>
        <w:t xml:space="preserve"> includes 25% of Budget capital spending) may be off.</w:t>
      </w:r>
    </w:p>
    <w:p w14:paraId="590D8F3D" w14:textId="795C5B91" w:rsidR="00201FCF" w:rsidRDefault="00201FCF" w:rsidP="0063152E">
      <w:pPr>
        <w:spacing w:after="120"/>
      </w:pPr>
      <w:r w:rsidRPr="00CF13E9">
        <w:rPr>
          <w:b/>
          <w:bCs/>
        </w:rPr>
        <w:t xml:space="preserve">Govt demand gap </w:t>
      </w:r>
      <w:r>
        <w:rPr>
          <w:b/>
          <w:bCs/>
        </w:rPr>
        <w:t>&amp;</w:t>
      </w:r>
      <w:r w:rsidRPr="00CF13E9">
        <w:rPr>
          <w:b/>
          <w:bCs/>
        </w:rPr>
        <w:t xml:space="preserve"> gdem as ratio of GDP.</w:t>
      </w:r>
      <w:r>
        <w:t xml:space="preserve"> To derive the</w:t>
      </w:r>
      <w:r w:rsidR="00A401BB">
        <w:t xml:space="preserve"> </w:t>
      </w:r>
      <w:r w:rsidR="00A401BB" w:rsidRPr="00A401BB">
        <w:rPr>
          <w:color w:val="FF0000"/>
        </w:rPr>
        <w:t>l_</w:t>
      </w:r>
      <w:r w:rsidR="00531F54" w:rsidRPr="00A401BB">
        <w:rPr>
          <w:color w:val="FF0000"/>
        </w:rPr>
        <w:t>gdem_gap</w:t>
      </w:r>
      <w:r>
        <w:t xml:space="preserve"> </w:t>
      </w:r>
      <w:r w:rsidR="00A401BB">
        <w:t xml:space="preserve">(implicitly!), </w:t>
      </w:r>
      <w:r>
        <w:t>we multiply the ratio with GDP, implying non-linearity of model. How can we best explain the “linearization error” (</w:t>
      </w:r>
      <w:r w:rsidR="00F3212C">
        <w:t>e.g.,</w:t>
      </w:r>
      <w:r>
        <w:t xml:space="preserve"> in decomposition chart)?</w:t>
      </w:r>
    </w:p>
    <w:p w14:paraId="5CCB099F" w14:textId="188DAF5E" w:rsidR="00FA2FA3" w:rsidRDefault="00201FCF" w:rsidP="00201FCF">
      <w:pPr>
        <w:spacing w:line="240" w:lineRule="auto"/>
      </w:pPr>
      <w:r w:rsidRPr="00201FCF">
        <w:lastRenderedPageBreak/>
        <w:t>More importantly, our</w:t>
      </w:r>
      <w:r>
        <w:t xml:space="preserve"> model has behavior relations for </w:t>
      </w:r>
      <w:r w:rsidRPr="007E38AB">
        <w:rPr>
          <w:color w:val="FF0000"/>
        </w:rPr>
        <w:t>gdem_y</w:t>
      </w:r>
      <w:r w:rsidR="00531F54">
        <w:t xml:space="preserve">, i.e., </w:t>
      </w:r>
      <w:r w:rsidRPr="00201FCF">
        <w:t xml:space="preserve">in % of GDP, which </w:t>
      </w:r>
      <w:r>
        <w:t>drive the level of govt demand and hence output (gaps). As we need to</w:t>
      </w:r>
      <w:r w:rsidRPr="007E38AB">
        <w:rPr>
          <w:i/>
          <w:iCs/>
        </w:rPr>
        <w:t xml:space="preserve"> multiply</w:t>
      </w:r>
      <w:r>
        <w:t xml:space="preserve"> by output (line 576), this seems to create pro-cyclical-ity, as absolute govt spending </w:t>
      </w:r>
      <w:r w:rsidR="007E38AB" w:rsidRPr="007E38AB">
        <w:rPr>
          <w:i/>
          <w:iCs/>
        </w:rPr>
        <w:t>per se</w:t>
      </w:r>
      <w:r w:rsidR="007E38AB">
        <w:t xml:space="preserve"> rises in the upturn due to the multiplication. (Separately, the </w:t>
      </w:r>
      <w:r w:rsidR="007E38AB" w:rsidRPr="007E38AB">
        <w:rPr>
          <w:color w:val="FF0000"/>
        </w:rPr>
        <w:t xml:space="preserve">gdem_y </w:t>
      </w:r>
      <w:r w:rsidR="007E38AB">
        <w:t xml:space="preserve">ratio will go down a bit thanks to our cyclical component, </w:t>
      </w:r>
      <w:r w:rsidR="007E38AB" w:rsidRPr="007E38AB">
        <w:rPr>
          <w:color w:val="FF0000"/>
        </w:rPr>
        <w:t>gdem_y_cyc</w:t>
      </w:r>
      <w:r w:rsidR="00531F54" w:rsidRPr="00531F54">
        <w:t>).</w:t>
      </w:r>
    </w:p>
    <w:p w14:paraId="1139DA1A" w14:textId="77777777" w:rsidR="00CB02D8" w:rsidRDefault="00CB02D8" w:rsidP="00CB02D8">
      <w:r w:rsidRPr="00224B59">
        <w:rPr>
          <w:b/>
          <w:bCs/>
        </w:rPr>
        <w:t>Fiscal tuning.</w:t>
      </w:r>
      <w:r>
        <w:t xml:space="preserve"> The possible need for t</w:t>
      </w:r>
      <w:r w:rsidRPr="00050A33">
        <w:t>uning (beyond PCI FISCAL projection</w:t>
      </w:r>
      <w:r>
        <w:t xml:space="preserve"> thru 2025/26</w:t>
      </w:r>
      <w:r w:rsidRPr="00050A33">
        <w:t>)</w:t>
      </w:r>
      <w:r>
        <w:t xml:space="preserve">. Currently, after PCI the fiscal variables start returning to chosen </w:t>
      </w:r>
      <w:r w:rsidRPr="00050A33">
        <w:t>sustainable ratios ("steady states") </w:t>
      </w:r>
      <w:r>
        <w:t>(</w:t>
      </w:r>
      <w:r w:rsidRPr="00050A33">
        <w:t xml:space="preserve">for deficit excl. grants </w:t>
      </w:r>
      <w:r>
        <w:t>7.5 (</w:t>
      </w:r>
      <w:r w:rsidRPr="00050A33">
        <w:t xml:space="preserve"> o/w new borr</w:t>
      </w:r>
      <w:r>
        <w:t>owing</w:t>
      </w:r>
      <w:r w:rsidRPr="00050A33">
        <w:t xml:space="preserve"> 5%</w:t>
      </w:r>
      <w:r>
        <w:t>, grants 2.5%</w:t>
      </w:r>
      <w:r w:rsidRPr="00050A33">
        <w:t xml:space="preserve">), revenue </w:t>
      </w:r>
      <w:r>
        <w:t>24%, gdem G&amp;S 26%, and oexp  5%.</w:t>
      </w:r>
    </w:p>
    <w:p w14:paraId="7370D21D" w14:textId="2AFFC72E" w:rsidR="00CB02D8" w:rsidRPr="00050A33" w:rsidRDefault="00CB02D8" w:rsidP="00CB02D8">
      <w:r>
        <w:t xml:space="preserve">But as revenue is still far from </w:t>
      </w:r>
      <w:r w:rsidR="00531F54">
        <w:t xml:space="preserve">its </w:t>
      </w:r>
      <w:r>
        <w:t xml:space="preserve">sustainable ratio, and expenditures immediately rise above PCI-restricted levels after PCI, so does </w:t>
      </w:r>
      <w:r w:rsidR="00531F54">
        <w:t xml:space="preserve">the </w:t>
      </w:r>
      <w:r>
        <w:t>deficit</w:t>
      </w:r>
      <w:r w:rsidR="00531F54">
        <w:t xml:space="preserve"> rise above </w:t>
      </w:r>
      <w:r w:rsidR="0063152E">
        <w:t xml:space="preserve">its </w:t>
      </w:r>
      <w:r w:rsidR="00531F54">
        <w:t>2025/26 and sustainable level</w:t>
      </w:r>
      <w:r w:rsidR="0063152E">
        <w:t>s, before returning gradually to its sustainable ratio</w:t>
      </w:r>
      <w:r>
        <w:t>.</w:t>
      </w:r>
    </w:p>
    <w:p w14:paraId="4A3984FE" w14:textId="7457B653" w:rsidR="00CB02D8" w:rsidRDefault="00CB02D8" w:rsidP="00CB02D8">
      <w:r>
        <w:rPr>
          <w:b/>
          <w:bCs/>
        </w:rPr>
        <w:t xml:space="preserve">Exchange rate forecast. </w:t>
      </w:r>
      <w:r>
        <w:t>Sh</w:t>
      </w:r>
      <w:r w:rsidRPr="00050A33">
        <w:t>ould</w:t>
      </w:r>
      <w:r>
        <w:t>n’t</w:t>
      </w:r>
      <w:r w:rsidRPr="00050A33">
        <w:t xml:space="preserve"> the exchange rate adjust faster in line with the target depreciation rate? (model l. 775-88)?</w:t>
      </w:r>
      <w:r>
        <w:t xml:space="preserve"> Now, the rate of depreciation </w:t>
      </w:r>
      <w:r w:rsidR="0063152E">
        <w:t xml:space="preserve">remains </w:t>
      </w:r>
      <w:r>
        <w:t>high for too long.</w:t>
      </w:r>
    </w:p>
    <w:p w14:paraId="1BAFD1D4" w14:textId="6EC4DC33" w:rsidR="00CB02D8" w:rsidRDefault="00CB02D8" w:rsidP="00CB02D8">
      <w:r>
        <w:t xml:space="preserve">Our ER rule implies that the target ER change responds positively to the (currently projected negative) CPI deviation from target CPI; and negatively to the (currently projected positive) RER gap, thus slowing down the move to the target depreciation as determined by inflation differential with trading partners. Hence the changes </w:t>
      </w:r>
      <w:r w:rsidR="0063152E">
        <w:t xml:space="preserve">we made </w:t>
      </w:r>
      <w:r>
        <w:t>in Baseline tune:</w:t>
      </w:r>
    </w:p>
    <w:p w14:paraId="4311656B" w14:textId="77777777" w:rsidR="00CB02D8" w:rsidRPr="001C127B" w:rsidRDefault="00CB02D8" w:rsidP="00CB02D8">
      <w:r w:rsidRPr="001C127B">
        <w:rPr>
          <w:color w:val="FF0000"/>
        </w:rPr>
        <w:t>m.e5 = 0.1</w:t>
      </w:r>
      <w:r w:rsidRPr="001C127B">
        <w:t>;  % was 0.30 (as BNR) but we need lower ER response to inflation deviation</w:t>
      </w:r>
    </w:p>
    <w:p w14:paraId="0D6C8494" w14:textId="34E14428" w:rsidR="00CB02D8" w:rsidRDefault="00CB02D8" w:rsidP="00CB02D8">
      <w:r w:rsidRPr="001C127B">
        <w:rPr>
          <w:color w:val="FF0000"/>
        </w:rPr>
        <w:t>m.e6 = 0.95</w:t>
      </w:r>
      <w:r w:rsidRPr="001C127B">
        <w:t xml:space="preserve">; % was 0.85 (as BNR) but we need </w:t>
      </w:r>
      <w:r w:rsidR="00F3212C" w:rsidRPr="001C127B">
        <w:t>a higher</w:t>
      </w:r>
      <w:r w:rsidRPr="001C127B">
        <w:t xml:space="preserve"> ER response to RER gap</w:t>
      </w:r>
      <w:r>
        <w:t>.</w:t>
      </w:r>
    </w:p>
    <w:p w14:paraId="1726D8EA" w14:textId="77777777" w:rsidR="00CB02D8" w:rsidRDefault="00CB02D8" w:rsidP="00CB02D8">
      <w:r>
        <w:t>(Our persistence parameter is already 0, so we cannot make the adjustment faster.)</w:t>
      </w:r>
    </w:p>
    <w:p w14:paraId="485C56DC" w14:textId="2707E2AB" w:rsidR="00CB02D8" w:rsidRDefault="00CB02D8" w:rsidP="00CB02D8">
      <w:r w:rsidRPr="00CF13E9">
        <w:rPr>
          <w:b/>
          <w:bCs/>
        </w:rPr>
        <w:t>GDP discrepancy term</w:t>
      </w:r>
      <w:r>
        <w:rPr>
          <w:rStyle w:val="FootnoteReference"/>
          <w:b/>
          <w:bCs/>
        </w:rPr>
        <w:footnoteReference w:id="1"/>
      </w:r>
      <w:r>
        <w:t xml:space="preserve"> (“shock”, but not shock</w:t>
      </w:r>
      <w:r w:rsidR="0063152E">
        <w:t>!</w:t>
      </w:r>
      <w:r>
        <w:t xml:space="preserve">) in GDP equation summing final demands. Earlier in model development (Set I, Handout 2), we thought we needed inventories as </w:t>
      </w:r>
      <w:r w:rsidR="00F3212C">
        <w:t>an equilibrating</w:t>
      </w:r>
      <w:r>
        <w:t xml:space="preserve"> term. Yet (change in) inventories are included in private investment. The discrepancy</w:t>
      </w:r>
      <w:r w:rsidR="0063152E">
        <w:t xml:space="preserve"> shock</w:t>
      </w:r>
      <w:r>
        <w:t xml:space="preserve"> is only needed because we sum gaps with constant weights:</w:t>
      </w:r>
    </w:p>
    <w:p w14:paraId="197D0533" w14:textId="77777777" w:rsidR="00CB02D8" w:rsidRPr="0063152E" w:rsidRDefault="00CB02D8" w:rsidP="00CB02D8">
      <w:pPr>
        <w:rPr>
          <w:color w:val="FF0000"/>
        </w:rPr>
      </w:pPr>
      <w:r w:rsidRPr="0063152E">
        <w:rPr>
          <w:color w:val="FF0000"/>
        </w:rPr>
        <w:t xml:space="preserve">l_y_gap = w_y_cons  * l_cons_gap + w_y_inv   * l_inv_gap + w_y_gdem  * l_gdem_gap + w_y_exp   * l_exp_gap - w_y_imp   * l_imp_gap  + shock_l_y_gap </w:t>
      </w:r>
    </w:p>
    <w:p w14:paraId="6C3D2FBF" w14:textId="4ACECF28" w:rsidR="00CB02D8" w:rsidRDefault="0063152E" w:rsidP="00CB02D8">
      <w:r>
        <w:t>S</w:t>
      </w:r>
      <w:r w:rsidR="00CB02D8">
        <w:t>ee also sum of trends, line 818 minecofin.model), which has no shock, as it is a definition</w:t>
      </w:r>
      <w:r>
        <w:t>.</w:t>
      </w:r>
    </w:p>
    <w:p w14:paraId="5A9FB5D1" w14:textId="63C89FE0" w:rsidR="00CB02D8" w:rsidRDefault="00CB02D8" w:rsidP="00CB02D8">
      <w:r w:rsidRPr="00CF13E9">
        <w:rPr>
          <w:b/>
          <w:bCs/>
        </w:rPr>
        <w:t>Weights of final demand in GDP</w:t>
      </w:r>
      <w:r>
        <w:t xml:space="preserve">. </w:t>
      </w:r>
      <w:r w:rsidR="00FA2FA3">
        <w:t>Is there a n</w:t>
      </w:r>
      <w:r>
        <w:t>eed for updating?</w:t>
      </w:r>
    </w:p>
    <w:p w14:paraId="3C0F02DF" w14:textId="704FDC5E" w:rsidR="00CB02D8" w:rsidRPr="00A27A24" w:rsidRDefault="00CB02D8" w:rsidP="0063152E">
      <w:pPr>
        <w:spacing w:after="120"/>
      </w:pPr>
      <w:r w:rsidRPr="00A27A24">
        <w:rPr>
          <w:b/>
          <w:bCs/>
        </w:rPr>
        <w:t>Foreign RIR</w:t>
      </w:r>
      <w:r>
        <w:rPr>
          <w:b/>
          <w:bCs/>
        </w:rPr>
        <w:t xml:space="preserve"> trend</w:t>
      </w:r>
      <w:r w:rsidRPr="00A27A24">
        <w:rPr>
          <w:b/>
          <w:bCs/>
        </w:rPr>
        <w:t>.</w:t>
      </w:r>
      <w:r>
        <w:t xml:space="preserve"> Should we change </w:t>
      </w:r>
      <w:r w:rsidRPr="0063152E">
        <w:rPr>
          <w:color w:val="FF0000"/>
        </w:rPr>
        <w:t xml:space="preserve">ss_rstar_tnd </w:t>
      </w:r>
      <w:r>
        <w:t>? (currently zero) as world interest rates are up</w:t>
      </w:r>
      <w:r w:rsidR="0063152E">
        <w:t xml:space="preserve">, as is our </w:t>
      </w:r>
      <w:r w:rsidR="0063152E" w:rsidRPr="0063152E">
        <w:rPr>
          <w:color w:val="FF0000"/>
        </w:rPr>
        <w:t>dbObs.obs_rstar_tnd    = hpf(100*log(1+db.rstar_US_cbo/100))</w:t>
      </w:r>
    </w:p>
    <w:p w14:paraId="26EDFDBB" w14:textId="22471769" w:rsidR="00FA2FA3" w:rsidRDefault="00CB02D8" w:rsidP="00CB02D8">
      <w:r w:rsidRPr="00053586">
        <w:rPr>
          <w:b/>
          <w:bCs/>
        </w:rPr>
        <w:t>Money demand</w:t>
      </w:r>
      <w:r>
        <w:t>. Our projection of money demand (auxiliary variable) is based on a real money demand as a positive function of the nominal interest rate (in deviation from its trend). However, the money block (Set II, handout 4) has real money demand (gap) as a negative function of the RIR (gap) (and the 2020 NBR/IMF paper has it as a negative function of the change in RIR trend).</w:t>
      </w:r>
    </w:p>
    <w:p w14:paraId="1C59E1B3" w14:textId="77777777" w:rsidR="00FA2FA3" w:rsidRDefault="00FA2FA3">
      <w:r>
        <w:br w:type="page"/>
      </w:r>
    </w:p>
    <w:p w14:paraId="667A3386" w14:textId="3F06741D" w:rsidR="00FA2FA3" w:rsidRPr="003710CD" w:rsidRDefault="00FA2FA3" w:rsidP="00FA2FA3">
      <w:pPr>
        <w:spacing w:after="120"/>
        <w:jc w:val="both"/>
        <w:rPr>
          <w:b/>
          <w:bCs/>
        </w:rPr>
      </w:pPr>
      <w:r w:rsidRPr="00FA2FA3">
        <w:rPr>
          <w:b/>
          <w:bCs/>
        </w:rPr>
        <w:lastRenderedPageBreak/>
        <w:t>Annex:</w:t>
      </w:r>
      <w:r>
        <w:t xml:space="preserve"> Example of </w:t>
      </w:r>
      <w:r w:rsidRPr="003710CD">
        <w:rPr>
          <w:b/>
          <w:bCs/>
        </w:rPr>
        <w:t>V</w:t>
      </w:r>
      <w:r>
        <w:rPr>
          <w:b/>
          <w:bCs/>
        </w:rPr>
        <w:t xml:space="preserve">ariance </w:t>
      </w:r>
      <w:r w:rsidRPr="003710CD">
        <w:rPr>
          <w:b/>
          <w:bCs/>
        </w:rPr>
        <w:t>D</w:t>
      </w:r>
      <w:r>
        <w:rPr>
          <w:b/>
          <w:bCs/>
        </w:rPr>
        <w:t>ecomposition (VD) and Forecast Error VD</w:t>
      </w:r>
    </w:p>
    <w:p w14:paraId="79178E64" w14:textId="5DCF13A7" w:rsidR="00FA2FA3" w:rsidRDefault="00FA2FA3" w:rsidP="00FA2FA3">
      <w:pPr>
        <w:spacing w:after="120"/>
        <w:jc w:val="both"/>
      </w:pPr>
      <w:r>
        <w:t xml:space="preserve">We understand that </w:t>
      </w:r>
      <w:r>
        <w:t>(</w:t>
      </w:r>
      <w:r>
        <w:t>f</w:t>
      </w:r>
      <w:r w:rsidRPr="00D565C4">
        <w:t>orecast error</w:t>
      </w:r>
      <w:r>
        <w:t xml:space="preserve">) </w:t>
      </w:r>
      <w:r w:rsidRPr="00D565C4">
        <w:t>variance decomposition</w:t>
      </w:r>
      <w:r>
        <w:t xml:space="preserve"> consists of</w:t>
      </w:r>
      <w:r w:rsidRPr="00D565C4">
        <w:t xml:space="preserve"> </w:t>
      </w:r>
      <w:r>
        <w:t xml:space="preserve">the </w:t>
      </w:r>
      <w:r w:rsidRPr="00D565C4">
        <w:t>absolute contributions</w:t>
      </w:r>
      <w:r>
        <w:t xml:space="preserve"> </w:t>
      </w:r>
      <w:r w:rsidRPr="00D565C4">
        <w:t xml:space="preserve">of </w:t>
      </w:r>
      <w:r>
        <w:t xml:space="preserve">the shocks that determine the variance of the variable under study, e.g., </w:t>
      </w:r>
      <w:r w:rsidRPr="00FA317F">
        <w:rPr>
          <w:color w:val="FF0000"/>
        </w:rPr>
        <w:t>l_rp_cpi_ener_gap</w:t>
      </w:r>
      <w:r>
        <w:t>.</w:t>
      </w:r>
    </w:p>
    <w:p w14:paraId="135200DE" w14:textId="17F6617A" w:rsidR="00FA2FA3" w:rsidRDefault="00FA2FA3" w:rsidP="00FA2FA3">
      <w:pPr>
        <w:spacing w:after="120"/>
        <w:jc w:val="both"/>
      </w:pPr>
      <w:r>
        <w:t xml:space="preserve">--Is the variance of </w:t>
      </w:r>
      <w:r w:rsidRPr="00FA317F">
        <w:rPr>
          <w:color w:val="FF0000"/>
        </w:rPr>
        <w:t xml:space="preserve">l_rp_cpi_ener_gap{t}, </w:t>
      </w:r>
      <w:r>
        <w:t>projected for each period {t}, a function of the SD of the shocks, and analytically derived? (i.e., not from simulation by drawing the shocks from their distributions)?</w:t>
      </w:r>
      <w:r>
        <w:t xml:space="preserve"> </w:t>
      </w:r>
    </w:p>
    <w:p w14:paraId="17BE960E" w14:textId="020DDFC7" w:rsidR="00FA2FA3" w:rsidRDefault="00FA2FA3" w:rsidP="00FA2FA3">
      <w:pPr>
        <w:spacing w:after="120"/>
        <w:jc w:val="both"/>
      </w:pPr>
      <w:r>
        <w:t>--Is this different for the VD in modelReport than for our FEVD example in Forecast_Error_calc (Dec 2022)</w:t>
      </w:r>
    </w:p>
    <w:p w14:paraId="058F5727" w14:textId="4CED74EF" w:rsidR="00FA2FA3" w:rsidRDefault="00FA2FA3" w:rsidP="00FA2FA3">
      <w:pPr>
        <w:spacing w:after="120"/>
        <w:jc w:val="both"/>
      </w:pPr>
      <w:r>
        <w:t xml:space="preserve">We understand that the blue line shows </w:t>
      </w:r>
      <w:r>
        <w:t>the</w:t>
      </w:r>
      <w:r>
        <w:t xml:space="preserve"> SD of </w:t>
      </w:r>
      <w:r w:rsidRPr="00FA317F">
        <w:rPr>
          <w:color w:val="FF0000"/>
        </w:rPr>
        <w:t xml:space="preserve">l_rp_cpi_ener_gap </w:t>
      </w:r>
      <w:r>
        <w:t>estimated from the data</w:t>
      </w:r>
      <w:r>
        <w:t>,</w:t>
      </w:r>
      <w:r>
        <w:t xml:space="preserve"> and the orange line is </w:t>
      </w:r>
      <w:r>
        <w:t xml:space="preserve">the projected SD </w:t>
      </w:r>
      <w:r>
        <w:t xml:space="preserve">calculated from </w:t>
      </w:r>
      <w:r>
        <w:t xml:space="preserve">the </w:t>
      </w:r>
      <w:r>
        <w:t xml:space="preserve">model SD of </w:t>
      </w:r>
      <w:r>
        <w:t xml:space="preserve">all </w:t>
      </w:r>
      <w:r>
        <w:t>shocks (</w:t>
      </w:r>
      <w:r w:rsidRPr="001561F1">
        <w:rPr>
          <w:i/>
          <w:iCs/>
        </w:rPr>
        <w:t>model-based cumulative asymptotic standard shocks</w:t>
      </w:r>
      <w:r>
        <w:t xml:space="preserve">). </w:t>
      </w:r>
    </w:p>
    <w:p w14:paraId="670F3241" w14:textId="77777777" w:rsidR="00FA2FA3" w:rsidRDefault="00FA2FA3" w:rsidP="00FA2FA3">
      <w:pPr>
        <w:spacing w:after="120"/>
        <w:jc w:val="both"/>
      </w:pPr>
      <w:r>
        <w:t>--Does the orange line represent cumulative shocks for all shocks (affecting the variable) or only the cumulative shocks specific to the variable?</w:t>
      </w:r>
    </w:p>
    <w:p w14:paraId="4D07E591" w14:textId="77777777" w:rsidR="00FA2FA3" w:rsidRDefault="00FA2FA3" w:rsidP="00FA2FA3">
      <w:pPr>
        <w:spacing w:after="120"/>
        <w:jc w:val="both"/>
      </w:pPr>
      <w:r>
        <w:t>--How to understand intuitively that the orange line stops increasing, typically from t=15?</w:t>
      </w:r>
    </w:p>
    <w:p w14:paraId="42FED27A" w14:textId="77777777" w:rsidR="00FA2FA3" w:rsidRDefault="00FA2FA3" w:rsidP="00FA2FA3">
      <w:pPr>
        <w:jc w:val="both"/>
      </w:pPr>
      <w:r>
        <w:t>--What to do if the initial and/or final (say t=20) difference between data- and model-based SD is large?</w:t>
      </w:r>
    </w:p>
    <w:p w14:paraId="474419F4" w14:textId="77777777" w:rsidR="00FA2FA3" w:rsidRDefault="00FA2FA3" w:rsidP="00FA2FA3">
      <w:pPr>
        <w:jc w:val="both"/>
      </w:pPr>
      <w:r>
        <w:t xml:space="preserve">--Why is the </w:t>
      </w:r>
      <w:r w:rsidRPr="001561F1">
        <w:rPr>
          <w:i/>
          <w:iCs/>
        </w:rPr>
        <w:t>initial</w:t>
      </w:r>
      <w:r>
        <w:t xml:space="preserve"> model-based SD typically </w:t>
      </w:r>
      <w:r>
        <w:rPr>
          <w:i/>
          <w:iCs/>
        </w:rPr>
        <w:t xml:space="preserve">lower than </w:t>
      </w:r>
      <w:r>
        <w:t>the data-based SD, then rises above it (for most variables in our model)?</w:t>
      </w:r>
    </w:p>
    <w:p w14:paraId="489154DC" w14:textId="47B638FB" w:rsidR="00BE618D" w:rsidRDefault="00FA2FA3" w:rsidP="0063152E">
      <w:pPr>
        <w:jc w:val="both"/>
      </w:pPr>
      <w:r w:rsidRPr="003C7C33">
        <w:drawing>
          <wp:inline distT="0" distB="0" distL="0" distR="0" wp14:anchorId="20FD3660" wp14:editId="3C6C312F">
            <wp:extent cx="5812829" cy="4582571"/>
            <wp:effectExtent l="0" t="0" r="0" b="8890"/>
            <wp:docPr id="29137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79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482" cy="458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18D" w:rsidSect="0063152E">
      <w:footerReference w:type="default" r:id="rId9"/>
      <w:pgSz w:w="12240" w:h="15840"/>
      <w:pgMar w:top="1080" w:right="1350" w:bottom="1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F3955F" w14:textId="77777777" w:rsidR="00351590" w:rsidRDefault="00351590" w:rsidP="00C23CB7">
      <w:pPr>
        <w:spacing w:after="0" w:line="240" w:lineRule="auto"/>
      </w:pPr>
      <w:r>
        <w:separator/>
      </w:r>
    </w:p>
  </w:endnote>
  <w:endnote w:type="continuationSeparator" w:id="0">
    <w:p w14:paraId="1D226A97" w14:textId="77777777" w:rsidR="00351590" w:rsidRDefault="00351590" w:rsidP="00C23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152702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CE4CD1" w14:textId="28D5086F" w:rsidR="00BE37E9" w:rsidRDefault="00BE37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860902" w14:textId="77777777" w:rsidR="00BE37E9" w:rsidRDefault="00BE37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33307F" w14:textId="77777777" w:rsidR="00351590" w:rsidRDefault="00351590" w:rsidP="00C23CB7">
      <w:pPr>
        <w:spacing w:after="0" w:line="240" w:lineRule="auto"/>
      </w:pPr>
      <w:r>
        <w:separator/>
      </w:r>
    </w:p>
  </w:footnote>
  <w:footnote w:type="continuationSeparator" w:id="0">
    <w:p w14:paraId="463A428A" w14:textId="77777777" w:rsidR="00351590" w:rsidRDefault="00351590" w:rsidP="00C23CB7">
      <w:pPr>
        <w:spacing w:after="0" w:line="240" w:lineRule="auto"/>
      </w:pPr>
      <w:r>
        <w:continuationSeparator/>
      </w:r>
    </w:p>
  </w:footnote>
  <w:footnote w:id="1">
    <w:p w14:paraId="0C5E63AE" w14:textId="77777777" w:rsidR="00CB02D8" w:rsidRPr="0063152E" w:rsidRDefault="00CB02D8" w:rsidP="00CB02D8">
      <w:pPr>
        <w:pStyle w:val="FootnoteText"/>
        <w:rPr>
          <w:sz w:val="18"/>
          <w:szCs w:val="18"/>
        </w:rPr>
      </w:pPr>
      <w:r w:rsidRPr="0063152E">
        <w:rPr>
          <w:rStyle w:val="FootnoteReference"/>
          <w:sz w:val="18"/>
          <w:szCs w:val="18"/>
        </w:rPr>
        <w:footnoteRef/>
      </w:r>
      <w:r w:rsidRPr="0063152E">
        <w:rPr>
          <w:sz w:val="18"/>
          <w:szCs w:val="18"/>
        </w:rPr>
        <w:t xml:space="preserve"> Similarly for the CPI as weighted sum of CPI components, l. 721.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F252C"/>
    <w:multiLevelType w:val="hybridMultilevel"/>
    <w:tmpl w:val="8592BC4A"/>
    <w:lvl w:ilvl="0" w:tplc="9C8C32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E4EDE"/>
    <w:multiLevelType w:val="hybridMultilevel"/>
    <w:tmpl w:val="68D058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F145B"/>
    <w:multiLevelType w:val="hybridMultilevel"/>
    <w:tmpl w:val="68D058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425072"/>
    <w:multiLevelType w:val="hybridMultilevel"/>
    <w:tmpl w:val="55609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A126E"/>
    <w:multiLevelType w:val="hybridMultilevel"/>
    <w:tmpl w:val="44F87210"/>
    <w:lvl w:ilvl="0" w:tplc="E978539A">
      <w:start w:val="1"/>
      <w:numFmt w:val="lowerLetter"/>
      <w:lvlText w:val="%1."/>
      <w:lvlJc w:val="left"/>
      <w:pPr>
        <w:ind w:left="504" w:hanging="288"/>
      </w:pPr>
      <w:rPr>
        <w:rFonts w:ascii="Times New Roman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594397">
    <w:abstractNumId w:val="0"/>
  </w:num>
  <w:num w:numId="2" w16cid:durableId="1536966445">
    <w:abstractNumId w:val="4"/>
  </w:num>
  <w:num w:numId="3" w16cid:durableId="498236265">
    <w:abstractNumId w:val="2"/>
  </w:num>
  <w:num w:numId="4" w16cid:durableId="1676030572">
    <w:abstractNumId w:val="1"/>
  </w:num>
  <w:num w:numId="5" w16cid:durableId="1906448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29D"/>
    <w:rsid w:val="00050A33"/>
    <w:rsid w:val="00053586"/>
    <w:rsid w:val="0006286F"/>
    <w:rsid w:val="000B1987"/>
    <w:rsid w:val="000E5D67"/>
    <w:rsid w:val="000F5B76"/>
    <w:rsid w:val="001C127B"/>
    <w:rsid w:val="00201FCF"/>
    <w:rsid w:val="0022477E"/>
    <w:rsid w:val="00224B59"/>
    <w:rsid w:val="00342E26"/>
    <w:rsid w:val="00351590"/>
    <w:rsid w:val="0040158A"/>
    <w:rsid w:val="00442FE7"/>
    <w:rsid w:val="00453F0C"/>
    <w:rsid w:val="004E6BC2"/>
    <w:rsid w:val="00522025"/>
    <w:rsid w:val="00531F54"/>
    <w:rsid w:val="0063152E"/>
    <w:rsid w:val="006356AD"/>
    <w:rsid w:val="006F2C8F"/>
    <w:rsid w:val="00754B9E"/>
    <w:rsid w:val="007E38AB"/>
    <w:rsid w:val="00865AAE"/>
    <w:rsid w:val="008B1F3B"/>
    <w:rsid w:val="009E2074"/>
    <w:rsid w:val="00A27A24"/>
    <w:rsid w:val="00A401BB"/>
    <w:rsid w:val="00A537A1"/>
    <w:rsid w:val="00AD6DBD"/>
    <w:rsid w:val="00B7729D"/>
    <w:rsid w:val="00B9556A"/>
    <w:rsid w:val="00BA01EE"/>
    <w:rsid w:val="00BB2010"/>
    <w:rsid w:val="00BE37E9"/>
    <w:rsid w:val="00BE618D"/>
    <w:rsid w:val="00C23CB7"/>
    <w:rsid w:val="00CB02D8"/>
    <w:rsid w:val="00CC1856"/>
    <w:rsid w:val="00CF13E9"/>
    <w:rsid w:val="00E06F67"/>
    <w:rsid w:val="00ED47D3"/>
    <w:rsid w:val="00F3212C"/>
    <w:rsid w:val="00FA2FA3"/>
    <w:rsid w:val="00FE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A1A24"/>
  <w15:chartTrackingRefBased/>
  <w15:docId w15:val="{B6322A59-A18B-4EDA-9893-8BC5D59B1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29D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23CB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23CB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23CB7"/>
    <w:rPr>
      <w:vertAlign w:val="superscript"/>
    </w:rPr>
  </w:style>
  <w:style w:type="paragraph" w:styleId="NormalWeb">
    <w:name w:val="Normal (Web)"/>
    <w:basedOn w:val="Normal"/>
    <w:uiPriority w:val="99"/>
    <w:unhideWhenUsed/>
    <w:rsid w:val="00BB2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E37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7E9"/>
  </w:style>
  <w:style w:type="paragraph" w:styleId="Footer">
    <w:name w:val="footer"/>
    <w:basedOn w:val="Normal"/>
    <w:link w:val="FooterChar"/>
    <w:uiPriority w:val="99"/>
    <w:unhideWhenUsed/>
    <w:rsid w:val="00BE37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0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61720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303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79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5159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8354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6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9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98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38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26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256529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81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9248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48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77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7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742481">
                                                  <w:blockQuote w:val="1"/>
                                                  <w:marLeft w:val="96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6" w:color="CCCCCC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99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76099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05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927474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92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229588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820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831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8701443">
                                                                                      <w:blockQuote w:val="1"/>
                                                                                      <w:marLeft w:val="720"/>
                                                                                      <w:marRight w:val="72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7273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6119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6210332">
                                                                                                  <w:blockQuote w:val="1"/>
                                                                                                  <w:marLeft w:val="720"/>
                                                                                                  <w:marRight w:val="72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52538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5486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63978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4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0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9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02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429768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42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890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6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4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8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652245">
                                                  <w:blockQuote w:val="1"/>
                                                  <w:marLeft w:val="96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6" w:color="CCCCCC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5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41971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1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953374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964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553397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513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535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549364">
                                                                                      <w:blockQuote w:val="1"/>
                                                                                      <w:marLeft w:val="720"/>
                                                                                      <w:marRight w:val="72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3475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251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6159779">
                                                                                                  <w:blockQuote w:val="1"/>
                                                                                                  <w:marLeft w:val="720"/>
                                                                                                  <w:marRight w:val="72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6870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36027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73629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45215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5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5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1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3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906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8647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5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47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63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22662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21157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8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0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34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63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333183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643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5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8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874590">
                                                  <w:blockQuote w:val="1"/>
                                                  <w:marLeft w:val="96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6" w:color="CCCCCC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02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6460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810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715508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894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933329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338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701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914416">
                                                                                      <w:blockQuote w:val="1"/>
                                                                                      <w:marLeft w:val="720"/>
                                                                                      <w:marRight w:val="72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5459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5712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7303061">
                                                                                                  <w:blockQuote w:val="1"/>
                                                                                                  <w:marLeft w:val="720"/>
                                                                                                  <w:marRight w:val="72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28509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1412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6315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7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4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13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09108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65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6996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36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8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51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80421">
                                                  <w:blockQuote w:val="1"/>
                                                  <w:marLeft w:val="96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6" w:color="CCCCCC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9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29412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190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857255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25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55928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617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449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0886783">
                                                                                      <w:blockQuote w:val="1"/>
                                                                                      <w:marLeft w:val="720"/>
                                                                                      <w:marRight w:val="72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2423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8089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1206541">
                                                                                                  <w:blockQuote w:val="1"/>
                                                                                                  <w:marLeft w:val="720"/>
                                                                                                  <w:marRight w:val="72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4880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8413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15744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111482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9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0CEBA-6308-4376-8543-0FE2129F3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3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arend Kouwenaar</dc:creator>
  <cp:keywords/>
  <dc:description/>
  <cp:lastModifiedBy>arend Kouwenaar</cp:lastModifiedBy>
  <cp:revision>18</cp:revision>
  <cp:lastPrinted>2024-11-16T11:58:00Z</cp:lastPrinted>
  <dcterms:created xsi:type="dcterms:W3CDTF">2024-11-14T05:20:00Z</dcterms:created>
  <dcterms:modified xsi:type="dcterms:W3CDTF">2024-11-16T12:02:00Z</dcterms:modified>
</cp:coreProperties>
</file>