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03BFA" w14:textId="6FAB0701" w:rsidR="0090458A" w:rsidRPr="0090458A" w:rsidRDefault="0090458A" w:rsidP="00970470">
      <w:pPr>
        <w:spacing w:after="240"/>
        <w:rPr>
          <w:b/>
          <w:bCs/>
          <w:sz w:val="24"/>
          <w:szCs w:val="24"/>
        </w:rPr>
      </w:pPr>
      <w:r w:rsidRPr="0090458A">
        <w:rPr>
          <w:b/>
          <w:bCs/>
          <w:sz w:val="24"/>
          <w:szCs w:val="24"/>
        </w:rPr>
        <w:t>Quarterly Macro Fiscal Outlook</w:t>
      </w:r>
      <w:r w:rsidR="006E7C54" w:rsidRPr="006E7C54">
        <w:rPr>
          <w:sz w:val="24"/>
          <w:szCs w:val="24"/>
        </w:rPr>
        <w:t>─</w:t>
      </w:r>
      <w:r w:rsidRPr="0090458A">
        <w:rPr>
          <w:b/>
          <w:bCs/>
          <w:sz w:val="24"/>
          <w:szCs w:val="24"/>
        </w:rPr>
        <w:t xml:space="preserve">Sept 2024 Forecast: </w:t>
      </w:r>
      <w:r w:rsidR="0079798A">
        <w:rPr>
          <w:b/>
          <w:bCs/>
          <w:sz w:val="24"/>
          <w:szCs w:val="24"/>
        </w:rPr>
        <w:t>S</w:t>
      </w:r>
      <w:r w:rsidRPr="0090458A">
        <w:rPr>
          <w:b/>
          <w:bCs/>
          <w:sz w:val="24"/>
          <w:szCs w:val="24"/>
        </w:rPr>
        <w:t>ummary</w:t>
      </w:r>
      <w:r w:rsidR="0079798A">
        <w:rPr>
          <w:b/>
          <w:bCs/>
          <w:sz w:val="24"/>
          <w:szCs w:val="24"/>
        </w:rPr>
        <w:t xml:space="preserve"> </w:t>
      </w:r>
      <w:r w:rsidRPr="0090458A">
        <w:rPr>
          <w:b/>
          <w:bCs/>
          <w:sz w:val="24"/>
          <w:szCs w:val="24"/>
        </w:rPr>
        <w:t xml:space="preserve">input </w:t>
      </w:r>
      <w:r w:rsidR="0079798A">
        <w:rPr>
          <w:b/>
          <w:bCs/>
          <w:sz w:val="24"/>
          <w:szCs w:val="24"/>
        </w:rPr>
        <w:t xml:space="preserve">for </w:t>
      </w:r>
      <w:r w:rsidRPr="0090458A">
        <w:rPr>
          <w:b/>
          <w:bCs/>
          <w:sz w:val="24"/>
          <w:szCs w:val="24"/>
        </w:rPr>
        <w:t>intMF</w:t>
      </w:r>
      <w:r w:rsidR="0079798A">
        <w:rPr>
          <w:b/>
          <w:bCs/>
          <w:sz w:val="24"/>
          <w:szCs w:val="24"/>
        </w:rPr>
        <w:t xml:space="preserve"> </w:t>
      </w:r>
      <w:r w:rsidR="0079798A" w:rsidRPr="006E7C54">
        <w:rPr>
          <w:b/>
          <w:bCs/>
          <w:sz w:val="18"/>
          <w:szCs w:val="18"/>
        </w:rPr>
        <w:t>(</w:t>
      </w:r>
      <w:r w:rsidR="006E7C54" w:rsidRPr="006E7C54">
        <w:rPr>
          <w:b/>
          <w:bCs/>
          <w:sz w:val="18"/>
          <w:szCs w:val="18"/>
        </w:rPr>
        <w:t>Dec</w:t>
      </w:r>
      <w:r w:rsidR="0079798A" w:rsidRPr="006E7C54">
        <w:rPr>
          <w:b/>
          <w:bCs/>
          <w:sz w:val="18"/>
          <w:szCs w:val="18"/>
        </w:rPr>
        <w:t>.7</w:t>
      </w:r>
      <w:r w:rsidR="006E7C54" w:rsidRPr="006E7C54">
        <w:rPr>
          <w:b/>
          <w:bCs/>
          <w:sz w:val="18"/>
          <w:szCs w:val="18"/>
        </w:rPr>
        <w:t>, 2024</w:t>
      </w:r>
      <w:r w:rsidR="0079798A" w:rsidRPr="006E7C54">
        <w:rPr>
          <w:b/>
          <w:bCs/>
          <w:sz w:val="18"/>
          <w:szCs w:val="18"/>
        </w:rPr>
        <w:t>)</w:t>
      </w:r>
    </w:p>
    <w:p w14:paraId="6E3373DF" w14:textId="4FA26B9A" w:rsidR="0057655E" w:rsidRDefault="0090458A" w:rsidP="00992EC3">
      <w:pPr>
        <w:spacing w:after="120"/>
      </w:pPr>
      <w:r w:rsidRPr="0090458A">
        <w:rPr>
          <w:b/>
          <w:bCs/>
        </w:rPr>
        <w:t xml:space="preserve">1. </w:t>
      </w:r>
      <w:r w:rsidR="007A4AE2">
        <w:rPr>
          <w:b/>
          <w:bCs/>
        </w:rPr>
        <w:t xml:space="preserve">real </w:t>
      </w:r>
      <w:r w:rsidRPr="0090458A">
        <w:rPr>
          <w:b/>
          <w:bCs/>
        </w:rPr>
        <w:t>GDP </w:t>
      </w:r>
      <w:r w:rsidR="008C72C7" w:rsidRPr="007A4AE2">
        <w:t>is fo</w:t>
      </w:r>
      <w:r w:rsidR="007A4AE2">
        <w:t xml:space="preserve">recast </w:t>
      </w:r>
      <w:r w:rsidR="008C72C7" w:rsidRPr="007A4AE2">
        <w:t>to</w:t>
      </w:r>
      <w:r w:rsidR="008C72C7">
        <w:rPr>
          <w:b/>
          <w:bCs/>
        </w:rPr>
        <w:t xml:space="preserve"> </w:t>
      </w:r>
      <w:r w:rsidRPr="0090458A">
        <w:t>slow</w:t>
      </w:r>
      <w:r w:rsidR="007A4AE2">
        <w:t xml:space="preserve"> </w:t>
      </w:r>
      <w:r w:rsidRPr="0090458A">
        <w:t>down</w:t>
      </w:r>
      <w:r w:rsidR="008C72C7">
        <w:t xml:space="preserve"> markedly in 2025-26</w:t>
      </w:r>
      <w:r w:rsidR="007A4AE2">
        <w:t xml:space="preserve">, well </w:t>
      </w:r>
      <w:r w:rsidRPr="0090458A">
        <w:t>below potential</w:t>
      </w:r>
      <w:r w:rsidR="007A4AE2">
        <w:t xml:space="preserve"> growth, </w:t>
      </w:r>
      <w:r w:rsidRPr="0090458A">
        <w:t xml:space="preserve">followed by </w:t>
      </w:r>
      <w:r w:rsidR="007A4AE2">
        <w:t xml:space="preserve">a </w:t>
      </w:r>
      <w:r w:rsidR="00005090">
        <w:t>catch-up</w:t>
      </w:r>
      <w:r w:rsidR="007A4AE2">
        <w:t xml:space="preserve"> (a bit above potential) in 2027-28</w:t>
      </w:r>
      <w:r w:rsidRPr="0090458A">
        <w:t xml:space="preserve">, </w:t>
      </w:r>
      <w:r w:rsidR="007A4AE2">
        <w:t>before</w:t>
      </w:r>
      <w:r w:rsidRPr="0090458A">
        <w:t xml:space="preserve"> return</w:t>
      </w:r>
      <w:r w:rsidR="007A4AE2">
        <w:t xml:space="preserve">ing </w:t>
      </w:r>
      <w:r w:rsidRPr="0090458A">
        <w:t>t</w:t>
      </w:r>
      <w:r w:rsidR="007A4AE2">
        <w:t xml:space="preserve">o </w:t>
      </w:r>
      <w:r w:rsidRPr="0090458A">
        <w:t>the</w:t>
      </w:r>
      <w:r w:rsidR="007A4AE2">
        <w:t xml:space="preserve"> r</w:t>
      </w:r>
      <w:r w:rsidRPr="0090458A">
        <w:t>egular growth path of 7</w:t>
      </w:r>
      <w:r w:rsidR="00DB3E8B">
        <w:t>½</w:t>
      </w:r>
      <w:r w:rsidRPr="0090458A">
        <w:t>%</w:t>
      </w:r>
      <w:r w:rsidR="007A4AE2">
        <w:t xml:space="preserve">. </w:t>
      </w:r>
    </w:p>
    <w:p w14:paraId="62D23E24" w14:textId="7825D50B" w:rsidR="000B217A" w:rsidRDefault="007A4AE2" w:rsidP="00DC1D53">
      <w:pPr>
        <w:spacing w:after="120"/>
      </w:pPr>
      <w:r>
        <w:t xml:space="preserve">GDP growth in 2024 is </w:t>
      </w:r>
      <w:r w:rsidR="000B217A">
        <w:t xml:space="preserve">forecast at </w:t>
      </w:r>
      <w:r>
        <w:t xml:space="preserve">8% despite </w:t>
      </w:r>
      <w:r w:rsidR="000B217A">
        <w:t>a</w:t>
      </w:r>
      <w:r>
        <w:t xml:space="preserve"> slowdown to 5% in </w:t>
      </w:r>
      <w:r w:rsidR="00D20CF9">
        <w:t xml:space="preserve">the </w:t>
      </w:r>
      <w:r>
        <w:t>last Q, given</w:t>
      </w:r>
      <w:r w:rsidR="000B217A">
        <w:t xml:space="preserve"> robustness earlier in 2024.</w:t>
      </w:r>
      <w:r w:rsidR="0057655E">
        <w:t xml:space="preserve"> </w:t>
      </w:r>
      <w:r w:rsidR="000B217A">
        <w:t xml:space="preserve">Growth so far in 2024 was helped by still low RIR </w:t>
      </w:r>
      <w:r w:rsidR="00DC1D53">
        <w:t xml:space="preserve">(see 6.) </w:t>
      </w:r>
      <w:r w:rsidR="000B217A">
        <w:t xml:space="preserve">and </w:t>
      </w:r>
      <w:r w:rsidR="00D20CF9">
        <w:t xml:space="preserve">still </w:t>
      </w:r>
      <w:r w:rsidR="000B217A">
        <w:t>modest fiscal restraint.</w:t>
      </w:r>
    </w:p>
    <w:tbl>
      <w:tblPr>
        <w:tblStyle w:val="TableGrid"/>
        <w:tblW w:w="10584" w:type="dxa"/>
        <w:tblLook w:val="04A0" w:firstRow="1" w:lastRow="0" w:firstColumn="1" w:lastColumn="0" w:noHBand="0" w:noVBand="1"/>
      </w:tblPr>
      <w:tblGrid>
        <w:gridCol w:w="3492"/>
        <w:gridCol w:w="4386"/>
        <w:gridCol w:w="2706"/>
      </w:tblGrid>
      <w:tr w:rsidR="00324F75" w14:paraId="37D3D4D6" w14:textId="77777777" w:rsidTr="00005090">
        <w:trPr>
          <w:trHeight w:val="3446"/>
        </w:trPr>
        <w:tc>
          <w:tcPr>
            <w:tcW w:w="3825" w:type="dxa"/>
          </w:tcPr>
          <w:p w14:paraId="446105BD" w14:textId="77777777" w:rsidR="00324F75" w:rsidRDefault="00324F75" w:rsidP="00324F75">
            <w:r>
              <w:t xml:space="preserve">The </w:t>
            </w:r>
            <w:r w:rsidRPr="0090458A">
              <w:t>slowdown</w:t>
            </w:r>
            <w:r>
              <w:t xml:space="preserve"> in 2025-26 is driven by</w:t>
            </w:r>
            <w:r w:rsidRPr="0090458A">
              <w:t xml:space="preserve">: </w:t>
            </w:r>
          </w:p>
          <w:p w14:paraId="59260F1B" w14:textId="77777777" w:rsidR="00324F75" w:rsidRDefault="00324F75" w:rsidP="00324F75">
            <w:pPr>
              <w:pStyle w:val="ListParagraph"/>
              <w:numPr>
                <w:ilvl w:val="0"/>
                <w:numId w:val="1"/>
              </w:numPr>
            </w:pPr>
            <w:r w:rsidRPr="0090458A">
              <w:t xml:space="preserve">contractionary effect </w:t>
            </w:r>
            <w:r>
              <w:t xml:space="preserve">of strong </w:t>
            </w:r>
            <w:r w:rsidRPr="0090458A">
              <w:t>fiscal consolidation</w:t>
            </w:r>
            <w:r>
              <w:t>, both directly as govt demand for G&amp;S falls, and in</w:t>
            </w:r>
            <w:r w:rsidRPr="0090458A">
              <w:t>direct</w:t>
            </w:r>
            <w:r>
              <w:t>ly through the negative fiscal impulse on private demand</w:t>
            </w:r>
          </w:p>
          <w:p w14:paraId="241E6AC8" w14:textId="77777777" w:rsidR="00324F75" w:rsidRDefault="00324F75" w:rsidP="00324F75">
            <w:pPr>
              <w:pStyle w:val="ListParagraph"/>
              <w:numPr>
                <w:ilvl w:val="0"/>
                <w:numId w:val="1"/>
              </w:numPr>
            </w:pPr>
            <w:r>
              <w:t>negative</w:t>
            </w:r>
            <w:r w:rsidRPr="0090458A">
              <w:t xml:space="preserve"> impact on demand of increased RIR </w:t>
            </w:r>
            <w:r>
              <w:t>and real lending rates returning to normal (see 6.)</w:t>
            </w:r>
          </w:p>
          <w:p w14:paraId="2D1769AC" w14:textId="29894876" w:rsidR="00324F75" w:rsidRDefault="00324F75" w:rsidP="00324F75">
            <w:pPr>
              <w:pStyle w:val="ListParagraph"/>
              <w:numPr>
                <w:ilvl w:val="0"/>
                <w:numId w:val="1"/>
              </w:numPr>
              <w:spacing w:after="120"/>
            </w:pPr>
            <w:r>
              <w:t>slightly offsetting positive, but lagged effect on net exports of recent &amp; ongoing RER depreciation</w:t>
            </w:r>
          </w:p>
        </w:tc>
        <w:tc>
          <w:tcPr>
            <w:tcW w:w="3231" w:type="dxa"/>
          </w:tcPr>
          <w:p w14:paraId="475BEB7A" w14:textId="18E28412" w:rsidR="007E38A9" w:rsidRPr="007E38A9" w:rsidRDefault="007E38A9" w:rsidP="007E38A9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 xml:space="preserve">      </w:t>
            </w:r>
            <w:r w:rsidR="00324F75">
              <w:rPr>
                <w:b/>
                <w:bCs/>
              </w:rPr>
              <w:t>Chart 1</w:t>
            </w:r>
            <w:r>
              <w:rPr>
                <w:b/>
                <w:bCs/>
              </w:rPr>
              <w:t>a</w:t>
            </w:r>
            <w:r w:rsidR="00324F75">
              <w:rPr>
                <w:b/>
                <w:bCs/>
              </w:rPr>
              <w:t xml:space="preserve">. </w:t>
            </w:r>
            <w:r w:rsidR="00324F75" w:rsidRPr="007E38A9">
              <w:rPr>
                <w:b/>
                <w:bCs/>
              </w:rPr>
              <w:t>GDP</w:t>
            </w:r>
            <w:r w:rsidRPr="007E38A9">
              <w:rPr>
                <w:b/>
                <w:bCs/>
              </w:rPr>
              <w:t xml:space="preserve">, </w:t>
            </w:r>
            <w:r w:rsidR="00324F75" w:rsidRPr="007E38A9">
              <w:rPr>
                <w:b/>
                <w:bCs/>
                <w:sz w:val="20"/>
                <w:szCs w:val="20"/>
              </w:rPr>
              <w:t>y-on-y</w:t>
            </w:r>
            <w:r w:rsidRPr="007E38A9">
              <w:rPr>
                <w:b/>
                <w:bCs/>
                <w:sz w:val="20"/>
                <w:szCs w:val="20"/>
              </w:rPr>
              <w:t xml:space="preserve"> gro</w:t>
            </w:r>
            <w:r>
              <w:rPr>
                <w:b/>
                <w:bCs/>
                <w:sz w:val="20"/>
                <w:szCs w:val="20"/>
              </w:rPr>
              <w:t>wth in %</w:t>
            </w:r>
          </w:p>
          <w:p w14:paraId="32D0E229" w14:textId="43EDB8DC" w:rsidR="00324F75" w:rsidRDefault="00324F75" w:rsidP="007E38A9">
            <w:r w:rsidRPr="00F6293C">
              <w:rPr>
                <w:i/>
                <w:iCs/>
                <w:sz w:val="18"/>
                <w:szCs w:val="18"/>
              </w:rPr>
              <w:t>GDP growth below trend 2025-26</w:t>
            </w:r>
            <w:r w:rsidR="007E38A9">
              <w:rPr>
                <w:i/>
                <w:iCs/>
                <w:sz w:val="18"/>
                <w:szCs w:val="18"/>
              </w:rPr>
              <w:t>, pick-up in 2027…</w:t>
            </w:r>
            <w:r>
              <w:t xml:space="preserve">  </w:t>
            </w:r>
            <w:r w:rsidRPr="002814A5">
              <w:rPr>
                <w:b/>
                <w:bCs/>
                <w:noProof/>
              </w:rPr>
              <w:drawing>
                <wp:inline distT="0" distB="0" distL="0" distR="0" wp14:anchorId="1023AA4D" wp14:editId="0E4126FB">
                  <wp:extent cx="2196885" cy="1847215"/>
                  <wp:effectExtent l="0" t="0" r="0" b="635"/>
                  <wp:docPr id="531728372" name="Picture 1" descr="A graph with orange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807765" name="Picture 1" descr="A graph with orange line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451" cy="1857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8" w:type="dxa"/>
          </w:tcPr>
          <w:p w14:paraId="763DB19D" w14:textId="01DA67E8" w:rsidR="00324F75" w:rsidRDefault="00324F75" w:rsidP="00324F75">
            <w:pPr>
              <w:spacing w:after="120"/>
            </w:pPr>
          </w:p>
        </w:tc>
      </w:tr>
      <w:tr w:rsidR="00324F75" w14:paraId="5E3ADD02" w14:textId="77777777" w:rsidTr="00005090">
        <w:trPr>
          <w:trHeight w:val="3593"/>
        </w:trPr>
        <w:tc>
          <w:tcPr>
            <w:tcW w:w="3825" w:type="dxa"/>
          </w:tcPr>
          <w:p w14:paraId="59CFAF2F" w14:textId="77777777" w:rsidR="00324F75" w:rsidRDefault="00324F75" w:rsidP="00324F75">
            <w:r>
              <w:t>The catch up in 2027-28 is driven by</w:t>
            </w:r>
            <w:r w:rsidRPr="0090458A">
              <w:t xml:space="preserve">:  </w:t>
            </w:r>
          </w:p>
          <w:p w14:paraId="0F807FC9" w14:textId="77777777" w:rsidR="00324F75" w:rsidRDefault="00324F75" w:rsidP="00324F75">
            <w:pPr>
              <w:pStyle w:val="ListParagraph"/>
              <w:numPr>
                <w:ilvl w:val="0"/>
                <w:numId w:val="1"/>
              </w:numPr>
            </w:pPr>
            <w:r w:rsidRPr="0090458A">
              <w:t xml:space="preserve">end of fiscal consolidation, </w:t>
            </w:r>
            <w:r>
              <w:t xml:space="preserve">the </w:t>
            </w:r>
            <w:r w:rsidRPr="0090458A">
              <w:t>negative fiscal impulse stops</w:t>
            </w:r>
          </w:p>
          <w:p w14:paraId="4FB2F01A" w14:textId="77777777" w:rsidR="00324F75" w:rsidRDefault="00324F75" w:rsidP="00324F75">
            <w:pPr>
              <w:pStyle w:val="ListParagraph"/>
              <w:numPr>
                <w:ilvl w:val="0"/>
                <w:numId w:val="1"/>
              </w:numPr>
            </w:pPr>
            <w:r>
              <w:t xml:space="preserve">end of increase and start of slight decrease in </w:t>
            </w:r>
            <w:r w:rsidRPr="0090458A">
              <w:t>RIR</w:t>
            </w:r>
            <w:r>
              <w:t xml:space="preserve"> and real lending rates </w:t>
            </w:r>
          </w:p>
          <w:p w14:paraId="1EB1E41F" w14:textId="77777777" w:rsidR="00324F75" w:rsidRPr="0090458A" w:rsidRDefault="00324F75" w:rsidP="00324F75">
            <w:pPr>
              <w:pStyle w:val="ListParagraph"/>
              <w:numPr>
                <w:ilvl w:val="0"/>
                <w:numId w:val="1"/>
              </w:numPr>
              <w:spacing w:after="120"/>
            </w:pPr>
            <w:r w:rsidRPr="0090458A">
              <w:t>positiv</w:t>
            </w:r>
            <w:r>
              <w:t>e</w:t>
            </w:r>
            <w:r w:rsidRPr="0090458A">
              <w:t xml:space="preserve"> impact of </w:t>
            </w:r>
            <w:r>
              <w:t xml:space="preserve">more depreciated </w:t>
            </w:r>
            <w:r w:rsidRPr="0090458A">
              <w:t xml:space="preserve">RER </w:t>
            </w:r>
            <w:r>
              <w:t>(some undervaluation)</w:t>
            </w:r>
            <w:r w:rsidRPr="0090458A">
              <w:t xml:space="preserve">         </w:t>
            </w:r>
          </w:p>
          <w:p w14:paraId="6AF66D0C" w14:textId="77777777" w:rsidR="00324F75" w:rsidRDefault="00324F75" w:rsidP="00324F75"/>
        </w:tc>
        <w:tc>
          <w:tcPr>
            <w:tcW w:w="3231" w:type="dxa"/>
          </w:tcPr>
          <w:p w14:paraId="6DCB9D6A" w14:textId="075AB172" w:rsidR="00324F75" w:rsidRDefault="007E38A9" w:rsidP="00324F75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 xml:space="preserve">      Chart 1b. GDP </w:t>
            </w:r>
            <w:r w:rsidRPr="002814A5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 xml:space="preserve">log(level) vis-a-vis </w:t>
            </w:r>
            <w:r w:rsidRPr="007E38A9">
              <w:rPr>
                <w:b/>
                <w:bCs/>
                <w:color w:val="BF4E14" w:themeColor="accent2" w:themeShade="BF"/>
                <w:sz w:val="20"/>
                <w:szCs w:val="20"/>
              </w:rPr>
              <w:t>trend</w:t>
            </w:r>
            <w:r w:rsidRPr="002814A5">
              <w:rPr>
                <w:b/>
                <w:bCs/>
                <w:sz w:val="20"/>
                <w:szCs w:val="20"/>
              </w:rPr>
              <w:t>)</w:t>
            </w:r>
          </w:p>
          <w:p w14:paraId="172D5293" w14:textId="6383179A" w:rsidR="007E38A9" w:rsidRDefault="007E38A9" w:rsidP="00324F75">
            <w:pPr>
              <w:spacing w:after="120"/>
            </w:pPr>
            <w:r>
              <w:rPr>
                <w:i/>
                <w:iCs/>
                <w:sz w:val="18"/>
                <w:szCs w:val="18"/>
              </w:rPr>
              <w:t>…and by 2028 return to trend</w:t>
            </w:r>
          </w:p>
          <w:p w14:paraId="79CA9912" w14:textId="326D1399" w:rsidR="007E38A9" w:rsidRDefault="007E38A9" w:rsidP="00324F75">
            <w:pPr>
              <w:spacing w:after="120"/>
            </w:pPr>
            <w:r w:rsidRPr="007E38A9">
              <w:rPr>
                <w:noProof/>
              </w:rPr>
              <w:drawing>
                <wp:inline distT="0" distB="0" distL="0" distR="0" wp14:anchorId="1D95A954" wp14:editId="4A8AABCC">
                  <wp:extent cx="2643505" cy="1792000"/>
                  <wp:effectExtent l="0" t="0" r="4445" b="0"/>
                  <wp:docPr id="1025719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7190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161" cy="180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8" w:type="dxa"/>
          </w:tcPr>
          <w:p w14:paraId="0AC2621E" w14:textId="1280FF30" w:rsidR="00324F75" w:rsidRDefault="00324F75" w:rsidP="00324F75">
            <w:pPr>
              <w:spacing w:after="120"/>
            </w:pPr>
          </w:p>
        </w:tc>
      </w:tr>
      <w:tr w:rsidR="003D1A9E" w14:paraId="20F93F17" w14:textId="77777777" w:rsidTr="00005090">
        <w:trPr>
          <w:trHeight w:val="382"/>
        </w:trPr>
        <w:tc>
          <w:tcPr>
            <w:tcW w:w="7056" w:type="dxa"/>
            <w:gridSpan w:val="2"/>
          </w:tcPr>
          <w:p w14:paraId="5E719E53" w14:textId="55F46A09" w:rsidR="003D1A9E" w:rsidRDefault="003D1A9E" w:rsidP="003D1A9E">
            <w:pPr>
              <w:spacing w:after="120"/>
            </w:pPr>
            <w:r>
              <w:rPr>
                <w:b/>
                <w:bCs/>
                <w:color w:val="3A7C22" w:themeColor="accent6" w:themeShade="BF"/>
              </w:rPr>
              <w:t xml:space="preserve">Input for </w:t>
            </w:r>
            <w:r w:rsidRPr="00324F75">
              <w:rPr>
                <w:b/>
                <w:bCs/>
                <w:color w:val="3A7C22" w:themeColor="accent6" w:themeShade="BF"/>
              </w:rPr>
              <w:t>intMF projection</w:t>
            </w:r>
            <w:r>
              <w:t xml:space="preserve"> </w:t>
            </w:r>
            <w:r w:rsidRPr="00575854">
              <w:rPr>
                <w:b/>
                <w:bCs/>
                <w:color w:val="3A7C22" w:themeColor="accent6" w:themeShade="BF"/>
              </w:rPr>
              <w:t>GDP growth p.a.:</w:t>
            </w:r>
            <w:r>
              <w:t xml:space="preserve"> </w:t>
            </w:r>
            <w:r w:rsidRPr="007E38A9">
              <w:rPr>
                <w:sz w:val="20"/>
                <w:szCs w:val="20"/>
              </w:rPr>
              <w:t>2024: 8%, 2025: 5%; 2026: 6%, 2027-28: 8-9%, 2029: 7.5%</w:t>
            </w:r>
          </w:p>
        </w:tc>
        <w:tc>
          <w:tcPr>
            <w:tcW w:w="3528" w:type="dxa"/>
          </w:tcPr>
          <w:p w14:paraId="47D3BCA7" w14:textId="77777777" w:rsidR="003D1A9E" w:rsidRDefault="003D1A9E" w:rsidP="00324F75">
            <w:pPr>
              <w:spacing w:after="120"/>
            </w:pPr>
          </w:p>
        </w:tc>
      </w:tr>
    </w:tbl>
    <w:p w14:paraId="79DA34EA" w14:textId="05907719" w:rsidR="007E38A9" w:rsidRDefault="007E38A9" w:rsidP="00DC1D53">
      <w:pPr>
        <w:spacing w:after="120"/>
      </w:pPr>
    </w:p>
    <w:p w14:paraId="1235AD43" w14:textId="77777777" w:rsidR="007E38A9" w:rsidRDefault="007E38A9">
      <w:r>
        <w:br w:type="page"/>
      </w:r>
    </w:p>
    <w:p w14:paraId="7D6691CF" w14:textId="78E5FA8D" w:rsidR="0090458A" w:rsidRDefault="0090458A" w:rsidP="00DC1D53">
      <w:pPr>
        <w:spacing w:after="120"/>
      </w:pPr>
      <w:r w:rsidRPr="0090458A">
        <w:rPr>
          <w:b/>
          <w:bCs/>
        </w:rPr>
        <w:lastRenderedPageBreak/>
        <w:t xml:space="preserve">2. CPI  </w:t>
      </w:r>
      <w:r w:rsidR="001C36AE" w:rsidRPr="001C36AE">
        <w:t>is forecast to be</w:t>
      </w:r>
      <w:r w:rsidRPr="0090458A">
        <w:rPr>
          <w:b/>
          <w:bCs/>
        </w:rPr>
        <w:t> </w:t>
      </w:r>
      <w:r w:rsidRPr="0090458A">
        <w:t>subdued</w:t>
      </w:r>
      <w:r w:rsidR="0057655E">
        <w:t xml:space="preserve"> below 5%</w:t>
      </w:r>
      <w:r w:rsidRPr="0090458A">
        <w:t> </w:t>
      </w:r>
      <w:r w:rsidR="0057655E">
        <w:t xml:space="preserve">through 2027, </w:t>
      </w:r>
      <w:r w:rsidRPr="0090458A">
        <w:t xml:space="preserve">followed by </w:t>
      </w:r>
      <w:r w:rsidR="0057655E">
        <w:t xml:space="preserve">a gradual </w:t>
      </w:r>
      <w:r w:rsidRPr="0090458A">
        <w:t>return to target </w:t>
      </w:r>
      <w:r w:rsidR="0057655E">
        <w:t>5%</w:t>
      </w:r>
    </w:p>
    <w:p w14:paraId="354759E4" w14:textId="7A065565" w:rsidR="0057655E" w:rsidRDefault="0057655E" w:rsidP="00575854">
      <w:pPr>
        <w:spacing w:after="120"/>
      </w:pPr>
      <w:r>
        <w:t>The y-o-y and period average</w:t>
      </w:r>
      <w:r w:rsidR="0046482B">
        <w:t xml:space="preserve"> CPI in 2024</w:t>
      </w:r>
      <w:r>
        <w:t xml:space="preserve"> </w:t>
      </w:r>
      <w:r w:rsidR="00DC1D53">
        <w:t>is forecast at b</w:t>
      </w:r>
      <w:r>
        <w:t xml:space="preserve">elow 5%, </w:t>
      </w:r>
      <w:r w:rsidR="00D45E0E">
        <w:t xml:space="preserve">helped by </w:t>
      </w:r>
      <w:r w:rsidR="00DC1D53">
        <w:t>the</w:t>
      </w:r>
      <w:r w:rsidR="00D45E0E">
        <w:t xml:space="preserve"> recent drop in food prices</w:t>
      </w:r>
      <w:r w:rsidR="0046482B">
        <w:t xml:space="preserve">, reversal in 2023-24 of </w:t>
      </w:r>
      <w:r w:rsidR="00DC1D53">
        <w:t xml:space="preserve">the </w:t>
      </w:r>
      <w:r w:rsidR="0046482B">
        <w:t>earlier positive price shocks, and</w:t>
      </w:r>
      <w:r w:rsidR="00DC1D53">
        <w:t xml:space="preserve"> the</w:t>
      </w:r>
      <w:r w:rsidR="0046482B">
        <w:t xml:space="preserve"> expectation of lower inflation thanks to demand-restraining policies.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4315"/>
      </w:tblGrid>
      <w:tr w:rsidR="007E38A9" w14:paraId="4FF3B3C1" w14:textId="77777777" w:rsidTr="00575854">
        <w:tc>
          <w:tcPr>
            <w:tcW w:w="5305" w:type="dxa"/>
          </w:tcPr>
          <w:p w14:paraId="0659A04E" w14:textId="77777777" w:rsidR="007E38A9" w:rsidRDefault="007E38A9" w:rsidP="007E38A9">
            <w:r>
              <w:t>The CPI well below 5% in 2025-27 is driven by:</w:t>
            </w:r>
          </w:p>
          <w:p w14:paraId="37679592" w14:textId="77777777" w:rsidR="007E38A9" w:rsidRDefault="007E38A9" w:rsidP="007E38A9">
            <w:pPr>
              <w:pStyle w:val="ListParagraph"/>
              <w:numPr>
                <w:ilvl w:val="0"/>
                <w:numId w:val="1"/>
              </w:numPr>
            </w:pPr>
            <w:r w:rsidRPr="0090458A">
              <w:t xml:space="preserve">effect of </w:t>
            </w:r>
            <w:r>
              <w:t>i</w:t>
            </w:r>
            <w:r w:rsidRPr="0090458A">
              <w:t>ncreas</w:t>
            </w:r>
            <w:r>
              <w:t xml:space="preserve">ing </w:t>
            </w:r>
            <w:r w:rsidRPr="0090458A">
              <w:t>RIR and</w:t>
            </w:r>
            <w:r w:rsidRPr="00992EC3">
              <w:rPr>
                <w:i/>
                <w:iCs/>
              </w:rPr>
              <w:t xml:space="preserve"> large negative fiscal impulse on demand</w:t>
            </w:r>
            <w:r>
              <w:t>, hence on output</w:t>
            </w:r>
          </w:p>
          <w:p w14:paraId="1BE1D596" w14:textId="77777777" w:rsidR="007E38A9" w:rsidRDefault="007E38A9" w:rsidP="007E38A9">
            <w:pPr>
              <w:pStyle w:val="ListParagraph"/>
              <w:numPr>
                <w:ilvl w:val="0"/>
                <w:numId w:val="1"/>
              </w:numPr>
            </w:pPr>
            <w:r w:rsidRPr="0090458A">
              <w:t xml:space="preserve">continued drop in food prices as agriculture </w:t>
            </w:r>
            <w:r>
              <w:t xml:space="preserve">is </w:t>
            </w:r>
            <w:r w:rsidRPr="0090458A">
              <w:t>returning to normal</w:t>
            </w:r>
          </w:p>
          <w:p w14:paraId="41CBA346" w14:textId="77777777" w:rsidR="007E38A9" w:rsidRDefault="007E38A9" w:rsidP="007E38A9">
            <w:pPr>
              <w:pStyle w:val="ListParagraph"/>
              <w:numPr>
                <w:ilvl w:val="0"/>
                <w:numId w:val="1"/>
              </w:numPr>
            </w:pPr>
            <w:r w:rsidRPr="0090458A">
              <w:t xml:space="preserve">still low trading partner prices, and </w:t>
            </w:r>
            <w:r>
              <w:t xml:space="preserve">small </w:t>
            </w:r>
            <w:r w:rsidRPr="0090458A">
              <w:t>drop in world energy and food prices</w:t>
            </w:r>
          </w:p>
          <w:p w14:paraId="3C438EB8" w14:textId="77777777" w:rsidR="007E38A9" w:rsidRPr="0090458A" w:rsidRDefault="007E38A9" w:rsidP="007E38A9">
            <w:pPr>
              <w:pStyle w:val="ListParagraph"/>
              <w:numPr>
                <w:ilvl w:val="0"/>
                <w:numId w:val="1"/>
              </w:numPr>
              <w:spacing w:after="120"/>
            </w:pPr>
            <w:r>
              <w:t xml:space="preserve">somewhat offset by the CPI-increasing effect </w:t>
            </w:r>
            <w:r w:rsidRPr="0090458A">
              <w:t>of NER depreciation on import prices</w:t>
            </w:r>
          </w:p>
          <w:p w14:paraId="69DC36B1" w14:textId="77777777" w:rsidR="007E38A9" w:rsidRDefault="007E38A9" w:rsidP="00DC1D53"/>
        </w:tc>
        <w:tc>
          <w:tcPr>
            <w:tcW w:w="4315" w:type="dxa"/>
          </w:tcPr>
          <w:p w14:paraId="5E4F9990" w14:textId="13D213C7" w:rsidR="007E38A9" w:rsidRDefault="00575854" w:rsidP="00DC1D5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Chart 2a. Headline CPI</w:t>
            </w:r>
            <w:r w:rsidRPr="007E38A9">
              <w:rPr>
                <w:b/>
                <w:bCs/>
              </w:rPr>
              <w:t xml:space="preserve">, </w:t>
            </w:r>
            <w:r w:rsidRPr="007E38A9">
              <w:rPr>
                <w:b/>
                <w:bCs/>
                <w:sz w:val="20"/>
                <w:szCs w:val="20"/>
              </w:rPr>
              <w:t>y-on-y gro</w:t>
            </w:r>
            <w:r>
              <w:rPr>
                <w:b/>
                <w:bCs/>
                <w:sz w:val="20"/>
                <w:szCs w:val="20"/>
              </w:rPr>
              <w:t>wth in %</w:t>
            </w:r>
          </w:p>
          <w:p w14:paraId="402B15E4" w14:textId="390A9456" w:rsidR="00575854" w:rsidRDefault="00575854" w:rsidP="00575854">
            <w:r>
              <w:rPr>
                <w:sz w:val="20"/>
                <w:szCs w:val="20"/>
              </w:rPr>
              <w:t xml:space="preserve">         </w:t>
            </w:r>
            <w:r w:rsidRPr="002814A5">
              <w:rPr>
                <w:b/>
                <w:bCs/>
                <w:noProof/>
              </w:rPr>
              <w:drawing>
                <wp:inline distT="0" distB="0" distL="0" distR="0" wp14:anchorId="0E4AD394" wp14:editId="78F0A7DB">
                  <wp:extent cx="2150198" cy="1694180"/>
                  <wp:effectExtent l="0" t="0" r="2540" b="1270"/>
                  <wp:docPr id="697541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8897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434" cy="1706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7E38A9" w:rsidRPr="00575854" w14:paraId="3B58F610" w14:textId="77777777" w:rsidTr="00575854">
        <w:tc>
          <w:tcPr>
            <w:tcW w:w="5305" w:type="dxa"/>
          </w:tcPr>
          <w:p w14:paraId="2EACE853" w14:textId="77777777" w:rsidR="007E38A9" w:rsidRDefault="007E38A9" w:rsidP="007E38A9">
            <w:r>
              <w:t xml:space="preserve">The </w:t>
            </w:r>
            <w:r w:rsidRPr="0090458A">
              <w:t>return</w:t>
            </w:r>
            <w:r>
              <w:t xml:space="preserve"> to the target CPI from 2028 onward is driven by</w:t>
            </w:r>
            <w:r w:rsidRPr="0090458A">
              <w:t xml:space="preserve">:      </w:t>
            </w:r>
          </w:p>
          <w:p w14:paraId="3A597DE9" w14:textId="77777777" w:rsidR="007E38A9" w:rsidRDefault="007E38A9" w:rsidP="007E38A9">
            <w:pPr>
              <w:pStyle w:val="ListParagraph"/>
              <w:numPr>
                <w:ilvl w:val="0"/>
                <w:numId w:val="1"/>
              </w:numPr>
            </w:pPr>
            <w:r w:rsidRPr="0090458A">
              <w:t xml:space="preserve">govt demand </w:t>
            </w:r>
            <w:r>
              <w:t>pick up as consolidation stops post-PCI</w:t>
            </w:r>
          </w:p>
          <w:p w14:paraId="1640319C" w14:textId="77777777" w:rsidR="007E38A9" w:rsidRDefault="007E38A9" w:rsidP="007E38A9">
            <w:pPr>
              <w:pStyle w:val="ListParagraph"/>
              <w:numPr>
                <w:ilvl w:val="0"/>
                <w:numId w:val="1"/>
              </w:numPr>
            </w:pPr>
            <w:r w:rsidRPr="0090458A">
              <w:t>other demand components return to normal</w:t>
            </w:r>
          </w:p>
          <w:p w14:paraId="37BBD89B" w14:textId="77777777" w:rsidR="007E38A9" w:rsidRPr="0090458A" w:rsidRDefault="007E38A9" w:rsidP="007E38A9">
            <w:pPr>
              <w:pStyle w:val="ListParagraph"/>
              <w:numPr>
                <w:ilvl w:val="0"/>
                <w:numId w:val="1"/>
              </w:numPr>
              <w:spacing w:after="120"/>
            </w:pPr>
            <w:r>
              <w:t>interest rate</w:t>
            </w:r>
            <w:r w:rsidRPr="0090458A">
              <w:t xml:space="preserve"> policies push inflation back to target</w:t>
            </w:r>
          </w:p>
          <w:p w14:paraId="5343CA7B" w14:textId="77777777" w:rsidR="007E38A9" w:rsidRDefault="007E38A9" w:rsidP="00DC1D53"/>
        </w:tc>
        <w:tc>
          <w:tcPr>
            <w:tcW w:w="4315" w:type="dxa"/>
          </w:tcPr>
          <w:p w14:paraId="63047905" w14:textId="7A665189" w:rsidR="007E38A9" w:rsidRDefault="00575854" w:rsidP="00DC1D53">
            <w:r w:rsidRPr="002814A5">
              <w:rPr>
                <w:b/>
                <w:bCs/>
                <w:lang w:val="fr-FR"/>
              </w:rPr>
              <w:t>Chart 2</w:t>
            </w:r>
            <w:r>
              <w:rPr>
                <w:b/>
                <w:bCs/>
                <w:lang w:val="fr-FR"/>
              </w:rPr>
              <w:t>a</w:t>
            </w:r>
            <w:r w:rsidRPr="002814A5">
              <w:rPr>
                <w:b/>
                <w:bCs/>
                <w:lang w:val="fr-FR"/>
              </w:rPr>
              <w:t xml:space="preserve">. </w:t>
            </w:r>
            <w:r w:rsidRPr="00575854">
              <w:rPr>
                <w:b/>
                <w:bCs/>
              </w:rPr>
              <w:t xml:space="preserve">CPI_core , </w:t>
            </w:r>
            <w:r w:rsidRPr="00575854">
              <w:rPr>
                <w:b/>
                <w:bCs/>
                <w:sz w:val="20"/>
                <w:szCs w:val="20"/>
              </w:rPr>
              <w:t>y-on-y grow</w:t>
            </w:r>
            <w:r>
              <w:rPr>
                <w:b/>
                <w:bCs/>
                <w:sz w:val="20"/>
                <w:szCs w:val="20"/>
              </w:rPr>
              <w:t>th in %</w:t>
            </w:r>
            <w:r>
              <w:t xml:space="preserve"> </w:t>
            </w:r>
          </w:p>
          <w:p w14:paraId="6ABBA294" w14:textId="2AF064AB" w:rsidR="00575854" w:rsidRPr="00575854" w:rsidRDefault="00575854" w:rsidP="00DC1D53">
            <w:r>
              <w:t xml:space="preserve">     </w:t>
            </w:r>
            <w:r w:rsidRPr="002814A5">
              <w:rPr>
                <w:b/>
                <w:bCs/>
                <w:noProof/>
              </w:rPr>
              <w:drawing>
                <wp:inline distT="0" distB="0" distL="0" distR="0" wp14:anchorId="6352B35C" wp14:editId="44DF2546">
                  <wp:extent cx="2281473" cy="1828269"/>
                  <wp:effectExtent l="0" t="0" r="5080" b="635"/>
                  <wp:docPr id="1342675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7096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437" cy="18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8A9" w14:paraId="2A4D42FC" w14:textId="77777777" w:rsidTr="00282971">
        <w:tc>
          <w:tcPr>
            <w:tcW w:w="9620" w:type="dxa"/>
            <w:gridSpan w:val="2"/>
          </w:tcPr>
          <w:p w14:paraId="7FE90AB8" w14:textId="47F03F4A" w:rsidR="007E38A9" w:rsidRDefault="007E38A9" w:rsidP="00575854">
            <w:pPr>
              <w:spacing w:after="120"/>
            </w:pPr>
            <w:r w:rsidRPr="00643481">
              <w:rPr>
                <w:b/>
                <w:bCs/>
                <w:color w:val="3A7C22" w:themeColor="accent6" w:themeShade="BF"/>
              </w:rPr>
              <w:t>==&gt;</w:t>
            </w:r>
            <w:r w:rsidRPr="00575854">
              <w:rPr>
                <w:b/>
                <w:bCs/>
                <w:color w:val="3A7C22" w:themeColor="accent6" w:themeShade="BF"/>
              </w:rPr>
              <w:t>for intMF projection CPI p.a.:</w:t>
            </w:r>
            <w:r>
              <w:t xml:space="preserve"> </w:t>
            </w:r>
            <w:r w:rsidRPr="00575854">
              <w:rPr>
                <w:sz w:val="20"/>
                <w:szCs w:val="20"/>
              </w:rPr>
              <w:t>2024: 4%, 2025: 5%; 2026: 4%, 2027: 3%, 2028: 4%</w:t>
            </w:r>
            <w:r w:rsidR="00575854" w:rsidRPr="00575854">
              <w:rPr>
                <w:sz w:val="20"/>
                <w:szCs w:val="20"/>
              </w:rPr>
              <w:t>.</w:t>
            </w:r>
          </w:p>
        </w:tc>
      </w:tr>
    </w:tbl>
    <w:p w14:paraId="52B3BD96" w14:textId="77777777" w:rsidR="007E38A9" w:rsidRPr="0090458A" w:rsidRDefault="007E38A9" w:rsidP="00DC1D53">
      <w:pPr>
        <w:spacing w:after="0"/>
      </w:pPr>
    </w:p>
    <w:p w14:paraId="0137DA86" w14:textId="77777777" w:rsidR="00575854" w:rsidRDefault="00575854">
      <w:pPr>
        <w:rPr>
          <w:b/>
          <w:bCs/>
        </w:rPr>
      </w:pPr>
      <w:r>
        <w:rPr>
          <w:b/>
          <w:bCs/>
        </w:rPr>
        <w:br w:type="page"/>
      </w:r>
    </w:p>
    <w:p w14:paraId="13E71DAA" w14:textId="2E475295" w:rsidR="00B11723" w:rsidRDefault="0090458A" w:rsidP="00992EC3">
      <w:pPr>
        <w:spacing w:after="120"/>
        <w:rPr>
          <w:b/>
          <w:bCs/>
        </w:rPr>
      </w:pPr>
      <w:r w:rsidRPr="0090458A">
        <w:rPr>
          <w:b/>
          <w:bCs/>
        </w:rPr>
        <w:lastRenderedPageBreak/>
        <w:t>3. Final demand</w:t>
      </w:r>
      <w:r w:rsidR="00B11723">
        <w:rPr>
          <w:b/>
          <w:bCs/>
        </w:rPr>
        <w:t xml:space="preserve">: </w:t>
      </w:r>
      <w:r w:rsidR="00B11723">
        <w:t>private demand</w:t>
      </w:r>
      <w:r w:rsidR="00D20CF9">
        <w:t>s</w:t>
      </w:r>
      <w:r w:rsidR="004D378F">
        <w:t xml:space="preserve"> </w:t>
      </w:r>
      <w:r w:rsidR="00B11723" w:rsidRPr="00B11723">
        <w:t>forecast to slow down in 2025-26, returning to normal the</w:t>
      </w:r>
      <w:r w:rsidR="00B11723">
        <w:t>re</w:t>
      </w:r>
      <w:r w:rsidR="00B11723" w:rsidRPr="00B11723">
        <w:t>a</w:t>
      </w:r>
      <w:r w:rsidR="00B11723">
        <w:t>f</w:t>
      </w:r>
      <w:r w:rsidR="00B11723" w:rsidRPr="00B11723">
        <w:t>ter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4675"/>
      </w:tblGrid>
      <w:tr w:rsidR="006648E5" w14:paraId="11C9859C" w14:textId="77777777" w:rsidTr="00292E78">
        <w:tc>
          <w:tcPr>
            <w:tcW w:w="4945" w:type="dxa"/>
          </w:tcPr>
          <w:p w14:paraId="577C62B2" w14:textId="77777777" w:rsidR="006648E5" w:rsidRPr="0090458A" w:rsidRDefault="006648E5" w:rsidP="006648E5">
            <w:pPr>
              <w:spacing w:after="120"/>
            </w:pPr>
            <w:r w:rsidRPr="00A10FB1">
              <w:rPr>
                <w:b/>
                <w:bCs/>
              </w:rPr>
              <w:t>Real consumption</w:t>
            </w:r>
            <w:r>
              <w:t>: after above-trend growth (low RIR) in 2023/early 2024, restrictive policies reduce real consumption growth to</w:t>
            </w:r>
            <w:r w:rsidRPr="00042099">
              <w:t xml:space="preserve"> </w:t>
            </w:r>
            <w:r w:rsidRPr="00042099">
              <w:rPr>
                <w:u w:val="single"/>
              </w:rPr>
              <w:t>+</w:t>
            </w:r>
            <w:r>
              <w:t>4% in 2025-26, before it returns to trend growth in line with GDP (7.5%)</w:t>
            </w:r>
          </w:p>
          <w:p w14:paraId="3B3E13E8" w14:textId="77777777" w:rsidR="006648E5" w:rsidRDefault="006648E5" w:rsidP="00BD3485">
            <w:pPr>
              <w:spacing w:after="120"/>
              <w:rPr>
                <w:b/>
                <w:bCs/>
              </w:rPr>
            </w:pPr>
          </w:p>
        </w:tc>
        <w:tc>
          <w:tcPr>
            <w:tcW w:w="4675" w:type="dxa"/>
          </w:tcPr>
          <w:p w14:paraId="578E8678" w14:textId="52A383DB" w:rsidR="006648E5" w:rsidRDefault="006648E5" w:rsidP="00BD3485">
            <w:pPr>
              <w:spacing w:after="120"/>
              <w:rPr>
                <w:b/>
                <w:bCs/>
              </w:rPr>
            </w:pPr>
            <w:r w:rsidRPr="006648E5">
              <w:rPr>
                <w:b/>
                <w:bCs/>
                <w:noProof/>
              </w:rPr>
              <w:drawing>
                <wp:inline distT="0" distB="0" distL="0" distR="0" wp14:anchorId="6606482A" wp14:editId="744873E2">
                  <wp:extent cx="2760910" cy="1520825"/>
                  <wp:effectExtent l="0" t="0" r="1905" b="3175"/>
                  <wp:docPr id="1447648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6481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978" cy="153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8E5" w14:paraId="05ED9ACD" w14:textId="77777777" w:rsidTr="00292E78">
        <w:tc>
          <w:tcPr>
            <w:tcW w:w="4945" w:type="dxa"/>
          </w:tcPr>
          <w:p w14:paraId="7AE11555" w14:textId="77777777" w:rsidR="006648E5" w:rsidRPr="0090458A" w:rsidRDefault="006648E5" w:rsidP="006648E5">
            <w:r w:rsidRPr="00A10FB1">
              <w:rPr>
                <w:b/>
                <w:bCs/>
              </w:rPr>
              <w:t>Real investment</w:t>
            </w:r>
            <w:r>
              <w:t xml:space="preserve">: after sluggish growth in 2022-23, growth is forecast to be strong in 2024 (above 10%), slowing down to </w:t>
            </w:r>
            <w:r w:rsidRPr="00042099">
              <w:rPr>
                <w:u w:val="single"/>
              </w:rPr>
              <w:t>+</w:t>
            </w:r>
            <w:r>
              <w:t>6% in 2025-26 as real lending rates increase; then moving to trend growth</w:t>
            </w:r>
          </w:p>
          <w:p w14:paraId="7B17673E" w14:textId="77777777" w:rsidR="006648E5" w:rsidRDefault="006648E5" w:rsidP="00BD3485">
            <w:pPr>
              <w:spacing w:after="120"/>
              <w:rPr>
                <w:b/>
                <w:bCs/>
              </w:rPr>
            </w:pPr>
          </w:p>
        </w:tc>
        <w:tc>
          <w:tcPr>
            <w:tcW w:w="4675" w:type="dxa"/>
          </w:tcPr>
          <w:p w14:paraId="4BE0B0DB" w14:textId="11AE1EE6" w:rsidR="006648E5" w:rsidRDefault="006648E5" w:rsidP="00BD3485">
            <w:pPr>
              <w:spacing w:after="120"/>
              <w:rPr>
                <w:b/>
                <w:bCs/>
              </w:rPr>
            </w:pPr>
            <w:r w:rsidRPr="006648E5">
              <w:rPr>
                <w:b/>
                <w:bCs/>
                <w:noProof/>
              </w:rPr>
              <w:drawing>
                <wp:inline distT="0" distB="0" distL="0" distR="0" wp14:anchorId="5FE4214A" wp14:editId="69801727">
                  <wp:extent cx="2946187" cy="1629624"/>
                  <wp:effectExtent l="0" t="0" r="6985" b="8890"/>
                  <wp:docPr id="1090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6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498" cy="1639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8E5" w14:paraId="57E872F8" w14:textId="77777777" w:rsidTr="00292E78">
        <w:tc>
          <w:tcPr>
            <w:tcW w:w="4945" w:type="dxa"/>
          </w:tcPr>
          <w:p w14:paraId="0246EE3F" w14:textId="77777777" w:rsidR="00292E78" w:rsidRDefault="00292E78" w:rsidP="00292E78">
            <w:pPr>
              <w:spacing w:after="120"/>
            </w:pPr>
            <w:r w:rsidRPr="00D7441C">
              <w:rPr>
                <w:b/>
                <w:bCs/>
              </w:rPr>
              <w:t>Real govt demand</w:t>
            </w:r>
            <w:r>
              <w:t>: almost no growth in 2025-26 due to fiscal consolidation, strong pickup thereafter</w:t>
            </w:r>
          </w:p>
          <w:p w14:paraId="07586AC4" w14:textId="77777777" w:rsidR="006648E5" w:rsidRDefault="006648E5" w:rsidP="00292E78">
            <w:pPr>
              <w:spacing w:after="120"/>
              <w:rPr>
                <w:b/>
                <w:bCs/>
              </w:rPr>
            </w:pPr>
          </w:p>
        </w:tc>
        <w:tc>
          <w:tcPr>
            <w:tcW w:w="4675" w:type="dxa"/>
          </w:tcPr>
          <w:p w14:paraId="66048ED5" w14:textId="077A76FE" w:rsidR="006648E5" w:rsidRDefault="00292E78" w:rsidP="00292E78">
            <w:pPr>
              <w:spacing w:after="120"/>
              <w:rPr>
                <w:b/>
                <w:bCs/>
              </w:rPr>
            </w:pPr>
            <w:r w:rsidRPr="00292E78">
              <w:rPr>
                <w:b/>
                <w:bCs/>
                <w:noProof/>
              </w:rPr>
              <w:drawing>
                <wp:inline distT="0" distB="0" distL="0" distR="0" wp14:anchorId="0033AA85" wp14:editId="26B8AC35">
                  <wp:extent cx="2748280" cy="1416868"/>
                  <wp:effectExtent l="0" t="0" r="0" b="0"/>
                  <wp:docPr id="755767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7672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538" cy="142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8E5" w14:paraId="79A213F8" w14:textId="77777777" w:rsidTr="00292E78">
        <w:tc>
          <w:tcPr>
            <w:tcW w:w="4945" w:type="dxa"/>
          </w:tcPr>
          <w:p w14:paraId="46337C2E" w14:textId="77777777" w:rsidR="00292E78" w:rsidRDefault="00292E78" w:rsidP="00292E78">
            <w:pPr>
              <w:spacing w:after="120"/>
            </w:pPr>
            <w:r w:rsidRPr="00A10FB1">
              <w:rPr>
                <w:b/>
                <w:bCs/>
              </w:rPr>
              <w:t>Real exports</w:t>
            </w:r>
            <w:r>
              <w:t>: after above trend growth in 2023-24, export growth slows down but gradually since the positive effect of recent RER depreciation keeps export growth above trend for the whole period</w:t>
            </w:r>
          </w:p>
          <w:p w14:paraId="0B8F7C06" w14:textId="77777777" w:rsidR="006648E5" w:rsidRDefault="006648E5" w:rsidP="00292E78">
            <w:pPr>
              <w:spacing w:after="120"/>
              <w:rPr>
                <w:b/>
                <w:bCs/>
              </w:rPr>
            </w:pPr>
          </w:p>
        </w:tc>
        <w:tc>
          <w:tcPr>
            <w:tcW w:w="4675" w:type="dxa"/>
          </w:tcPr>
          <w:p w14:paraId="1A95A32F" w14:textId="064BCB6B" w:rsidR="006648E5" w:rsidRDefault="00292E78" w:rsidP="00BD3485">
            <w:pPr>
              <w:spacing w:after="120"/>
              <w:rPr>
                <w:b/>
                <w:bCs/>
              </w:rPr>
            </w:pPr>
            <w:r w:rsidRPr="00292E78">
              <w:rPr>
                <w:b/>
                <w:bCs/>
                <w:noProof/>
              </w:rPr>
              <w:drawing>
                <wp:inline distT="0" distB="0" distL="0" distR="0" wp14:anchorId="24C78AA2" wp14:editId="186CAC51">
                  <wp:extent cx="2843569" cy="1430448"/>
                  <wp:effectExtent l="0" t="0" r="0" b="0"/>
                  <wp:docPr id="218671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6712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920" cy="143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8E5" w14:paraId="786B61AD" w14:textId="77777777" w:rsidTr="00292E78">
        <w:tc>
          <w:tcPr>
            <w:tcW w:w="4945" w:type="dxa"/>
          </w:tcPr>
          <w:p w14:paraId="46802C80" w14:textId="77777777" w:rsidR="006648E5" w:rsidRDefault="006648E5" w:rsidP="006648E5">
            <w:pPr>
              <w:spacing w:after="120"/>
            </w:pPr>
            <w:r w:rsidRPr="00A10FB1">
              <w:rPr>
                <w:b/>
                <w:bCs/>
              </w:rPr>
              <w:t>Real imports</w:t>
            </w:r>
            <w:r>
              <w:t>: follow other demand components (including govt demand).</w:t>
            </w:r>
          </w:p>
          <w:p w14:paraId="59E4FF63" w14:textId="77777777" w:rsidR="006648E5" w:rsidRDefault="006648E5" w:rsidP="00BD3485">
            <w:pPr>
              <w:spacing w:after="120"/>
              <w:rPr>
                <w:b/>
                <w:bCs/>
              </w:rPr>
            </w:pPr>
          </w:p>
        </w:tc>
        <w:tc>
          <w:tcPr>
            <w:tcW w:w="4675" w:type="dxa"/>
          </w:tcPr>
          <w:p w14:paraId="41266131" w14:textId="349FBFA6" w:rsidR="006648E5" w:rsidRDefault="00292E78" w:rsidP="00BD3485">
            <w:pPr>
              <w:spacing w:after="120"/>
              <w:rPr>
                <w:b/>
                <w:bCs/>
              </w:rPr>
            </w:pPr>
            <w:r w:rsidRPr="00292E78">
              <w:rPr>
                <w:b/>
                <w:bCs/>
                <w:noProof/>
              </w:rPr>
              <w:drawing>
                <wp:inline distT="0" distB="0" distL="0" distR="0" wp14:anchorId="6F87FFEB" wp14:editId="37F4F446">
                  <wp:extent cx="2943667" cy="1453081"/>
                  <wp:effectExtent l="0" t="0" r="9525" b="0"/>
                  <wp:docPr id="686634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6340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351" cy="1459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8E5" w14:paraId="13D7396F" w14:textId="77777777" w:rsidTr="006648E5">
        <w:tc>
          <w:tcPr>
            <w:tcW w:w="9620" w:type="dxa"/>
            <w:gridSpan w:val="2"/>
          </w:tcPr>
          <w:p w14:paraId="26472EB2" w14:textId="1E4FB3E3" w:rsidR="006648E5" w:rsidRDefault="006648E5" w:rsidP="006648E5">
            <w:pPr>
              <w:rPr>
                <w:b/>
                <w:bCs/>
              </w:rPr>
            </w:pPr>
            <w:r w:rsidRPr="006648E5">
              <w:rPr>
                <w:b/>
                <w:bCs/>
                <w:color w:val="3A7C22" w:themeColor="accent6" w:themeShade="BF"/>
              </w:rPr>
              <w:t>==&gt;</w:t>
            </w:r>
            <w:r w:rsidRPr="006648E5">
              <w:rPr>
                <w:b/>
                <w:bCs/>
                <w:color w:val="3A7C22" w:themeColor="accent6" w:themeShade="BF"/>
                <w:sz w:val="20"/>
                <w:szCs w:val="20"/>
              </w:rPr>
              <w:t>for intMF projectio</w:t>
            </w:r>
            <w:r w:rsidRPr="006648E5">
              <w:rPr>
                <w:b/>
                <w:bCs/>
                <w:color w:val="3A7C22" w:themeColor="accent6" w:themeShade="BF"/>
              </w:rPr>
              <w:t>n:</w:t>
            </w:r>
            <w:r w:rsidRPr="006648E5">
              <w:rPr>
                <w:sz w:val="20"/>
                <w:szCs w:val="20"/>
              </w:rPr>
              <w:t xml:space="preserve"> adjust exogenous investment growth and revisit export &amp; import projections, while ensuring that growth of private consumption (residual) is in line with QMFM forecast.</w:t>
            </w:r>
          </w:p>
        </w:tc>
      </w:tr>
    </w:tbl>
    <w:p w14:paraId="36142759" w14:textId="4B4BE996" w:rsidR="000A22D8" w:rsidRDefault="006648E5" w:rsidP="00292E78">
      <w:r>
        <w:rPr>
          <w:b/>
          <w:bCs/>
        </w:rPr>
        <w:br w:type="page"/>
      </w:r>
      <w:r w:rsidR="0090458A" w:rsidRPr="0090458A">
        <w:rPr>
          <w:b/>
          <w:bCs/>
        </w:rPr>
        <w:lastRenderedPageBreak/>
        <w:t xml:space="preserve">4. Fiscal path </w:t>
      </w:r>
      <w:r w:rsidR="00D7441C">
        <w:rPr>
          <w:b/>
          <w:bCs/>
        </w:rPr>
        <w:t>assumed</w:t>
      </w:r>
      <w:r w:rsidR="0090458A" w:rsidRPr="0090458A">
        <w:t xml:space="preserve">: PCI targets </w:t>
      </w:r>
      <w:r w:rsidR="00D7441C">
        <w:t xml:space="preserve">FY2024/25-2025/26 </w:t>
      </w:r>
      <w:r w:rsidR="0090458A" w:rsidRPr="0090458A">
        <w:t>for deficit, rev</w:t>
      </w:r>
      <w:r w:rsidR="00D7441C">
        <w:t>enue</w:t>
      </w:r>
      <w:r w:rsidR="00407A61">
        <w:t xml:space="preserve">, and </w:t>
      </w:r>
      <w:r w:rsidR="00D7441C">
        <w:t xml:space="preserve">spending </w:t>
      </w:r>
      <w:r w:rsidR="004D378F">
        <w:t xml:space="preserve">are </w:t>
      </w:r>
      <w:r w:rsidR="00BD3485">
        <w:t>used</w:t>
      </w:r>
    </w:p>
    <w:p w14:paraId="20091D8C" w14:textId="7E2D4FDC" w:rsidR="00970470" w:rsidRPr="0090458A" w:rsidRDefault="00970470" w:rsidP="00970470">
      <w:pPr>
        <w:spacing w:after="120"/>
        <w:ind w:left="72"/>
      </w:pPr>
      <w:r w:rsidRPr="00970470">
        <w:rPr>
          <w:i/>
          <w:iCs/>
        </w:rPr>
        <w:t>Baseline fiscal policies</w:t>
      </w:r>
      <w:r w:rsidRPr="0090458A">
        <w:t> </w:t>
      </w:r>
      <w:r>
        <w:t xml:space="preserve">are as </w:t>
      </w:r>
      <w:r w:rsidRPr="0090458A">
        <w:t xml:space="preserve">in PCI 2023/24-2025/26, followed by </w:t>
      </w:r>
      <w:r>
        <w:t xml:space="preserve">a return to the previous path of gradually moving toward a </w:t>
      </w:r>
      <w:r w:rsidRPr="0090458A">
        <w:t>sustainable deficit of 5% of GDP (</w:t>
      </w:r>
      <w:r>
        <w:t>7.5</w:t>
      </w:r>
      <w:r w:rsidRPr="0090458A">
        <w:t xml:space="preserve">% </w:t>
      </w:r>
      <w:r>
        <w:t xml:space="preserve"> </w:t>
      </w:r>
      <w:r w:rsidRPr="0090458A">
        <w:t>excl. grants)</w:t>
      </w:r>
      <w:r>
        <w:rPr>
          <w:rStyle w:val="FootnoteReference"/>
        </w:rPr>
        <w:footnoteReference w:id="1"/>
      </w:r>
      <w:r w:rsidRPr="0090458A">
        <w:t xml:space="preserve"> rather than 3% as in</w:t>
      </w:r>
      <w:r>
        <w:t xml:space="preserve"> </w:t>
      </w:r>
      <w:r w:rsidRPr="0090458A">
        <w:t xml:space="preserve">post-PCI </w:t>
      </w:r>
      <w:r>
        <w:t>IMF</w:t>
      </w:r>
      <w:r w:rsidRPr="0090458A">
        <w:t xml:space="preserve"> projection</w:t>
      </w:r>
      <w:r>
        <w:t>. This note deem</w:t>
      </w:r>
      <w:r w:rsidR="005D2F22">
        <w:t>s</w:t>
      </w:r>
      <w:r>
        <w:t xml:space="preserve"> such a path preferable to excess consolidation.</w:t>
      </w:r>
      <w:r>
        <w:rPr>
          <w:rStyle w:val="FootnoteReference"/>
        </w:rPr>
        <w:footnoteReference w:id="2"/>
      </w:r>
    </w:p>
    <w:p w14:paraId="6C34892A" w14:textId="5BC6EC51" w:rsidR="0090458A" w:rsidRPr="0090458A" w:rsidRDefault="00D7441C" w:rsidP="000A22D8">
      <w:pPr>
        <w:pStyle w:val="ListParagraph"/>
        <w:numPr>
          <w:ilvl w:val="0"/>
          <w:numId w:val="1"/>
        </w:numPr>
      </w:pPr>
      <w:r>
        <w:t xml:space="preserve">negative govt demand and fiscal impulse entail slowdown </w:t>
      </w:r>
      <w:r w:rsidR="00BD3485">
        <w:t xml:space="preserve">of output growth </w:t>
      </w:r>
      <w:r>
        <w:t>in 2025-26</w:t>
      </w:r>
    </w:p>
    <w:p w14:paraId="367F017A" w14:textId="44879BF1" w:rsidR="0090458A" w:rsidRDefault="00407A61" w:rsidP="000A22D8">
      <w:pPr>
        <w:pStyle w:val="ListParagraph"/>
        <w:numPr>
          <w:ilvl w:val="0"/>
          <w:numId w:val="1"/>
        </w:numPr>
      </w:pPr>
      <w:r>
        <w:t>f</w:t>
      </w:r>
      <w:r w:rsidR="000A22D8">
        <w:t xml:space="preserve">rom late 2026, </w:t>
      </w:r>
      <w:r w:rsidR="0090458A" w:rsidRPr="0090458A">
        <w:t xml:space="preserve"> </w:t>
      </w:r>
      <w:r>
        <w:t>negative fi</w:t>
      </w:r>
      <w:r w:rsidR="0090458A" w:rsidRPr="0090458A">
        <w:t xml:space="preserve">scal impulse </w:t>
      </w:r>
      <w:r>
        <w:t>ends, deficit moves back up toward sustainable path</w:t>
      </w:r>
    </w:p>
    <w:p w14:paraId="5AD5BB3E" w14:textId="16FB187B" w:rsidR="00407A61" w:rsidRDefault="00407A61" w:rsidP="000A22D8">
      <w:pPr>
        <w:pStyle w:val="ListParagraph"/>
        <w:numPr>
          <w:ilvl w:val="0"/>
          <w:numId w:val="1"/>
        </w:numPr>
      </w:pPr>
      <w:r>
        <w:t>beyond-PCI</w:t>
      </w:r>
      <w:r w:rsidR="00C878DA">
        <w:t xml:space="preserve">, </w:t>
      </w:r>
      <w:r>
        <w:t xml:space="preserve">fiscal ratios </w:t>
      </w:r>
      <w:r w:rsidR="00C878DA">
        <w:t xml:space="preserve">move </w:t>
      </w:r>
      <w:r>
        <w:t>to</w:t>
      </w:r>
      <w:r w:rsidR="00BD3485">
        <w:t xml:space="preserve"> </w:t>
      </w:r>
      <w:r w:rsidR="00C878DA" w:rsidRPr="00BD3485">
        <w:rPr>
          <w:i/>
          <w:iCs/>
        </w:rPr>
        <w:t>sustainable</w:t>
      </w:r>
      <w:r w:rsidR="00BD3485" w:rsidRPr="00BD3485">
        <w:rPr>
          <w:i/>
          <w:iCs/>
        </w:rPr>
        <w:t xml:space="preserve"> levels</w:t>
      </w:r>
      <w:r w:rsidR="00C878DA">
        <w:t>:</w:t>
      </w:r>
      <w:r>
        <w:t xml:space="preserve"> rev/GDP 24%, govt dem</w:t>
      </w:r>
      <w:r w:rsidR="00D2508D">
        <w:t xml:space="preserve"> </w:t>
      </w:r>
      <w:r>
        <w:t>G&amp;S 26%, o</w:t>
      </w:r>
      <w:r w:rsidR="004D378F">
        <w:t xml:space="preserve">ther </w:t>
      </w:r>
      <w:r>
        <w:t>exp 5.5%</w:t>
      </w:r>
      <w:r w:rsidR="00C878DA">
        <w:t>,</w:t>
      </w:r>
      <w:r>
        <w:t xml:space="preserve"> grants 2.5%</w:t>
      </w:r>
      <w:r w:rsidR="00C878DA">
        <w:t>,</w:t>
      </w:r>
      <w:r>
        <w:t xml:space="preserve"> and </w:t>
      </w:r>
      <w:r w:rsidRPr="00387002">
        <w:rPr>
          <w:i/>
          <w:iCs/>
        </w:rPr>
        <w:t>debt-creating deficit</w:t>
      </w:r>
      <w:r>
        <w:t xml:space="preserve"> </w:t>
      </w:r>
      <w:r w:rsidRPr="00387002">
        <w:rPr>
          <w:i/>
          <w:iCs/>
        </w:rPr>
        <w:t>5% GDP</w:t>
      </w:r>
      <w:r>
        <w:t xml:space="preserve"> (consistent with </w:t>
      </w:r>
      <w:r w:rsidR="00D2508D">
        <w:t>4</w:t>
      </w:r>
      <w:r>
        <w:t>5% NPV public debt)</w:t>
      </w:r>
    </w:p>
    <w:p w14:paraId="712CF8A3" w14:textId="4A7B02CD" w:rsidR="00970470" w:rsidRDefault="00D2508D" w:rsidP="007752C1">
      <w:pPr>
        <w:pStyle w:val="ListParagraph"/>
        <w:numPr>
          <w:ilvl w:val="0"/>
          <w:numId w:val="1"/>
        </w:numPr>
        <w:spacing w:after="120"/>
      </w:pPr>
      <w:r>
        <w:t xml:space="preserve">esp. </w:t>
      </w:r>
      <w:r w:rsidR="00407A61">
        <w:t xml:space="preserve">as revenue is slow to </w:t>
      </w:r>
      <w:r w:rsidR="00387002">
        <w:t>rise</w:t>
      </w:r>
      <w:r w:rsidR="00407A61" w:rsidRPr="00970470">
        <w:rPr>
          <w:i/>
          <w:iCs/>
        </w:rPr>
        <w:t xml:space="preserve">, </w:t>
      </w:r>
      <w:r w:rsidR="00387002" w:rsidRPr="00970470">
        <w:rPr>
          <w:i/>
          <w:iCs/>
        </w:rPr>
        <w:t xml:space="preserve">debt-creating </w:t>
      </w:r>
      <w:r w:rsidR="00407A61" w:rsidRPr="00970470">
        <w:rPr>
          <w:i/>
          <w:iCs/>
        </w:rPr>
        <w:t>deficits</w:t>
      </w:r>
      <w:r w:rsidR="00387002" w:rsidRPr="00970470">
        <w:rPr>
          <w:i/>
          <w:iCs/>
        </w:rPr>
        <w:t xml:space="preserve"> are </w:t>
      </w:r>
      <w:r w:rsidR="00BD3485" w:rsidRPr="00970470">
        <w:rPr>
          <w:i/>
          <w:iCs/>
        </w:rPr>
        <w:t>7</w:t>
      </w:r>
      <w:r w:rsidR="00C878DA" w:rsidRPr="00970470">
        <w:rPr>
          <w:i/>
          <w:iCs/>
        </w:rPr>
        <w:t>%</w:t>
      </w:r>
      <w:r w:rsidR="00C878DA">
        <w:t xml:space="preserve">  </w:t>
      </w:r>
      <w:r w:rsidR="00387002">
        <w:t>for a few years</w:t>
      </w:r>
      <w:r w:rsidR="00C878DA">
        <w:t>,</w:t>
      </w:r>
      <w:r w:rsidR="00387002">
        <w:t xml:space="preserve"> above</w:t>
      </w:r>
      <w:r w:rsidR="00407A61">
        <w:t xml:space="preserve"> sustainable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5125"/>
        <w:gridCol w:w="4950"/>
      </w:tblGrid>
      <w:tr w:rsidR="00292E78" w14:paraId="07E48B7B" w14:textId="77777777" w:rsidTr="004C3F74">
        <w:tc>
          <w:tcPr>
            <w:tcW w:w="10075" w:type="dxa"/>
            <w:gridSpan w:val="2"/>
          </w:tcPr>
          <w:p w14:paraId="3BA6C51C" w14:textId="77777777" w:rsidR="00292E78" w:rsidRDefault="00292E78" w:rsidP="009704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Chart 4. Fiscal aggregates (2024/25-2025/26 PCI)</w:t>
            </w:r>
          </w:p>
        </w:tc>
      </w:tr>
      <w:tr w:rsidR="00292E78" w:rsidRPr="00F11E18" w14:paraId="5CE05CAC" w14:textId="77777777" w:rsidTr="004C3F74">
        <w:tc>
          <w:tcPr>
            <w:tcW w:w="5125" w:type="dxa"/>
          </w:tcPr>
          <w:p w14:paraId="65C7AC06" w14:textId="77777777" w:rsidR="00292E78" w:rsidRDefault="00292E78" w:rsidP="004C3F74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Budget deficit (before grants, GFS1986)</w:t>
            </w:r>
          </w:p>
          <w:p w14:paraId="381F40D1" w14:textId="77777777" w:rsidR="00292E78" w:rsidRPr="00F11E18" w:rsidRDefault="00292E78" w:rsidP="004C3F74">
            <w:pPr>
              <w:rPr>
                <w:b/>
                <w:bCs/>
                <w:sz w:val="20"/>
                <w:szCs w:val="20"/>
              </w:rPr>
            </w:pPr>
            <w:r>
              <w:rPr>
                <w:i/>
                <w:iCs/>
                <w:sz w:val="18"/>
                <w:szCs w:val="18"/>
              </w:rPr>
              <w:t>Significant drops in deficits 2024-26 reflect ….</w:t>
            </w:r>
          </w:p>
        </w:tc>
        <w:tc>
          <w:tcPr>
            <w:tcW w:w="4950" w:type="dxa"/>
          </w:tcPr>
          <w:p w14:paraId="22065537" w14:textId="77777777" w:rsidR="00292E78" w:rsidRDefault="00292E78" w:rsidP="004C3F74">
            <w:pPr>
              <w:spacing w:after="120"/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F6293C">
              <w:rPr>
                <w:b/>
                <w:bCs/>
                <w:sz w:val="20"/>
                <w:szCs w:val="20"/>
              </w:rPr>
              <w:t xml:space="preserve"> </w:t>
            </w:r>
            <w:r w:rsidRPr="008F183B">
              <w:rPr>
                <w:b/>
                <w:bCs/>
                <w:sz w:val="20"/>
                <w:szCs w:val="20"/>
              </w:rPr>
              <w:t>Government demand for G&amp;S vis-à-vis</w:t>
            </w:r>
            <w:r w:rsidRPr="00C97FD8">
              <w:rPr>
                <w:b/>
                <w:bCs/>
                <w:color w:val="BF4E14" w:themeColor="accent2" w:themeShade="BF"/>
                <w:sz w:val="20"/>
                <w:szCs w:val="20"/>
              </w:rPr>
              <w:t xml:space="preserve"> trend</w:t>
            </w:r>
          </w:p>
          <w:p w14:paraId="67FFD6CD" w14:textId="77777777" w:rsidR="00292E78" w:rsidRPr="008F183B" w:rsidRDefault="00292E78" w:rsidP="00970470">
            <w:pPr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8F183B">
              <w:rPr>
                <w:i/>
                <w:iCs/>
                <w:sz w:val="18"/>
                <w:szCs w:val="18"/>
              </w:rPr>
              <w:t>.</w:t>
            </w:r>
            <w:r>
              <w:rPr>
                <w:i/>
                <w:iCs/>
                <w:sz w:val="18"/>
                <w:szCs w:val="18"/>
              </w:rPr>
              <w:t>.</w:t>
            </w:r>
            <w:r w:rsidRPr="008F183B">
              <w:rPr>
                <w:i/>
                <w:iCs/>
                <w:sz w:val="18"/>
                <w:szCs w:val="18"/>
              </w:rPr>
              <w:t>below</w:t>
            </w:r>
            <w:r>
              <w:rPr>
                <w:i/>
                <w:iCs/>
                <w:sz w:val="18"/>
                <w:szCs w:val="18"/>
              </w:rPr>
              <w:t>-</w:t>
            </w:r>
            <w:r w:rsidRPr="008F183B">
              <w:rPr>
                <w:i/>
                <w:iCs/>
                <w:sz w:val="18"/>
                <w:szCs w:val="18"/>
              </w:rPr>
              <w:t>trend govt demand for G&amp;S</w:t>
            </w:r>
            <w:r>
              <w:rPr>
                <w:i/>
                <w:iCs/>
                <w:sz w:val="18"/>
                <w:szCs w:val="18"/>
              </w:rPr>
              <w:t xml:space="preserve"> (direct demand effect)...</w:t>
            </w:r>
          </w:p>
        </w:tc>
      </w:tr>
      <w:tr w:rsidR="00292E78" w14:paraId="2B70DFF9" w14:textId="77777777" w:rsidTr="004C3F74">
        <w:tc>
          <w:tcPr>
            <w:tcW w:w="5125" w:type="dxa"/>
          </w:tcPr>
          <w:p w14:paraId="26502966" w14:textId="77777777" w:rsidR="00292E78" w:rsidRPr="008F183B" w:rsidRDefault="00292E78" w:rsidP="004C3F74">
            <w:pPr>
              <w:rPr>
                <w:b/>
                <w:bCs/>
              </w:rPr>
            </w:pPr>
          </w:p>
          <w:p w14:paraId="6C50EBA5" w14:textId="77777777" w:rsidR="00292E78" w:rsidRDefault="00292E78" w:rsidP="004C3F74">
            <w:pPr>
              <w:rPr>
                <w:b/>
                <w:bCs/>
              </w:rPr>
            </w:pPr>
            <w:r w:rsidRPr="00F11E18">
              <w:rPr>
                <w:b/>
                <w:bCs/>
                <w:noProof/>
              </w:rPr>
              <w:drawing>
                <wp:inline distT="0" distB="0" distL="0" distR="0" wp14:anchorId="2D4625E9" wp14:editId="693E0545">
                  <wp:extent cx="2514473" cy="1751846"/>
                  <wp:effectExtent l="0" t="0" r="635" b="1270"/>
                  <wp:docPr id="121082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1809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748" cy="175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0" w:type="dxa"/>
          </w:tcPr>
          <w:p w14:paraId="776CFE9E" w14:textId="77777777" w:rsidR="00292E78" w:rsidRDefault="00292E78" w:rsidP="004C3F74">
            <w:pPr>
              <w:rPr>
                <w:b/>
                <w:bCs/>
              </w:rPr>
            </w:pPr>
            <w:r w:rsidRPr="00F11E18">
              <w:rPr>
                <w:b/>
                <w:bCs/>
                <w:noProof/>
              </w:rPr>
              <w:drawing>
                <wp:inline distT="0" distB="0" distL="0" distR="0" wp14:anchorId="0396A07B" wp14:editId="5165EC12">
                  <wp:extent cx="2983973" cy="1960075"/>
                  <wp:effectExtent l="0" t="0" r="6985" b="2540"/>
                  <wp:docPr id="165446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79313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258" cy="19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E78" w14:paraId="2276F09C" w14:textId="77777777" w:rsidTr="004C3F74">
        <w:tc>
          <w:tcPr>
            <w:tcW w:w="5125" w:type="dxa"/>
          </w:tcPr>
          <w:p w14:paraId="244D0E94" w14:textId="77777777" w:rsidR="00292E78" w:rsidRDefault="00292E78" w:rsidP="004C3F74">
            <w:pPr>
              <w:spacing w:before="120" w:after="120"/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324F75">
              <w:rPr>
                <w:b/>
                <w:bCs/>
                <w:sz w:val="20"/>
                <w:szCs w:val="20"/>
              </w:rPr>
              <w:t xml:space="preserve">Government revenue, % of GDP,  vis-à-vis </w:t>
            </w:r>
            <w:r w:rsidRPr="00C97FD8">
              <w:rPr>
                <w:b/>
                <w:bCs/>
                <w:color w:val="BF4E14" w:themeColor="accent2" w:themeShade="BF"/>
                <w:sz w:val="20"/>
                <w:szCs w:val="20"/>
              </w:rPr>
              <w:t>trend</w:t>
            </w:r>
          </w:p>
          <w:p w14:paraId="3B35034E" w14:textId="77777777" w:rsidR="00292E78" w:rsidRPr="008F183B" w:rsidRDefault="00292E78" w:rsidP="00970470">
            <w:pPr>
              <w:spacing w:before="120"/>
              <w:rPr>
                <w:b/>
                <w:bCs/>
                <w:sz w:val="20"/>
                <w:szCs w:val="20"/>
              </w:rPr>
            </w:pPr>
            <w:r>
              <w:rPr>
                <w:i/>
                <w:iCs/>
                <w:sz w:val="18"/>
                <w:szCs w:val="18"/>
              </w:rPr>
              <w:t>…a</w:t>
            </w:r>
            <w:r w:rsidRPr="008F183B">
              <w:rPr>
                <w:i/>
                <w:iCs/>
                <w:sz w:val="18"/>
                <w:szCs w:val="18"/>
              </w:rPr>
              <w:t xml:space="preserve">nd </w:t>
            </w:r>
            <w:r>
              <w:rPr>
                <w:i/>
                <w:iCs/>
                <w:sz w:val="18"/>
                <w:szCs w:val="18"/>
              </w:rPr>
              <w:t>strong upturn in govt revenue….</w:t>
            </w:r>
          </w:p>
        </w:tc>
        <w:tc>
          <w:tcPr>
            <w:tcW w:w="4950" w:type="dxa"/>
          </w:tcPr>
          <w:p w14:paraId="7BCCA25F" w14:textId="77777777" w:rsidR="00292E78" w:rsidRDefault="00292E78" w:rsidP="004C3F7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5B6FF3">
              <w:rPr>
                <w:b/>
                <w:bCs/>
                <w:sz w:val="20"/>
                <w:szCs w:val="20"/>
              </w:rPr>
              <w:t>Fiscal impulse (discr</w:t>
            </w:r>
            <w:r>
              <w:rPr>
                <w:b/>
                <w:bCs/>
                <w:sz w:val="20"/>
                <w:szCs w:val="20"/>
              </w:rPr>
              <w:t>.</w:t>
            </w:r>
            <w:r w:rsidRPr="005B6FF3">
              <w:rPr>
                <w:b/>
                <w:bCs/>
                <w:sz w:val="20"/>
                <w:szCs w:val="20"/>
              </w:rPr>
              <w:t xml:space="preserve"> def. &amp; change structural def.)</w:t>
            </w:r>
          </w:p>
          <w:p w14:paraId="747E0AF3" w14:textId="77777777" w:rsidR="00292E78" w:rsidRPr="005B6FF3" w:rsidRDefault="00292E78" w:rsidP="00970470">
            <w:pPr>
              <w:spacing w:before="120"/>
              <w:rPr>
                <w:b/>
                <w:bCs/>
                <w:sz w:val="20"/>
                <w:szCs w:val="20"/>
              </w:rPr>
            </w:pPr>
            <w:r>
              <w:rPr>
                <w:i/>
                <w:iCs/>
                <w:sz w:val="18"/>
                <w:szCs w:val="18"/>
              </w:rPr>
              <w:t>entailing negative fiscal impulse on private demand (indirect)</w:t>
            </w:r>
          </w:p>
        </w:tc>
      </w:tr>
      <w:tr w:rsidR="00292E78" w14:paraId="5FFE570D" w14:textId="77777777" w:rsidTr="004C3F74">
        <w:tc>
          <w:tcPr>
            <w:tcW w:w="5125" w:type="dxa"/>
          </w:tcPr>
          <w:p w14:paraId="47F94C8A" w14:textId="77777777" w:rsidR="00292E78" w:rsidRDefault="00292E78" w:rsidP="004C3F74">
            <w:pPr>
              <w:rPr>
                <w:b/>
                <w:bCs/>
              </w:rPr>
            </w:pPr>
          </w:p>
          <w:p w14:paraId="41FA28FE" w14:textId="77777777" w:rsidR="00292E78" w:rsidRDefault="00292E78" w:rsidP="004C3F74">
            <w:pPr>
              <w:rPr>
                <w:b/>
                <w:bCs/>
              </w:rPr>
            </w:pPr>
            <w:r w:rsidRPr="005B6FF3">
              <w:rPr>
                <w:b/>
                <w:bCs/>
                <w:noProof/>
              </w:rPr>
              <w:drawing>
                <wp:inline distT="0" distB="0" distL="0" distR="0" wp14:anchorId="79AF721D" wp14:editId="1E198E3E">
                  <wp:extent cx="3117215" cy="2503284"/>
                  <wp:effectExtent l="0" t="0" r="6985" b="0"/>
                  <wp:docPr id="941557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34180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464" cy="2505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0" w:type="dxa"/>
          </w:tcPr>
          <w:p w14:paraId="35037077" w14:textId="77777777" w:rsidR="00292E78" w:rsidRDefault="00292E78" w:rsidP="004C3F74">
            <w:pPr>
              <w:rPr>
                <w:b/>
                <w:bCs/>
              </w:rPr>
            </w:pPr>
            <w:r w:rsidRPr="005C5416">
              <w:rPr>
                <w:b/>
                <w:bCs/>
                <w:noProof/>
              </w:rPr>
              <w:drawing>
                <wp:inline distT="0" distB="0" distL="0" distR="0" wp14:anchorId="2508CC0B" wp14:editId="4EE276C4">
                  <wp:extent cx="3037604" cy="2620978"/>
                  <wp:effectExtent l="0" t="0" r="0" b="8255"/>
                  <wp:docPr id="1170242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72807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5" cy="270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E78" w14:paraId="435BA141" w14:textId="77777777" w:rsidTr="00495F8B">
        <w:tc>
          <w:tcPr>
            <w:tcW w:w="10075" w:type="dxa"/>
            <w:gridSpan w:val="2"/>
          </w:tcPr>
          <w:p w14:paraId="31BD39B5" w14:textId="043CBCB5" w:rsidR="00292E78" w:rsidRPr="005C5416" w:rsidRDefault="00292E78" w:rsidP="00970470">
            <w:pPr>
              <w:rPr>
                <w:b/>
                <w:bCs/>
              </w:rPr>
            </w:pPr>
            <w:r w:rsidRPr="00292E78">
              <w:rPr>
                <w:b/>
                <w:bCs/>
                <w:color w:val="3A7C22" w:themeColor="accent6" w:themeShade="BF"/>
              </w:rPr>
              <w:t>==&gt;for intMF</w:t>
            </w:r>
            <w:r w:rsidRPr="00970470">
              <w:rPr>
                <w:sz w:val="20"/>
                <w:szCs w:val="20"/>
              </w:rPr>
              <w:t>: revisit post-PCI fiscal path, in line with gradual move to sustainable debt &amp; deficit levels</w:t>
            </w:r>
            <w:r>
              <w:t xml:space="preserve"> </w:t>
            </w:r>
          </w:p>
        </w:tc>
      </w:tr>
    </w:tbl>
    <w:p w14:paraId="6D14476F" w14:textId="06A9D1CD" w:rsidR="0090458A" w:rsidRDefault="0090458A" w:rsidP="00EC3BE4">
      <w:pPr>
        <w:spacing w:after="0"/>
      </w:pPr>
      <w:r w:rsidRPr="0090458A">
        <w:rPr>
          <w:b/>
          <w:bCs/>
        </w:rPr>
        <w:lastRenderedPageBreak/>
        <w:t>5. E</w:t>
      </w:r>
      <w:r w:rsidR="00BD3485">
        <w:rPr>
          <w:b/>
          <w:bCs/>
        </w:rPr>
        <w:t>xchange rate (E</w:t>
      </w:r>
      <w:r w:rsidRPr="0090458A">
        <w:rPr>
          <w:b/>
          <w:bCs/>
        </w:rPr>
        <w:t>R</w:t>
      </w:r>
      <w:r w:rsidR="00BD3485">
        <w:rPr>
          <w:b/>
          <w:bCs/>
        </w:rPr>
        <w:t>)</w:t>
      </w:r>
      <w:r w:rsidR="00EC3BE4">
        <w:rPr>
          <w:b/>
          <w:bCs/>
        </w:rPr>
        <w:t>:</w:t>
      </w:r>
      <w:r w:rsidRPr="0090458A">
        <w:rPr>
          <w:b/>
          <w:bCs/>
        </w:rPr>
        <w:t> </w:t>
      </w:r>
      <w:r w:rsidRPr="0090458A">
        <w:t xml:space="preserve">returns </w:t>
      </w:r>
      <w:r w:rsidR="00D20CF9">
        <w:t xml:space="preserve">gradually </w:t>
      </w:r>
      <w:r w:rsidRPr="0090458A">
        <w:t>to path of only correcting for inflation differentials (</w:t>
      </w:r>
      <w:r w:rsidR="00292E78">
        <w:t>3</w:t>
      </w:r>
      <w:r w:rsidRPr="0090458A">
        <w:t>% py)</w:t>
      </w:r>
    </w:p>
    <w:p w14:paraId="743382B1" w14:textId="77777777" w:rsidR="00292E78" w:rsidRDefault="00292E78" w:rsidP="00EC3BE4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4675"/>
      </w:tblGrid>
      <w:tr w:rsidR="00292E78" w14:paraId="4BA9ADE0" w14:textId="77777777" w:rsidTr="007E2081">
        <w:tc>
          <w:tcPr>
            <w:tcW w:w="4945" w:type="dxa"/>
          </w:tcPr>
          <w:p w14:paraId="2F587389" w14:textId="6DFA9183" w:rsidR="00292E78" w:rsidRDefault="00292E78" w:rsidP="00292E78">
            <w:pPr>
              <w:pStyle w:val="ListParagraph"/>
              <w:numPr>
                <w:ilvl w:val="0"/>
                <w:numId w:val="1"/>
              </w:numPr>
            </w:pPr>
            <w:r w:rsidRPr="0090458A">
              <w:t>recent </w:t>
            </w:r>
            <w:r>
              <w:t xml:space="preserve">real </w:t>
            </w:r>
            <w:r w:rsidRPr="0090458A">
              <w:t xml:space="preserve">overvaluation (mostly </w:t>
            </w:r>
            <w:r>
              <w:t xml:space="preserve">from </w:t>
            </w:r>
            <w:r w:rsidRPr="0090458A">
              <w:t>2022-23 inflation episode) has already been more than corrected with NBR's 2023-24 steep depreciation</w:t>
            </w:r>
            <w:r w:rsidR="007E2081">
              <w:t xml:space="preserve"> and resulting RER depreciation</w:t>
            </w:r>
          </w:p>
          <w:p w14:paraId="068E8001" w14:textId="77777777" w:rsidR="007E2081" w:rsidRDefault="007E2081" w:rsidP="007E2081">
            <w:pPr>
              <w:pStyle w:val="ListParagraph"/>
              <w:numPr>
                <w:ilvl w:val="0"/>
                <w:numId w:val="1"/>
              </w:numPr>
            </w:pPr>
            <w:r w:rsidRPr="0090458A">
              <w:t xml:space="preserve">QMFM projects return to ER policy rule </w:t>
            </w:r>
            <w:r>
              <w:t>(mostly moving with</w:t>
            </w:r>
            <w:r w:rsidRPr="0090458A">
              <w:t xml:space="preserve"> inflation differentials</w:t>
            </w:r>
            <w:r>
              <w:t>)</w:t>
            </w:r>
            <w:r w:rsidRPr="0090458A">
              <w:t xml:space="preserve">, </w:t>
            </w:r>
            <w:r>
              <w:t xml:space="preserve">with </w:t>
            </w:r>
            <w:r w:rsidRPr="0090458A">
              <w:t>no need for further RER depreciation</w:t>
            </w:r>
          </w:p>
          <w:p w14:paraId="2EAA5EB9" w14:textId="77777777" w:rsidR="007E2081" w:rsidRDefault="007E2081" w:rsidP="007E2081">
            <w:pPr>
              <w:pStyle w:val="ListParagraph"/>
              <w:numPr>
                <w:ilvl w:val="0"/>
                <w:numId w:val="1"/>
              </w:numPr>
              <w:spacing w:after="120"/>
            </w:pPr>
            <w:r w:rsidRPr="0090458A">
              <w:t>PCI</w:t>
            </w:r>
            <w:r>
              <w:t>, instead,</w:t>
            </w:r>
            <w:r w:rsidRPr="0090458A">
              <w:t xml:space="preserve"> "poses" lingering overvaluation of 15%</w:t>
            </w:r>
            <w:r>
              <w:t xml:space="preserve"> (which evidence?)</w:t>
            </w:r>
            <w:r w:rsidRPr="0090458A">
              <w:t xml:space="preserve"> </w:t>
            </w:r>
            <w:r>
              <w:t>requiring</w:t>
            </w:r>
            <w:r w:rsidRPr="0090458A">
              <w:t xml:space="preserve"> more depreciation</w:t>
            </w:r>
            <w:r>
              <w:t>, as built into PCI projection for 2024-28</w:t>
            </w:r>
          </w:p>
          <w:p w14:paraId="491A69FF" w14:textId="77777777" w:rsidR="00292E78" w:rsidRDefault="00292E78" w:rsidP="00EC3BE4"/>
        </w:tc>
        <w:tc>
          <w:tcPr>
            <w:tcW w:w="4675" w:type="dxa"/>
          </w:tcPr>
          <w:p w14:paraId="15612A8A" w14:textId="05477439" w:rsidR="00292E78" w:rsidRDefault="00292E78" w:rsidP="007E2081">
            <w:pPr>
              <w:spacing w:before="120" w:after="120"/>
            </w:pPr>
            <w:r w:rsidRPr="00292E78">
              <w:rPr>
                <w:b/>
                <w:bCs/>
                <w:color w:val="215E99" w:themeColor="text2" w:themeTint="BF"/>
                <w:sz w:val="20"/>
                <w:szCs w:val="20"/>
                <w:lang w:val="fr-FR"/>
              </w:rPr>
              <w:t xml:space="preserve">Chart 5a. </w:t>
            </w:r>
            <w:r w:rsidRPr="00292E78">
              <w:rPr>
                <w:b/>
                <w:bCs/>
                <w:color w:val="215E99" w:themeColor="text2" w:themeTint="BF"/>
                <w:sz w:val="20"/>
                <w:szCs w:val="20"/>
              </w:rPr>
              <w:t>Real exchan</w:t>
            </w:r>
            <w:r w:rsidRPr="00292E78">
              <w:rPr>
                <w:b/>
                <w:bCs/>
                <w:color w:val="3A7C22" w:themeColor="accent6" w:themeShade="BF"/>
                <w:sz w:val="20"/>
                <w:szCs w:val="20"/>
              </w:rPr>
              <w:t xml:space="preserve">ge </w:t>
            </w:r>
            <w:r w:rsidRPr="00292E78">
              <w:rPr>
                <w:b/>
                <w:bCs/>
                <w:color w:val="215E99" w:themeColor="text2" w:themeTint="BF"/>
                <w:sz w:val="20"/>
                <w:szCs w:val="20"/>
              </w:rPr>
              <w:t>rate</w:t>
            </w:r>
            <w:r w:rsidRPr="00292E78">
              <w:rPr>
                <w:b/>
                <w:bCs/>
                <w:color w:val="BF4E14" w:themeColor="accent2" w:themeShade="BF"/>
                <w:sz w:val="20"/>
                <w:szCs w:val="20"/>
              </w:rPr>
              <w:t xml:space="preserve"> </w:t>
            </w:r>
            <w:r w:rsidRPr="00292E78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and </w:t>
            </w:r>
            <w:r w:rsidRPr="00292E78">
              <w:rPr>
                <w:b/>
                <w:bCs/>
                <w:color w:val="BF4E14" w:themeColor="accent2" w:themeShade="BF"/>
                <w:sz w:val="20"/>
                <w:szCs w:val="20"/>
              </w:rPr>
              <w:t xml:space="preserve">trend </w:t>
            </w:r>
            <w:r w:rsidRPr="007E2081">
              <w:rPr>
                <w:sz w:val="18"/>
                <w:szCs w:val="18"/>
              </w:rPr>
              <w:t>(log-levels)</w:t>
            </w:r>
            <w:r w:rsidR="007E2081" w:rsidRPr="00201F86">
              <w:rPr>
                <w:b/>
                <w:bCs/>
                <w:noProof/>
              </w:rPr>
              <w:drawing>
                <wp:inline distT="0" distB="0" distL="0" distR="0" wp14:anchorId="3E336783" wp14:editId="5B0E9017">
                  <wp:extent cx="2549525" cy="2127186"/>
                  <wp:effectExtent l="0" t="0" r="3175" b="6985"/>
                  <wp:docPr id="1710994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1296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159" cy="214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E78" w14:paraId="45BA396D" w14:textId="77777777" w:rsidTr="007E2081">
        <w:trPr>
          <w:trHeight w:val="3473"/>
        </w:trPr>
        <w:tc>
          <w:tcPr>
            <w:tcW w:w="4945" w:type="dxa"/>
          </w:tcPr>
          <w:p w14:paraId="624A6B02" w14:textId="77777777" w:rsidR="00292E78" w:rsidRDefault="007E2081" w:rsidP="00EC3BE4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7E2081">
              <w:rPr>
                <w:b/>
                <w:bCs/>
                <w:color w:val="215E99" w:themeColor="text2" w:themeTint="BF"/>
                <w:sz w:val="20"/>
                <w:szCs w:val="20"/>
              </w:rPr>
              <w:t>Chart 5</w:t>
            </w: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>b</w:t>
            </w:r>
            <w:r w:rsidRPr="007E2081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>Nomin</w:t>
            </w:r>
            <w:r w:rsidRPr="00292E78">
              <w:rPr>
                <w:b/>
                <w:bCs/>
                <w:color w:val="215E99" w:themeColor="text2" w:themeTint="BF"/>
                <w:sz w:val="20"/>
                <w:szCs w:val="20"/>
              </w:rPr>
              <w:t>al exchan</w:t>
            </w:r>
            <w:r w:rsidRPr="00292E78">
              <w:rPr>
                <w:b/>
                <w:bCs/>
                <w:color w:val="3A7C22" w:themeColor="accent6" w:themeShade="BF"/>
                <w:sz w:val="20"/>
                <w:szCs w:val="20"/>
              </w:rPr>
              <w:t xml:space="preserve">ge </w:t>
            </w:r>
            <w:r w:rsidRPr="00292E78">
              <w:rPr>
                <w:b/>
                <w:bCs/>
                <w:color w:val="215E99" w:themeColor="text2" w:themeTint="BF"/>
                <w:sz w:val="20"/>
                <w:szCs w:val="20"/>
              </w:rPr>
              <w:t>rat</w:t>
            </w: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>e</w:t>
            </w:r>
            <w:r w:rsidRPr="007E2081">
              <w:rPr>
                <w:b/>
                <w:bCs/>
                <w:color w:val="3A7C22" w:themeColor="accent6" w:themeShade="BF"/>
                <w:sz w:val="20"/>
                <w:szCs w:val="20"/>
              </w:rPr>
              <w:t>,</w:t>
            </w:r>
            <w:r w:rsidRPr="007E2081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y-on-y growth in %</w:t>
            </w:r>
          </w:p>
          <w:p w14:paraId="2AB59BD4" w14:textId="09E6963A" w:rsidR="007E2081" w:rsidRDefault="007E2081" w:rsidP="00EC3BE4">
            <w:pPr>
              <w:rPr>
                <w:b/>
                <w:bCs/>
                <w:color w:val="3A7C22" w:themeColor="accent6" w:themeShade="BF"/>
                <w:sz w:val="20"/>
                <w:szCs w:val="20"/>
              </w:rPr>
            </w:pP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    </w:t>
            </w:r>
            <w:r w:rsidRPr="009E0984">
              <w:rPr>
                <w:b/>
                <w:bCs/>
                <w:noProof/>
              </w:rPr>
              <w:drawing>
                <wp:inline distT="0" distB="0" distL="0" distR="0" wp14:anchorId="584A79D8" wp14:editId="65289A23">
                  <wp:extent cx="2459990" cy="1783533"/>
                  <wp:effectExtent l="0" t="0" r="0" b="7620"/>
                  <wp:docPr id="1088702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81144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031" cy="1805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037A0" w14:textId="5E53091A" w:rsidR="007E2081" w:rsidRDefault="007E2081" w:rsidP="00EC3BE4">
            <w:r>
              <w:t xml:space="preserve"> </w:t>
            </w:r>
          </w:p>
        </w:tc>
        <w:tc>
          <w:tcPr>
            <w:tcW w:w="4675" w:type="dxa"/>
          </w:tcPr>
          <w:p w14:paraId="322B7C23" w14:textId="1CF989CE" w:rsidR="007E2081" w:rsidRDefault="007E2081" w:rsidP="007E2081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 w:rsidRPr="007E2081">
              <w:rPr>
                <w:b/>
                <w:bCs/>
                <w:color w:val="215E99" w:themeColor="text2" w:themeTint="BF"/>
                <w:sz w:val="20"/>
                <w:szCs w:val="20"/>
              </w:rPr>
              <w:t>Chart 5</w:t>
            </w: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>c</w:t>
            </w:r>
            <w:r w:rsidRPr="007E2081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>Real</w:t>
            </w:r>
            <w:r w:rsidRPr="00292E78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exchan</w:t>
            </w:r>
            <w:r w:rsidRPr="00292E78">
              <w:rPr>
                <w:b/>
                <w:bCs/>
                <w:color w:val="3A7C22" w:themeColor="accent6" w:themeShade="BF"/>
                <w:sz w:val="20"/>
                <w:szCs w:val="20"/>
              </w:rPr>
              <w:t xml:space="preserve">ge </w:t>
            </w:r>
            <w:r w:rsidRPr="00292E78">
              <w:rPr>
                <w:b/>
                <w:bCs/>
                <w:color w:val="215E99" w:themeColor="text2" w:themeTint="BF"/>
                <w:sz w:val="20"/>
                <w:szCs w:val="20"/>
              </w:rPr>
              <w:t>rat</w:t>
            </w: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>e</w:t>
            </w:r>
            <w:r w:rsidRPr="007E2081">
              <w:rPr>
                <w:b/>
                <w:bCs/>
                <w:color w:val="3A7C22" w:themeColor="accent6" w:themeShade="BF"/>
                <w:sz w:val="20"/>
                <w:szCs w:val="20"/>
              </w:rPr>
              <w:t>,</w:t>
            </w:r>
            <w:r w:rsidRPr="007E2081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y-on-y growth in %</w:t>
            </w:r>
          </w:p>
          <w:p w14:paraId="49AAC545" w14:textId="21205873" w:rsidR="007E2081" w:rsidRDefault="007E2081" w:rsidP="007E2081">
            <w:pPr>
              <w:rPr>
                <w:b/>
                <w:bCs/>
                <w:color w:val="215E99" w:themeColor="text2" w:themeTint="BF"/>
                <w:sz w:val="20"/>
                <w:szCs w:val="20"/>
              </w:rPr>
            </w:pP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    </w:t>
            </w:r>
            <w:r w:rsidRPr="009E0984">
              <w:rPr>
                <w:b/>
                <w:bCs/>
                <w:noProof/>
              </w:rPr>
              <w:drawing>
                <wp:inline distT="0" distB="0" distL="0" distR="0" wp14:anchorId="70EDF077" wp14:editId="53FB9C58">
                  <wp:extent cx="2625751" cy="1887648"/>
                  <wp:effectExtent l="0" t="0" r="3175" b="0"/>
                  <wp:docPr id="1901807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5302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837" cy="191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2D962" w14:textId="77777777" w:rsidR="00292E78" w:rsidRDefault="00292E78" w:rsidP="00EC3BE4"/>
        </w:tc>
      </w:tr>
      <w:tr w:rsidR="00292E78" w14:paraId="026C44FC" w14:textId="77777777" w:rsidTr="00694B62">
        <w:tc>
          <w:tcPr>
            <w:tcW w:w="9620" w:type="dxa"/>
            <w:gridSpan w:val="2"/>
          </w:tcPr>
          <w:p w14:paraId="74B943D5" w14:textId="2A5A10A9" w:rsidR="00292E78" w:rsidRDefault="00292E78" w:rsidP="007E2081">
            <w:r w:rsidRPr="00643481">
              <w:rPr>
                <w:b/>
                <w:bCs/>
                <w:color w:val="3A7C22" w:themeColor="accent6" w:themeShade="BF"/>
              </w:rPr>
              <w:t>==&gt;</w:t>
            </w:r>
            <w:r w:rsidRPr="00292E78">
              <w:rPr>
                <w:b/>
                <w:bCs/>
                <w:color w:val="3A7C22" w:themeColor="accent6" w:themeShade="BF"/>
              </w:rPr>
              <w:t>for intMF:</w:t>
            </w:r>
            <w:r w:rsidRPr="00292E78">
              <w:rPr>
                <w:color w:val="3A7C22" w:themeColor="accent6" w:themeShade="BF"/>
              </w:rPr>
              <w:t xml:space="preserve"> </w:t>
            </w:r>
            <w:r w:rsidRPr="007E2081">
              <w:rPr>
                <w:sz w:val="20"/>
                <w:szCs w:val="20"/>
              </w:rPr>
              <w:t>ER depreciation can slow down, with less need for intervention (note that RSF and SCF should </w:t>
            </w:r>
            <w:r w:rsidRPr="007E2081">
              <w:rPr>
                <w:b/>
                <w:bCs/>
                <w:sz w:val="20"/>
                <w:szCs w:val="20"/>
              </w:rPr>
              <w:t>not</w:t>
            </w:r>
            <w:r w:rsidRPr="007E2081">
              <w:rPr>
                <w:sz w:val="20"/>
                <w:szCs w:val="20"/>
              </w:rPr>
              <w:t> be excluded from reserve coverage, </w:t>
            </w:r>
            <w:r w:rsidRPr="007E2081">
              <w:rPr>
                <w:i/>
                <w:iCs/>
                <w:sz w:val="20"/>
                <w:szCs w:val="20"/>
              </w:rPr>
              <w:t>nonsensical esp. as all RSF is channeled to budget</w:t>
            </w:r>
            <w:r w:rsidRPr="007E2081">
              <w:rPr>
                <w:sz w:val="20"/>
                <w:szCs w:val="20"/>
              </w:rPr>
              <w:t>)</w:t>
            </w:r>
          </w:p>
        </w:tc>
      </w:tr>
    </w:tbl>
    <w:p w14:paraId="1364194F" w14:textId="77777777" w:rsidR="00292E78" w:rsidRPr="0090458A" w:rsidRDefault="00292E78" w:rsidP="00EC3BE4">
      <w:pPr>
        <w:spacing w:after="0"/>
      </w:pPr>
    </w:p>
    <w:p w14:paraId="1BE10C67" w14:textId="77777777" w:rsidR="00292E78" w:rsidRPr="0090458A" w:rsidRDefault="00292E78" w:rsidP="00292E78">
      <w:pPr>
        <w:spacing w:after="120"/>
        <w:ind w:left="144"/>
      </w:pPr>
    </w:p>
    <w:p w14:paraId="0A5978B9" w14:textId="77777777" w:rsidR="006648E5" w:rsidRDefault="006648E5">
      <w:pPr>
        <w:rPr>
          <w:b/>
          <w:bCs/>
        </w:rPr>
      </w:pPr>
      <w:r>
        <w:rPr>
          <w:b/>
          <w:bCs/>
        </w:rPr>
        <w:br w:type="page"/>
      </w:r>
    </w:p>
    <w:p w14:paraId="4425ABCF" w14:textId="6DB277B6" w:rsidR="00975ADB" w:rsidRPr="0090458A" w:rsidRDefault="0090458A" w:rsidP="00975ADB">
      <w:r w:rsidRPr="0090458A">
        <w:rPr>
          <w:b/>
          <w:bCs/>
        </w:rPr>
        <w:lastRenderedPageBreak/>
        <w:t xml:space="preserve">6. </w:t>
      </w:r>
      <w:proofErr w:type="gramStart"/>
      <w:r w:rsidRPr="0090458A">
        <w:rPr>
          <w:b/>
          <w:bCs/>
        </w:rPr>
        <w:t>RIR  lending</w:t>
      </w:r>
      <w:proofErr w:type="gramEnd"/>
      <w:r w:rsidRPr="0090458A">
        <w:rPr>
          <w:b/>
          <w:bCs/>
        </w:rPr>
        <w:t xml:space="preserve"> rate</w:t>
      </w:r>
      <w:r w:rsidR="004D378F">
        <w:rPr>
          <w:b/>
          <w:bCs/>
        </w:rPr>
        <w:t>:</w:t>
      </w:r>
      <w:r w:rsidRPr="0090458A">
        <w:rPr>
          <w:b/>
          <w:bCs/>
        </w:rPr>
        <w:t> </w:t>
      </w:r>
      <w:r w:rsidRPr="0090458A">
        <w:t xml:space="preserve">expected to go </w:t>
      </w:r>
      <w:r w:rsidR="00975ADB">
        <w:t xml:space="preserve">back </w:t>
      </w:r>
      <w:r w:rsidRPr="0090458A">
        <w:t>up</w:t>
      </w:r>
      <w:r w:rsidRPr="0090458A">
        <w:rPr>
          <w:b/>
          <w:bCs/>
        </w:rPr>
        <w:t> </w:t>
      </w:r>
      <w:r w:rsidRPr="0090458A">
        <w:t>to normal (</w:t>
      </w:r>
      <w:r w:rsidR="00975ADB" w:rsidRPr="00975ADB">
        <w:rPr>
          <w:u w:val="single"/>
        </w:rPr>
        <w:t>+</w:t>
      </w:r>
      <w:r w:rsidRPr="0090458A">
        <w:t>12%</w:t>
      </w:r>
      <w:r w:rsidR="00CD2888">
        <w:t xml:space="preserve">, for 8% </w:t>
      </w:r>
      <w:r w:rsidR="00F279DA">
        <w:t>premium</w:t>
      </w:r>
      <w:r w:rsidR="00CD2888">
        <w:t xml:space="preserve"> above </w:t>
      </w:r>
      <w:r w:rsidR="00975ADB">
        <w:t>RIR-</w:t>
      </w:r>
      <w:r w:rsidR="00CD2888">
        <w:t>I</w:t>
      </w:r>
      <w:r w:rsidR="00975ADB">
        <w:t>nterbank</w:t>
      </w:r>
      <w:r w:rsidR="00CD2888">
        <w:t xml:space="preserve"> </w:t>
      </w:r>
      <w:r w:rsidR="00975ADB">
        <w:t>(IB</w:t>
      </w:r>
      <w:r w:rsidRPr="0090458A">
        <w:t xml:space="preserve">), but </w:t>
      </w:r>
      <w:r w:rsidR="00975ADB">
        <w:t>stay</w:t>
      </w:r>
      <w:r w:rsidR="004D378F">
        <w:t xml:space="preserve"> </w:t>
      </w:r>
      <w:r w:rsidRPr="0090458A">
        <w:t xml:space="preserve">above pre-Covid </w:t>
      </w:r>
      <w:r w:rsidR="004D378F">
        <w:t xml:space="preserve">level </w:t>
      </w:r>
      <w:r w:rsidRPr="0090458A">
        <w:t>as world RIR</w:t>
      </w:r>
      <w:r w:rsidR="004D378F">
        <w:t xml:space="preserve"> </w:t>
      </w:r>
      <w:r w:rsidR="00005090">
        <w:t>rises</w:t>
      </w:r>
      <w:r w:rsidR="00975ADB">
        <w:t xml:space="preserve"> to reach</w:t>
      </w:r>
      <w:r w:rsidRPr="0090458A">
        <w:t xml:space="preserve"> 1.5% (from negative in recent years)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5215"/>
        <w:gridCol w:w="4590"/>
      </w:tblGrid>
      <w:tr w:rsidR="007E2081" w14:paraId="4BF0CA91" w14:textId="77777777" w:rsidTr="005D2F22">
        <w:tc>
          <w:tcPr>
            <w:tcW w:w="5215" w:type="dxa"/>
          </w:tcPr>
          <w:p w14:paraId="238181EF" w14:textId="77777777" w:rsidR="007E2081" w:rsidRDefault="007E2081" w:rsidP="007E2081">
            <w:pPr>
              <w:pStyle w:val="ListParagraph"/>
              <w:numPr>
                <w:ilvl w:val="0"/>
                <w:numId w:val="1"/>
              </w:numPr>
            </w:pPr>
            <w:r>
              <w:t xml:space="preserve">during most of 2022-24, RIR lending rates have been low (below trend), thus stimulating demand, </w:t>
            </w:r>
          </w:p>
          <w:p w14:paraId="3A62698B" w14:textId="77777777" w:rsidR="007E2081" w:rsidRDefault="007E2081" w:rsidP="007E2081">
            <w:pPr>
              <w:pStyle w:val="ListParagraph"/>
              <w:numPr>
                <w:ilvl w:val="0"/>
                <w:numId w:val="1"/>
              </w:numPr>
            </w:pPr>
            <w:r>
              <w:t>they were rising in recent quarters (as inflation fell), lessening their demand-stimulating effect</w:t>
            </w:r>
          </w:p>
          <w:p w14:paraId="7323BD69" w14:textId="77777777" w:rsidR="007E2081" w:rsidRDefault="007E2081" w:rsidP="007E2081">
            <w:pPr>
              <w:pStyle w:val="ListParagraph"/>
              <w:numPr>
                <w:ilvl w:val="0"/>
                <w:numId w:val="1"/>
              </w:numPr>
            </w:pPr>
            <w:r>
              <w:t>in 2025-26, their return to normal (around 12%) should end their demand-stimulating effect</w:t>
            </w:r>
          </w:p>
          <w:p w14:paraId="6494DE13" w14:textId="77777777" w:rsidR="007E2081" w:rsidRDefault="007E2081">
            <w:pPr>
              <w:rPr>
                <w:b/>
                <w:bCs/>
              </w:rPr>
            </w:pPr>
          </w:p>
        </w:tc>
        <w:tc>
          <w:tcPr>
            <w:tcW w:w="4590" w:type="dxa"/>
          </w:tcPr>
          <w:p w14:paraId="3E187943" w14:textId="3A1189F6" w:rsidR="007E2081" w:rsidRDefault="007E2081" w:rsidP="00970470">
            <w:pPr>
              <w:rPr>
                <w:b/>
                <w:bCs/>
              </w:rPr>
            </w:pPr>
            <w:r w:rsidRPr="00970470">
              <w:rPr>
                <w:b/>
                <w:bCs/>
                <w:color w:val="215E99" w:themeColor="text2" w:themeTint="BF"/>
                <w:sz w:val="20"/>
                <w:szCs w:val="20"/>
              </w:rPr>
              <w:t>Chart 6a.</w:t>
            </w:r>
            <w:r w:rsidRPr="007E2081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</w:t>
            </w:r>
            <w:r w:rsidRPr="00970470">
              <w:rPr>
                <w:b/>
                <w:bCs/>
                <w:color w:val="215E99" w:themeColor="text2" w:themeTint="BF"/>
                <w:sz w:val="20"/>
                <w:szCs w:val="20"/>
              </w:rPr>
              <w:t>Real lending rate</w:t>
            </w:r>
            <w:r w:rsidRPr="005D2F22">
              <w:rPr>
                <w:b/>
                <w:bCs/>
                <w:color w:val="215E99" w:themeColor="text2" w:themeTint="BF"/>
                <w:sz w:val="18"/>
                <w:szCs w:val="18"/>
              </w:rPr>
              <w:t>, deviation fr</w:t>
            </w:r>
            <w:r w:rsidR="005D2F22" w:rsidRPr="005D2F22">
              <w:rPr>
                <w:b/>
                <w:bCs/>
                <w:color w:val="215E99" w:themeColor="text2" w:themeTint="BF"/>
                <w:sz w:val="18"/>
                <w:szCs w:val="18"/>
              </w:rPr>
              <w:t>om</w:t>
            </w:r>
            <w:r w:rsidRPr="005D2F22">
              <w:rPr>
                <w:b/>
                <w:bCs/>
                <w:color w:val="215E99" w:themeColor="text2" w:themeTint="BF"/>
                <w:sz w:val="18"/>
                <w:szCs w:val="18"/>
              </w:rPr>
              <w:t xml:space="preserve"> trend</w:t>
            </w:r>
            <w:r w:rsidR="005D2F22">
              <w:rPr>
                <w:b/>
                <w:bCs/>
                <w:color w:val="215E99" w:themeColor="text2" w:themeTint="BF"/>
                <w:sz w:val="18"/>
                <w:szCs w:val="18"/>
              </w:rPr>
              <w:t xml:space="preserve"> </w:t>
            </w:r>
            <w:r w:rsidRPr="005D2F22">
              <w:rPr>
                <w:b/>
                <w:bCs/>
                <w:color w:val="215E99" w:themeColor="text2" w:themeTint="BF"/>
                <w:sz w:val="18"/>
                <w:szCs w:val="18"/>
              </w:rPr>
              <w:t>%</w:t>
            </w:r>
            <w:r>
              <w:rPr>
                <w:b/>
                <w:bCs/>
              </w:rPr>
              <w:t xml:space="preserve">   </w:t>
            </w:r>
            <w:r w:rsidRPr="005C5416">
              <w:rPr>
                <w:b/>
                <w:bCs/>
                <w:noProof/>
              </w:rPr>
              <w:drawing>
                <wp:inline distT="0" distB="0" distL="0" distR="0" wp14:anchorId="5BE0F1EC" wp14:editId="028F2CA5">
                  <wp:extent cx="2646680" cy="1851434"/>
                  <wp:effectExtent l="0" t="0" r="1270" b="0"/>
                  <wp:docPr id="1574400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2605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329" cy="1870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081" w14:paraId="2156521C" w14:textId="77777777" w:rsidTr="005D2F22">
        <w:tc>
          <w:tcPr>
            <w:tcW w:w="5215" w:type="dxa"/>
          </w:tcPr>
          <w:p w14:paraId="1AFD76E8" w14:textId="7EF442B0" w:rsidR="007E2081" w:rsidRDefault="007E2081" w:rsidP="007E2081">
            <w:pPr>
              <w:pStyle w:val="ListParagraph"/>
              <w:numPr>
                <w:ilvl w:val="0"/>
                <w:numId w:val="1"/>
              </w:numPr>
            </w:pPr>
            <w:r>
              <w:t xml:space="preserve">real lending rates mirror the real policy rate (RIR-IB) through </w:t>
            </w:r>
            <w:r w:rsidR="00005090">
              <w:t xml:space="preserve">a </w:t>
            </w:r>
            <w:r>
              <w:t>transmission mechanism</w:t>
            </w:r>
          </w:p>
          <w:p w14:paraId="6F980499" w14:textId="516F40F1" w:rsidR="007E2081" w:rsidRPr="007E2081" w:rsidRDefault="007E2081" w:rsidP="007E2081">
            <w:pPr>
              <w:pStyle w:val="ListParagraph"/>
              <w:ind w:left="432"/>
            </w:pPr>
          </w:p>
        </w:tc>
        <w:tc>
          <w:tcPr>
            <w:tcW w:w="4590" w:type="dxa"/>
          </w:tcPr>
          <w:p w14:paraId="3BBE6671" w14:textId="77777777" w:rsidR="007E2081" w:rsidRPr="00970470" w:rsidRDefault="00970470">
            <w:pPr>
              <w:rPr>
                <w:b/>
                <w:bCs/>
                <w:color w:val="BF4E14" w:themeColor="accent2" w:themeShade="BF"/>
                <w:sz w:val="18"/>
                <w:szCs w:val="18"/>
              </w:rPr>
            </w:pPr>
            <w:r w:rsidRPr="00970470">
              <w:rPr>
                <w:b/>
                <w:bCs/>
                <w:color w:val="215E99" w:themeColor="text2" w:themeTint="BF"/>
                <w:sz w:val="20"/>
                <w:szCs w:val="20"/>
              </w:rPr>
              <w:t>Chart 6b.</w:t>
            </w:r>
            <w:r w:rsidRPr="00970470">
              <w:rPr>
                <w:b/>
                <w:bCs/>
                <w:color w:val="3A7C22" w:themeColor="accent6" w:themeShade="BF"/>
                <w:sz w:val="20"/>
                <w:szCs w:val="20"/>
              </w:rPr>
              <w:t xml:space="preserve"> Real </w:t>
            </w:r>
            <w:r w:rsidRPr="00F279DA">
              <w:rPr>
                <w:b/>
                <w:bCs/>
                <w:color w:val="215E99" w:themeColor="text2" w:themeTint="BF"/>
                <w:sz w:val="20"/>
                <w:szCs w:val="20"/>
              </w:rPr>
              <w:t>policy interest rate (IB)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970470">
              <w:rPr>
                <w:b/>
                <w:bCs/>
                <w:sz w:val="18"/>
                <w:szCs w:val="18"/>
              </w:rPr>
              <w:t xml:space="preserve">and </w:t>
            </w:r>
            <w:r w:rsidRPr="00970470">
              <w:rPr>
                <w:b/>
                <w:bCs/>
                <w:color w:val="BF4E14" w:themeColor="accent2" w:themeShade="BF"/>
                <w:sz w:val="18"/>
                <w:szCs w:val="18"/>
              </w:rPr>
              <w:t>trend</w:t>
            </w:r>
          </w:p>
          <w:p w14:paraId="35F55F50" w14:textId="038ECE30" w:rsidR="00970470" w:rsidRDefault="0097047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279DA">
              <w:rPr>
                <w:b/>
                <w:bCs/>
                <w:noProof/>
              </w:rPr>
              <w:drawing>
                <wp:inline distT="0" distB="0" distL="0" distR="0" wp14:anchorId="1888C46F" wp14:editId="04BF3C26">
                  <wp:extent cx="2492641" cy="1765300"/>
                  <wp:effectExtent l="0" t="0" r="3175" b="6350"/>
                  <wp:docPr id="495216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63567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649" cy="1773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081" w14:paraId="097DE007" w14:textId="77777777" w:rsidTr="005D2F22">
        <w:tc>
          <w:tcPr>
            <w:tcW w:w="5215" w:type="dxa"/>
          </w:tcPr>
          <w:p w14:paraId="57A46BD5" w14:textId="6C45FE37" w:rsidR="007E2081" w:rsidRPr="00970470" w:rsidRDefault="007E2081" w:rsidP="007E2081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t xml:space="preserve">the neutral </w:t>
            </w:r>
            <w:r w:rsidRPr="0090458A">
              <w:t>policy</w:t>
            </w:r>
            <w:r>
              <w:t xml:space="preserve"> </w:t>
            </w:r>
            <w:r w:rsidRPr="0090458A">
              <w:t>(IB) rat</w:t>
            </w:r>
            <w:r>
              <w:t>e—</w:t>
            </w:r>
            <w:r w:rsidRPr="0090458A">
              <w:t xml:space="preserve">after </w:t>
            </w:r>
            <w:r w:rsidR="005D2F22" w:rsidRPr="0090458A">
              <w:t>a temporary</w:t>
            </w:r>
            <w:r w:rsidRPr="0090458A">
              <w:t> drop with low inflation</w:t>
            </w:r>
            <w:r w:rsidR="00970470">
              <w:t>—i</w:t>
            </w:r>
            <w:r>
              <w:t xml:space="preserve">s </w:t>
            </w:r>
            <w:r w:rsidRPr="0090458A">
              <w:t xml:space="preserve">expected to go up to 8.5-9% (and 4-4.5% in real terms) as world RIR increase and CPI inflation </w:t>
            </w:r>
            <w:r>
              <w:t xml:space="preserve">returns </w:t>
            </w:r>
            <w:r w:rsidRPr="0090458A">
              <w:t>to target</w:t>
            </w:r>
            <w:r>
              <w:rPr>
                <w:rStyle w:val="FootnoteReference"/>
              </w:rPr>
              <w:footnoteReference w:id="3"/>
            </w:r>
          </w:p>
          <w:p w14:paraId="7FB16B5D" w14:textId="4E0A0C4E" w:rsidR="00970470" w:rsidRPr="00970470" w:rsidRDefault="00970470" w:rsidP="00970470">
            <w:pPr>
              <w:ind w:left="72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9718DF">
              <w:rPr>
                <w:b/>
                <w:bCs/>
                <w:noProof/>
              </w:rPr>
              <w:drawing>
                <wp:inline distT="0" distB="0" distL="0" distR="0" wp14:anchorId="20D483ED" wp14:editId="590BE51F">
                  <wp:extent cx="2616451" cy="1778635"/>
                  <wp:effectExtent l="0" t="0" r="0" b="0"/>
                  <wp:docPr id="1484024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51239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717" cy="1808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8D20B" w14:textId="53ECEBDD" w:rsidR="00970470" w:rsidRDefault="00970470" w:rsidP="00970470">
            <w:pPr>
              <w:pStyle w:val="ListParagraph"/>
              <w:ind w:left="288"/>
              <w:rPr>
                <w:b/>
                <w:bCs/>
              </w:rPr>
            </w:pPr>
          </w:p>
        </w:tc>
        <w:tc>
          <w:tcPr>
            <w:tcW w:w="4590" w:type="dxa"/>
          </w:tcPr>
          <w:p w14:paraId="4CD38FAF" w14:textId="77777777" w:rsidR="007E2081" w:rsidRDefault="00970470">
            <w:pPr>
              <w:rPr>
                <w:b/>
                <w:bCs/>
                <w:sz w:val="20"/>
                <w:szCs w:val="20"/>
              </w:rPr>
            </w:pPr>
            <w:r w:rsidRPr="00970470">
              <w:rPr>
                <w:b/>
                <w:bCs/>
                <w:color w:val="215E99" w:themeColor="text2" w:themeTint="BF"/>
                <w:sz w:val="20"/>
                <w:szCs w:val="20"/>
              </w:rPr>
              <w:t>Chart 6</w:t>
            </w:r>
            <w:r>
              <w:rPr>
                <w:b/>
                <w:bCs/>
                <w:color w:val="215E99" w:themeColor="text2" w:themeTint="BF"/>
                <w:sz w:val="20"/>
                <w:szCs w:val="20"/>
              </w:rPr>
              <w:t>c</w:t>
            </w:r>
            <w:r w:rsidRPr="00970470">
              <w:rPr>
                <w:b/>
                <w:bCs/>
                <w:color w:val="215E99" w:themeColor="text2" w:themeTint="BF"/>
                <w:sz w:val="20"/>
                <w:szCs w:val="20"/>
              </w:rPr>
              <w:t>.</w:t>
            </w:r>
            <w:r w:rsidRPr="00F279DA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 </w:t>
            </w:r>
            <w:r w:rsidRPr="005C5416">
              <w:rPr>
                <w:b/>
                <w:bCs/>
                <w:color w:val="215E99" w:themeColor="text2" w:themeTint="BF"/>
                <w:sz w:val="20"/>
                <w:szCs w:val="20"/>
              </w:rPr>
              <w:t xml:space="preserve">Policy rate </w:t>
            </w:r>
            <w:r w:rsidRPr="00F279DA">
              <w:rPr>
                <w:b/>
                <w:bCs/>
                <w:color w:val="215E99" w:themeColor="text2" w:themeTint="BF"/>
                <w:sz w:val="20"/>
                <w:szCs w:val="20"/>
              </w:rPr>
              <w:t>(IB)</w:t>
            </w:r>
            <w:r>
              <w:rPr>
                <w:b/>
                <w:bCs/>
                <w:sz w:val="20"/>
                <w:szCs w:val="20"/>
              </w:rPr>
              <w:t xml:space="preserve"> and </w:t>
            </w:r>
            <w:r w:rsidRPr="005C5416">
              <w:rPr>
                <w:b/>
                <w:bCs/>
                <w:color w:val="BF4E14" w:themeColor="accent2" w:themeShade="BF"/>
                <w:sz w:val="20"/>
                <w:szCs w:val="20"/>
              </w:rPr>
              <w:t>neutral rate</w:t>
            </w:r>
            <w:r>
              <w:rPr>
                <w:b/>
                <w:bCs/>
                <w:sz w:val="20"/>
                <w:szCs w:val="20"/>
              </w:rPr>
              <w:t>, %</w:t>
            </w:r>
          </w:p>
          <w:p w14:paraId="0CBEA99F" w14:textId="24875245" w:rsidR="00970470" w:rsidRDefault="0097047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9718DF">
              <w:rPr>
                <w:b/>
                <w:bCs/>
                <w:noProof/>
              </w:rPr>
              <w:drawing>
                <wp:inline distT="0" distB="0" distL="0" distR="0" wp14:anchorId="00DA5D21" wp14:editId="4D7E7F87">
                  <wp:extent cx="2334895" cy="2023450"/>
                  <wp:effectExtent l="0" t="0" r="8255" b="0"/>
                  <wp:docPr id="1337964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1905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351" cy="212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E8EF32" w14:textId="77777777" w:rsidR="00D7441C" w:rsidRDefault="00D7441C">
      <w:pPr>
        <w:rPr>
          <w:b/>
          <w:bCs/>
        </w:rPr>
      </w:pPr>
    </w:p>
    <w:p w14:paraId="30592C5E" w14:textId="77777777" w:rsidR="006648E5" w:rsidRDefault="006648E5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Grid"/>
        <w:tblW w:w="10356" w:type="dxa"/>
        <w:tblLook w:val="04A0" w:firstRow="1" w:lastRow="0" w:firstColumn="1" w:lastColumn="0" w:noHBand="0" w:noVBand="1"/>
      </w:tblPr>
      <w:tblGrid>
        <w:gridCol w:w="10356"/>
      </w:tblGrid>
      <w:tr w:rsidR="007E7F7A" w14:paraId="54F4F896" w14:textId="77777777" w:rsidTr="00201F86">
        <w:tc>
          <w:tcPr>
            <w:tcW w:w="10356" w:type="dxa"/>
          </w:tcPr>
          <w:p w14:paraId="29DE6C7E" w14:textId="2C2CA3B3" w:rsidR="007E7F7A" w:rsidRDefault="007E7F7A" w:rsidP="005B6FF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Table </w:t>
            </w:r>
            <w:r w:rsidR="00F2479B">
              <w:rPr>
                <w:b/>
                <w:bCs/>
              </w:rPr>
              <w:t>1</w:t>
            </w:r>
            <w:r>
              <w:rPr>
                <w:b/>
                <w:bCs/>
              </w:rPr>
              <w:t>. Key macro aggregates, annualized</w:t>
            </w:r>
          </w:p>
        </w:tc>
      </w:tr>
      <w:tr w:rsidR="007E7F7A" w:rsidRPr="005B6FF3" w14:paraId="4DB040B9" w14:textId="77777777" w:rsidTr="00201F86">
        <w:tc>
          <w:tcPr>
            <w:tcW w:w="10356" w:type="dxa"/>
          </w:tcPr>
          <w:p w14:paraId="54F17206" w14:textId="7BB3A27E" w:rsidR="007E7F7A" w:rsidRDefault="007E7F7A">
            <w:pPr>
              <w:rPr>
                <w:b/>
                <w:bCs/>
              </w:rPr>
            </w:pPr>
            <w:r w:rsidRPr="007E7F7A">
              <w:rPr>
                <w:b/>
                <w:bCs/>
                <w:noProof/>
              </w:rPr>
              <w:drawing>
                <wp:inline distT="0" distB="0" distL="0" distR="0" wp14:anchorId="356DC352" wp14:editId="4B420A8C">
                  <wp:extent cx="6435064" cy="7401083"/>
                  <wp:effectExtent l="0" t="0" r="4445" b="0"/>
                  <wp:docPr id="1269345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345559" name=""/>
                          <pic:cNvPicPr/>
                        </pic:nvPicPr>
                        <pic:blipFill>
                          <a:blip r:embed="rId28"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1415" cy="7477395"/>
                          </a:xfrm>
                          <a:prstGeom prst="rect">
                            <a:avLst/>
                          </a:prstGeom>
                          <a:solidFill>
                            <a:srgbClr val="FFFFCC">
                              <a:alpha val="96000"/>
                            </a:srgb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85686D" w14:textId="57D513DF" w:rsidR="009E0984" w:rsidRPr="00BD3485" w:rsidRDefault="00BD3485" w:rsidP="00BD3485">
      <w:pPr>
        <w:spacing w:before="120" w:after="0"/>
        <w:rPr>
          <w:sz w:val="18"/>
          <w:szCs w:val="18"/>
        </w:rPr>
      </w:pPr>
      <w:r w:rsidRPr="00BD3485">
        <w:rPr>
          <w:sz w:val="18"/>
          <w:szCs w:val="18"/>
        </w:rPr>
        <w:t xml:space="preserve">1/ Reliable NA data are missing for final demands for 2023Q3-2024Q2, and replaced by model estimates in forecast. </w:t>
      </w:r>
    </w:p>
    <w:sectPr w:rsidR="009E0984" w:rsidRPr="00BD3485" w:rsidSect="00D20CF9">
      <w:footerReference w:type="default" r:id="rId29"/>
      <w:pgSz w:w="12240" w:h="15840"/>
      <w:pgMar w:top="99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6388FC" w14:textId="77777777" w:rsidR="00194682" w:rsidRDefault="00194682" w:rsidP="00DB3E8B">
      <w:pPr>
        <w:spacing w:after="0" w:line="240" w:lineRule="auto"/>
      </w:pPr>
      <w:r>
        <w:separator/>
      </w:r>
    </w:p>
  </w:endnote>
  <w:endnote w:type="continuationSeparator" w:id="0">
    <w:p w14:paraId="376623A1" w14:textId="77777777" w:rsidR="00194682" w:rsidRDefault="00194682" w:rsidP="00DB3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05780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C5309A" w14:textId="35B1DBD6" w:rsidR="00CD2888" w:rsidRDefault="00CD28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7E03D" w14:textId="77777777" w:rsidR="00CD2888" w:rsidRDefault="00CD28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68E6D5" w14:textId="77777777" w:rsidR="00194682" w:rsidRDefault="00194682" w:rsidP="00DB3E8B">
      <w:pPr>
        <w:spacing w:after="0" w:line="240" w:lineRule="auto"/>
      </w:pPr>
      <w:r>
        <w:separator/>
      </w:r>
    </w:p>
  </w:footnote>
  <w:footnote w:type="continuationSeparator" w:id="0">
    <w:p w14:paraId="3F0FA790" w14:textId="77777777" w:rsidR="00194682" w:rsidRDefault="00194682" w:rsidP="00DB3E8B">
      <w:pPr>
        <w:spacing w:after="0" w:line="240" w:lineRule="auto"/>
      </w:pPr>
      <w:r>
        <w:continuationSeparator/>
      </w:r>
    </w:p>
  </w:footnote>
  <w:footnote w:id="1">
    <w:p w14:paraId="18BF42BA" w14:textId="77777777" w:rsidR="00970470" w:rsidRPr="00992EC3" w:rsidRDefault="00970470" w:rsidP="00970470">
      <w:pPr>
        <w:pStyle w:val="FootnoteText"/>
        <w:rPr>
          <w:sz w:val="18"/>
          <w:szCs w:val="18"/>
        </w:rPr>
      </w:pPr>
      <w:r w:rsidRPr="00992EC3">
        <w:rPr>
          <w:rStyle w:val="FootnoteReference"/>
          <w:sz w:val="18"/>
          <w:szCs w:val="18"/>
        </w:rPr>
        <w:footnoteRef/>
      </w:r>
      <w:r w:rsidRPr="00992EC3">
        <w:rPr>
          <w:sz w:val="18"/>
          <w:szCs w:val="18"/>
        </w:rPr>
        <w:t xml:space="preserve"> A debt-creating deficit of 5% of GDP corresponds—under realistic assumptions on growth, trading partner CPI, share of domestic debt, concessionality external debt—to sustainable NPV debt-GDP ratio of 45%, below IMF-DSF’s ceiling of 55%.</w:t>
      </w:r>
    </w:p>
  </w:footnote>
  <w:footnote w:id="2">
    <w:p w14:paraId="7C6F9C41" w14:textId="77777777" w:rsidR="00970470" w:rsidRPr="00992EC3" w:rsidRDefault="00970470" w:rsidP="00970470">
      <w:pPr>
        <w:pStyle w:val="FootnoteText"/>
        <w:rPr>
          <w:sz w:val="18"/>
          <w:szCs w:val="18"/>
        </w:rPr>
      </w:pPr>
      <w:r w:rsidRPr="00992EC3">
        <w:rPr>
          <w:rStyle w:val="FootnoteReference"/>
          <w:sz w:val="18"/>
          <w:szCs w:val="18"/>
        </w:rPr>
        <w:footnoteRef/>
      </w:r>
      <w:r w:rsidRPr="00992EC3">
        <w:rPr>
          <w:sz w:val="18"/>
          <w:szCs w:val="18"/>
        </w:rPr>
        <w:t xml:space="preserve"> An alternative fiscal scenario, with post-PCI fiscal targets as in program FISCAL, shows unrealistic leaps in revenue, an even larger GDP growth slowdown effect, and an even sharper drop in debt/GDP than the Baseline.</w:t>
      </w:r>
    </w:p>
  </w:footnote>
  <w:footnote w:id="3">
    <w:p w14:paraId="149B9852" w14:textId="77777777" w:rsidR="007E2081" w:rsidRPr="00CD2888" w:rsidRDefault="007E2081" w:rsidP="007E2081">
      <w:pPr>
        <w:pStyle w:val="FootnoteText"/>
        <w:rPr>
          <w:sz w:val="18"/>
          <w:szCs w:val="18"/>
        </w:rPr>
      </w:pPr>
      <w:r w:rsidRPr="00CD2888">
        <w:rPr>
          <w:rStyle w:val="FootnoteReference"/>
          <w:sz w:val="18"/>
          <w:szCs w:val="18"/>
        </w:rPr>
        <w:footnoteRef/>
      </w:r>
      <w:r w:rsidRPr="00CD2888">
        <w:rPr>
          <w:sz w:val="18"/>
          <w:szCs w:val="18"/>
        </w:rPr>
        <w:t xml:space="preserve"> The neutral policy interest rate comprises </w:t>
      </w:r>
      <w:r>
        <w:rPr>
          <w:sz w:val="18"/>
          <w:szCs w:val="18"/>
        </w:rPr>
        <w:t xml:space="preserve">target inflation and </w:t>
      </w:r>
      <w:r w:rsidRPr="00CD2888">
        <w:rPr>
          <w:sz w:val="18"/>
          <w:szCs w:val="18"/>
        </w:rPr>
        <w:t>trend RIR</w:t>
      </w:r>
      <w:r>
        <w:rPr>
          <w:sz w:val="18"/>
          <w:szCs w:val="18"/>
        </w:rPr>
        <w:t xml:space="preserve">, which consist of </w:t>
      </w:r>
      <w:r w:rsidRPr="00CD2888">
        <w:rPr>
          <w:sz w:val="18"/>
          <w:szCs w:val="18"/>
        </w:rPr>
        <w:t>world RIR, country risk premium, and expected RER depreciation. In the forecast period, the latter pushes up the neutral rate by about 2% points.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E789B"/>
    <w:multiLevelType w:val="hybridMultilevel"/>
    <w:tmpl w:val="7E2E24C8"/>
    <w:lvl w:ilvl="0" w:tplc="9A1A58CC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21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8A"/>
    <w:rsid w:val="00004732"/>
    <w:rsid w:val="00005090"/>
    <w:rsid w:val="00032433"/>
    <w:rsid w:val="00042099"/>
    <w:rsid w:val="00052E0D"/>
    <w:rsid w:val="000753A1"/>
    <w:rsid w:val="000A22D8"/>
    <w:rsid w:val="000B217A"/>
    <w:rsid w:val="00143212"/>
    <w:rsid w:val="00194682"/>
    <w:rsid w:val="001C36AE"/>
    <w:rsid w:val="001D22B7"/>
    <w:rsid w:val="00201F86"/>
    <w:rsid w:val="002814A5"/>
    <w:rsid w:val="00292E78"/>
    <w:rsid w:val="002E453D"/>
    <w:rsid w:val="00324F75"/>
    <w:rsid w:val="00387002"/>
    <w:rsid w:val="003D1A9E"/>
    <w:rsid w:val="00407A61"/>
    <w:rsid w:val="0046482B"/>
    <w:rsid w:val="004A2581"/>
    <w:rsid w:val="004D378F"/>
    <w:rsid w:val="00517174"/>
    <w:rsid w:val="00517B20"/>
    <w:rsid w:val="005316DE"/>
    <w:rsid w:val="005667D8"/>
    <w:rsid w:val="00575854"/>
    <w:rsid w:val="0057655E"/>
    <w:rsid w:val="005B19A7"/>
    <w:rsid w:val="005B6FF3"/>
    <w:rsid w:val="005C5416"/>
    <w:rsid w:val="005D2F22"/>
    <w:rsid w:val="006421AF"/>
    <w:rsid w:val="00643481"/>
    <w:rsid w:val="006648E5"/>
    <w:rsid w:val="00664E7A"/>
    <w:rsid w:val="006D139D"/>
    <w:rsid w:val="006E7C54"/>
    <w:rsid w:val="006F7288"/>
    <w:rsid w:val="007024FB"/>
    <w:rsid w:val="00754B9E"/>
    <w:rsid w:val="00796BDC"/>
    <w:rsid w:val="0079798A"/>
    <w:rsid w:val="007A4AE2"/>
    <w:rsid w:val="007E2081"/>
    <w:rsid w:val="007E38A9"/>
    <w:rsid w:val="007E7F7A"/>
    <w:rsid w:val="00811544"/>
    <w:rsid w:val="00814E23"/>
    <w:rsid w:val="00870FBA"/>
    <w:rsid w:val="008A3316"/>
    <w:rsid w:val="008C72C7"/>
    <w:rsid w:val="008E4D38"/>
    <w:rsid w:val="008F183B"/>
    <w:rsid w:val="009030B9"/>
    <w:rsid w:val="0090458A"/>
    <w:rsid w:val="00970470"/>
    <w:rsid w:val="009718DF"/>
    <w:rsid w:val="00975ADB"/>
    <w:rsid w:val="00991210"/>
    <w:rsid w:val="00992EC3"/>
    <w:rsid w:val="009E0984"/>
    <w:rsid w:val="009F3FF5"/>
    <w:rsid w:val="00A10FB1"/>
    <w:rsid w:val="00A537A1"/>
    <w:rsid w:val="00B11723"/>
    <w:rsid w:val="00B40EB6"/>
    <w:rsid w:val="00B41604"/>
    <w:rsid w:val="00BD3485"/>
    <w:rsid w:val="00C878DA"/>
    <w:rsid w:val="00C97FD8"/>
    <w:rsid w:val="00CA60F4"/>
    <w:rsid w:val="00CD2888"/>
    <w:rsid w:val="00D20CF9"/>
    <w:rsid w:val="00D2508D"/>
    <w:rsid w:val="00D45E0E"/>
    <w:rsid w:val="00D7441C"/>
    <w:rsid w:val="00DB3E8B"/>
    <w:rsid w:val="00DC1D53"/>
    <w:rsid w:val="00E57081"/>
    <w:rsid w:val="00E870BB"/>
    <w:rsid w:val="00EA15B2"/>
    <w:rsid w:val="00EB03F3"/>
    <w:rsid w:val="00EC3BE4"/>
    <w:rsid w:val="00EC6611"/>
    <w:rsid w:val="00F06D5D"/>
    <w:rsid w:val="00F11E18"/>
    <w:rsid w:val="00F2479B"/>
    <w:rsid w:val="00F279DA"/>
    <w:rsid w:val="00F605D7"/>
    <w:rsid w:val="00F6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8256C1"/>
  <w15:chartTrackingRefBased/>
  <w15:docId w15:val="{9F9B8AFC-6F2C-4131-ADB9-12351C5F6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5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E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E8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3E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3E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B3E8B"/>
    <w:rPr>
      <w:vertAlign w:val="superscript"/>
    </w:rPr>
  </w:style>
  <w:style w:type="table" w:styleId="TableGrid">
    <w:name w:val="Table Grid"/>
    <w:basedOn w:val="TableNormal"/>
    <w:uiPriority w:val="39"/>
    <w:rsid w:val="00281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2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888"/>
  </w:style>
  <w:style w:type="paragraph" w:styleId="Footer">
    <w:name w:val="footer"/>
    <w:basedOn w:val="Normal"/>
    <w:link w:val="FooterChar"/>
    <w:uiPriority w:val="99"/>
    <w:unhideWhenUsed/>
    <w:rsid w:val="00CD2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12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7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0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1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0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88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8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11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8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148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818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9384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9038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3468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8985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470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1396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7789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551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0229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542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393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592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7034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2813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5567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553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512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7331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08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6450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3266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1116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9519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219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9086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0032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420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5370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3706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2481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537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4203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668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858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8202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9817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8825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2272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8455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8029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1977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7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42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8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9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5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6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5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23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44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48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514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8403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942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499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565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9170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4528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3111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6025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290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1288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9380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795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460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9567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944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026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0902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086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1111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992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1674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173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8938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1457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4237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908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8487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245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1075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732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0655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04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2455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0353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925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4057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7777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0875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0034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6110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2536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1892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E07B0-0B0C-4A77-A5CB-C8D3B516C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1125</Words>
  <Characters>5934</Characters>
  <Application>Microsoft Office Word</Application>
  <DocSecurity>0</DocSecurity>
  <Lines>197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cp:keywords/>
  <dc:description/>
  <cp:lastModifiedBy>Evariste MANIRUMVA</cp:lastModifiedBy>
  <cp:revision>5</cp:revision>
  <dcterms:created xsi:type="dcterms:W3CDTF">2024-12-08T15:34:00Z</dcterms:created>
  <dcterms:modified xsi:type="dcterms:W3CDTF">2024-12-09T08:23:00Z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9b8e24b83a731192c68f1e7e3620256dd3e523bca4b2b14c3491a968d07f02b1</vt:lpwstr>
  </property>
</Properties>
</file>