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theme/themeOverride1.xml" ContentType="application/vnd.openxmlformats-officedocument.themeOverrid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09315A" w14:textId="5C1D32BB" w:rsidR="002D4039" w:rsidRPr="00C714F2" w:rsidRDefault="002D4039" w:rsidP="002D4039">
      <w:pPr>
        <w:pStyle w:val="Heading2"/>
        <w:keepLines w:val="0"/>
        <w:numPr>
          <w:ilvl w:val="0"/>
          <w:numId w:val="3"/>
        </w:numPr>
        <w:pBdr>
          <w:top w:val="nil"/>
          <w:left w:val="nil"/>
          <w:bottom w:val="nil"/>
          <w:right w:val="nil"/>
          <w:between w:val="nil"/>
          <w:bar w:val="nil"/>
        </w:pBdr>
        <w:spacing w:before="240" w:after="120" w:line="276" w:lineRule="auto"/>
        <w:jc w:val="both"/>
        <w:rPr>
          <w:rFonts w:ascii="Century Schoolbook" w:eastAsia="Times New Roman" w:hAnsi="Century Schoolbook" w:cs="Times New Roman"/>
          <w:bCs/>
          <w:i/>
          <w:iCs/>
          <w:color w:val="1F3864" w:themeColor="accent1" w:themeShade="80"/>
          <w:sz w:val="24"/>
          <w:szCs w:val="24"/>
          <w:lang w:eastAsia="en-GB"/>
        </w:rPr>
      </w:pPr>
      <w:bookmarkStart w:id="0" w:name="_Toc184456507"/>
      <w:r w:rsidRPr="00C714F2">
        <w:rPr>
          <w:rFonts w:ascii="Century Schoolbook" w:eastAsia="Times New Roman" w:hAnsi="Century Schoolbook" w:cs="Times New Roman"/>
          <w:color w:val="1F3864" w:themeColor="accent1" w:themeShade="80"/>
          <w:sz w:val="24"/>
          <w:szCs w:val="24"/>
          <w:lang w:eastAsia="en-GB"/>
        </w:rPr>
        <w:t>Recent Macroeconomic Developments and Policies (DT, team)</w:t>
      </w:r>
      <w:bookmarkEnd w:id="0"/>
    </w:p>
    <w:p w14:paraId="0CB726AF" w14:textId="77777777" w:rsidR="002D4039" w:rsidRPr="00C714F2" w:rsidRDefault="002D4039" w:rsidP="002D4039">
      <w:pPr>
        <w:pStyle w:val="ListParagraph"/>
        <w:numPr>
          <w:ilvl w:val="0"/>
          <w:numId w:val="2"/>
        </w:numPr>
        <w:spacing w:line="276" w:lineRule="auto"/>
        <w:outlineLvl w:val="1"/>
        <w:rPr>
          <w:rFonts w:ascii="Century Schoolbook" w:hAnsi="Century Schoolbook" w:cs="Times New Roman"/>
          <w:color w:val="1F3864" w:themeColor="accent1" w:themeShade="80"/>
          <w:sz w:val="24"/>
          <w:szCs w:val="24"/>
          <w:lang w:eastAsia="en-GB"/>
        </w:rPr>
      </w:pPr>
      <w:bookmarkStart w:id="1" w:name="_Toc184456508"/>
      <w:r w:rsidRPr="00C714F2">
        <w:rPr>
          <w:rFonts w:ascii="Century Schoolbook" w:hAnsi="Century Schoolbook" w:cs="Times New Roman"/>
          <w:color w:val="1F3864" w:themeColor="accent1" w:themeShade="80"/>
          <w:sz w:val="24"/>
          <w:szCs w:val="24"/>
          <w:lang w:eastAsia="en-GB"/>
        </w:rPr>
        <w:t>External environment</w:t>
      </w:r>
      <w:bookmarkEnd w:id="1"/>
    </w:p>
    <w:p w14:paraId="6953CB02" w14:textId="77777777" w:rsidR="002D4039" w:rsidRPr="00C714F2" w:rsidRDefault="002D4039" w:rsidP="002D4039">
      <w:pPr>
        <w:pStyle w:val="ListParagraph"/>
        <w:spacing w:line="276" w:lineRule="auto"/>
        <w:rPr>
          <w:rFonts w:ascii="Century Schoolbook" w:hAnsi="Century Schoolbook" w:cs="Times New Roman"/>
          <w:sz w:val="24"/>
          <w:szCs w:val="24"/>
          <w:lang w:eastAsia="en-GB"/>
        </w:rPr>
      </w:pPr>
    </w:p>
    <w:p w14:paraId="4E9FF7D9" w14:textId="77777777" w:rsidR="002D4039" w:rsidRPr="00C714F2" w:rsidRDefault="002D4039" w:rsidP="002D4039">
      <w:pPr>
        <w:pStyle w:val="ListParagraph"/>
        <w:numPr>
          <w:ilvl w:val="0"/>
          <w:numId w:val="2"/>
        </w:numPr>
        <w:spacing w:line="276" w:lineRule="auto"/>
        <w:outlineLvl w:val="1"/>
        <w:rPr>
          <w:rFonts w:ascii="Century Schoolbook" w:hAnsi="Century Schoolbook" w:cs="Times New Roman"/>
          <w:color w:val="1F3864" w:themeColor="accent1" w:themeShade="80"/>
          <w:sz w:val="24"/>
          <w:szCs w:val="24"/>
          <w:lang w:eastAsia="en-GB"/>
        </w:rPr>
      </w:pPr>
      <w:bookmarkStart w:id="2" w:name="_Toc184456509"/>
      <w:r w:rsidRPr="00C714F2">
        <w:rPr>
          <w:rFonts w:ascii="Century Schoolbook" w:hAnsi="Century Schoolbook" w:cs="Times New Roman"/>
          <w:color w:val="1F3864" w:themeColor="accent1" w:themeShade="80"/>
          <w:sz w:val="24"/>
          <w:szCs w:val="24"/>
          <w:lang w:eastAsia="en-GB"/>
        </w:rPr>
        <w:t>Output, final demands and fiscal stance</w:t>
      </w:r>
      <w:bookmarkEnd w:id="2"/>
    </w:p>
    <w:p w14:paraId="69F41DCA" w14:textId="77777777" w:rsidR="002D4039" w:rsidRPr="00C714F2" w:rsidRDefault="002D4039" w:rsidP="002D4039">
      <w:pPr>
        <w:rPr>
          <w:rFonts w:ascii="Century Schoolbook" w:hAnsi="Century Schoolbook" w:cs="Times New Roman"/>
          <w:sz w:val="24"/>
          <w:szCs w:val="24"/>
          <w:lang w:eastAsia="en-GB"/>
        </w:rPr>
      </w:pPr>
      <w:r w:rsidRPr="00C714F2">
        <w:rPr>
          <w:rFonts w:ascii="Century Schoolbook" w:hAnsi="Century Schoolbook" w:cs="Times New Roman"/>
          <w:sz w:val="24"/>
          <w:szCs w:val="24"/>
          <w:lang w:eastAsia="en-GB"/>
        </w:rPr>
        <w:t>Final demand components of output gap (C, I, G, E, M), fiscal</w:t>
      </w:r>
    </w:p>
    <w:p w14:paraId="5527C60B" w14:textId="77777777" w:rsidR="002D4039" w:rsidRPr="00C714F2" w:rsidRDefault="002D4039" w:rsidP="002D4039">
      <w:pPr>
        <w:pStyle w:val="ListParagraph"/>
        <w:numPr>
          <w:ilvl w:val="0"/>
          <w:numId w:val="2"/>
        </w:numPr>
        <w:spacing w:line="276" w:lineRule="auto"/>
        <w:outlineLvl w:val="1"/>
        <w:rPr>
          <w:rFonts w:ascii="Century Schoolbook" w:hAnsi="Century Schoolbook" w:cs="Times New Roman"/>
          <w:color w:val="1F3864" w:themeColor="accent1" w:themeShade="80"/>
          <w:sz w:val="24"/>
          <w:szCs w:val="24"/>
          <w:lang w:eastAsia="en-GB"/>
        </w:rPr>
      </w:pPr>
      <w:bookmarkStart w:id="3" w:name="_Toc184456510"/>
      <w:r w:rsidRPr="00C714F2">
        <w:rPr>
          <w:rFonts w:ascii="Century Schoolbook" w:hAnsi="Century Schoolbook" w:cs="Times New Roman"/>
          <w:color w:val="1F3864" w:themeColor="accent1" w:themeShade="80"/>
          <w:sz w:val="24"/>
          <w:szCs w:val="24"/>
          <w:lang w:eastAsia="en-GB"/>
        </w:rPr>
        <w:t>Inflation</w:t>
      </w:r>
      <w:bookmarkEnd w:id="3"/>
    </w:p>
    <w:p w14:paraId="71E570E8" w14:textId="77777777" w:rsidR="002D4039" w:rsidRPr="00C714F2" w:rsidRDefault="002D4039" w:rsidP="002D4039">
      <w:pPr>
        <w:pStyle w:val="ListParagraph"/>
        <w:spacing w:line="276" w:lineRule="auto"/>
        <w:rPr>
          <w:rFonts w:ascii="Century Schoolbook" w:hAnsi="Century Schoolbook" w:cs="Times New Roman"/>
          <w:color w:val="1F3864" w:themeColor="accent1" w:themeShade="80"/>
          <w:sz w:val="24"/>
          <w:szCs w:val="24"/>
          <w:lang w:eastAsia="en-GB"/>
        </w:rPr>
      </w:pPr>
    </w:p>
    <w:p w14:paraId="0A29571E" w14:textId="77777777" w:rsidR="002D4039" w:rsidRPr="00C714F2" w:rsidRDefault="002D4039" w:rsidP="002D4039">
      <w:pPr>
        <w:pStyle w:val="ListParagraph"/>
        <w:numPr>
          <w:ilvl w:val="0"/>
          <w:numId w:val="2"/>
        </w:numPr>
        <w:spacing w:line="276" w:lineRule="auto"/>
        <w:outlineLvl w:val="1"/>
        <w:rPr>
          <w:rFonts w:ascii="Century Schoolbook" w:hAnsi="Century Schoolbook" w:cs="Times New Roman"/>
          <w:color w:val="1F3864" w:themeColor="accent1" w:themeShade="80"/>
          <w:sz w:val="24"/>
          <w:szCs w:val="24"/>
          <w:lang w:eastAsia="en-GB"/>
        </w:rPr>
      </w:pPr>
      <w:bookmarkStart w:id="4" w:name="_Toc184456511"/>
      <w:r w:rsidRPr="00C714F2">
        <w:rPr>
          <w:rFonts w:ascii="Century Schoolbook" w:hAnsi="Century Schoolbook" w:cs="Times New Roman"/>
          <w:color w:val="1F3864" w:themeColor="accent1" w:themeShade="80"/>
          <w:sz w:val="24"/>
          <w:szCs w:val="24"/>
          <w:lang w:eastAsia="en-GB"/>
        </w:rPr>
        <w:t>Monetary and exchange rate policy regime</w:t>
      </w:r>
      <w:bookmarkEnd w:id="4"/>
    </w:p>
    <w:p w14:paraId="6E372A8C" w14:textId="6F649F6D" w:rsidR="002D4039" w:rsidRPr="00C714F2" w:rsidRDefault="00266D42">
      <w:pPr>
        <w:rPr>
          <w:rFonts w:ascii="Century Schoolbook" w:hAnsi="Century Schoolbook" w:cs="Times New Roman"/>
          <w:b/>
          <w:bCs/>
          <w:sz w:val="24"/>
          <w:szCs w:val="24"/>
        </w:rPr>
      </w:pPr>
      <w:r>
        <w:rPr>
          <w:rFonts w:ascii="Century Schoolbook" w:hAnsi="Century Schoolbook" w:cs="Times New Roman"/>
          <w:b/>
          <w:bCs/>
          <w:sz w:val="24"/>
          <w:szCs w:val="24"/>
        </w:rPr>
        <w:t>PART: EXTERNAL ENVIRONMENT AND INFLATION</w:t>
      </w:r>
    </w:p>
    <w:p w14:paraId="091ECDD0" w14:textId="31FE733C" w:rsidR="00E71D0E" w:rsidRPr="00C714F2" w:rsidRDefault="002D4039">
      <w:pPr>
        <w:rPr>
          <w:rFonts w:ascii="Century Schoolbook" w:hAnsi="Century Schoolbook" w:cs="Times New Roman"/>
          <w:b/>
          <w:bCs/>
          <w:sz w:val="24"/>
          <w:szCs w:val="24"/>
        </w:rPr>
      </w:pPr>
      <w:r w:rsidRPr="00C714F2">
        <w:rPr>
          <w:rFonts w:ascii="Century Schoolbook" w:hAnsi="Century Schoolbook" w:cs="Times New Roman"/>
          <w:b/>
          <w:bCs/>
          <w:sz w:val="24"/>
          <w:szCs w:val="24"/>
        </w:rPr>
        <w:t>1.</w:t>
      </w:r>
      <w:r w:rsidR="00262D1A" w:rsidRPr="00C714F2">
        <w:rPr>
          <w:rFonts w:ascii="Century Schoolbook" w:hAnsi="Century Schoolbook" w:cs="Times New Roman"/>
          <w:b/>
          <w:bCs/>
          <w:sz w:val="24"/>
          <w:szCs w:val="24"/>
        </w:rPr>
        <w:t xml:space="preserve"> </w:t>
      </w:r>
      <w:r w:rsidR="00C163F0" w:rsidRPr="00C714F2">
        <w:rPr>
          <w:rFonts w:ascii="Century Schoolbook" w:hAnsi="Century Schoolbook" w:cs="Times New Roman"/>
          <w:b/>
          <w:bCs/>
          <w:sz w:val="24"/>
          <w:szCs w:val="24"/>
        </w:rPr>
        <w:t xml:space="preserve">External </w:t>
      </w:r>
      <w:r w:rsidRPr="00C714F2">
        <w:rPr>
          <w:rFonts w:ascii="Century Schoolbook" w:hAnsi="Century Schoolbook" w:cs="Times New Roman"/>
          <w:b/>
          <w:bCs/>
          <w:sz w:val="24"/>
          <w:szCs w:val="24"/>
        </w:rPr>
        <w:t>environment</w:t>
      </w:r>
    </w:p>
    <w:p w14:paraId="521F4347" w14:textId="5E7DAAC1" w:rsidR="00C163F0" w:rsidRPr="00C714F2" w:rsidRDefault="00C163F0" w:rsidP="000176D7">
      <w:pPr>
        <w:jc w:val="both"/>
        <w:rPr>
          <w:rFonts w:ascii="Century Schoolbook" w:hAnsi="Century Schoolbook" w:cs="Times New Roman"/>
          <w:sz w:val="24"/>
          <w:szCs w:val="24"/>
        </w:rPr>
      </w:pPr>
      <w:r w:rsidRPr="00C714F2">
        <w:rPr>
          <w:rFonts w:ascii="Century Schoolbook" w:hAnsi="Century Schoolbook" w:cs="Times New Roman"/>
          <w:sz w:val="24"/>
          <w:szCs w:val="24"/>
        </w:rPr>
        <w:t xml:space="preserve">Rwanda is a small open economy and trading with the </w:t>
      </w:r>
      <w:r w:rsidR="007866DC" w:rsidRPr="00C714F2">
        <w:rPr>
          <w:rFonts w:ascii="Century Schoolbook" w:hAnsi="Century Schoolbook" w:cs="Times New Roman"/>
          <w:sz w:val="24"/>
          <w:szCs w:val="24"/>
        </w:rPr>
        <w:t>rest of</w:t>
      </w:r>
      <w:r w:rsidRPr="00C714F2">
        <w:rPr>
          <w:rFonts w:ascii="Century Schoolbook" w:hAnsi="Century Schoolbook" w:cs="Times New Roman"/>
          <w:sz w:val="24"/>
          <w:szCs w:val="24"/>
        </w:rPr>
        <w:t xml:space="preserve"> the </w:t>
      </w:r>
      <w:r w:rsidR="001E4000" w:rsidRPr="00C714F2">
        <w:rPr>
          <w:rFonts w:ascii="Century Schoolbook" w:hAnsi="Century Schoolbook" w:cs="Times New Roman"/>
          <w:sz w:val="24"/>
          <w:szCs w:val="24"/>
        </w:rPr>
        <w:t>world, the</w:t>
      </w:r>
      <w:r w:rsidRPr="00C714F2">
        <w:rPr>
          <w:rFonts w:ascii="Century Schoolbook" w:hAnsi="Century Schoolbook" w:cs="Times New Roman"/>
          <w:sz w:val="24"/>
          <w:szCs w:val="24"/>
        </w:rPr>
        <w:t xml:space="preserve"> external </w:t>
      </w:r>
      <w:r w:rsidR="002D4039" w:rsidRPr="00C714F2">
        <w:rPr>
          <w:rFonts w:ascii="Century Schoolbook" w:hAnsi="Century Schoolbook" w:cs="Times New Roman"/>
          <w:sz w:val="24"/>
          <w:szCs w:val="24"/>
        </w:rPr>
        <w:t xml:space="preserve">environment </w:t>
      </w:r>
      <w:r w:rsidRPr="00C714F2">
        <w:rPr>
          <w:rFonts w:ascii="Century Schoolbook" w:hAnsi="Century Schoolbook" w:cs="Times New Roman"/>
          <w:sz w:val="24"/>
          <w:szCs w:val="24"/>
        </w:rPr>
        <w:t xml:space="preserve">is taken as exogeneous </w:t>
      </w:r>
      <w:r w:rsidR="007866DC" w:rsidRPr="00C714F2">
        <w:rPr>
          <w:rFonts w:ascii="Century Schoolbook" w:hAnsi="Century Schoolbook" w:cs="Times New Roman"/>
          <w:sz w:val="24"/>
          <w:szCs w:val="24"/>
        </w:rPr>
        <w:t xml:space="preserve">and Development of the foreign sector affect domestic economy through </w:t>
      </w:r>
      <w:r w:rsidR="0058669F" w:rsidRPr="00C714F2">
        <w:rPr>
          <w:rFonts w:ascii="Century Schoolbook" w:hAnsi="Century Schoolbook" w:cs="Times New Roman"/>
          <w:sz w:val="24"/>
          <w:szCs w:val="24"/>
        </w:rPr>
        <w:t>foreign</w:t>
      </w:r>
      <w:r w:rsidR="007866DC" w:rsidRPr="00C714F2">
        <w:rPr>
          <w:rFonts w:ascii="Century Schoolbook" w:hAnsi="Century Schoolbook" w:cs="Times New Roman"/>
          <w:sz w:val="24"/>
          <w:szCs w:val="24"/>
        </w:rPr>
        <w:t xml:space="preserve"> output gap, foreign prices and foreign interest rate.</w:t>
      </w:r>
    </w:p>
    <w:p w14:paraId="0530230D" w14:textId="1B62F9F5" w:rsidR="0058669F" w:rsidRPr="00C714F2" w:rsidRDefault="0058669F" w:rsidP="000176D7">
      <w:pPr>
        <w:jc w:val="both"/>
        <w:rPr>
          <w:rFonts w:ascii="Century Schoolbook" w:hAnsi="Century Schoolbook" w:cs="Times New Roman"/>
          <w:sz w:val="24"/>
          <w:szCs w:val="24"/>
        </w:rPr>
      </w:pPr>
      <w:r w:rsidRPr="00C714F2">
        <w:rPr>
          <w:rFonts w:ascii="Century Schoolbook" w:hAnsi="Century Schoolbook" w:cs="Times New Roman"/>
          <w:sz w:val="24"/>
          <w:szCs w:val="24"/>
        </w:rPr>
        <w:t xml:space="preserve">The foreign output gap is the difference between a foreign economy’s actual output and its potential </w:t>
      </w:r>
      <w:r w:rsidR="002D1072" w:rsidRPr="00C714F2">
        <w:rPr>
          <w:rFonts w:ascii="Century Schoolbook" w:hAnsi="Century Schoolbook" w:cs="Times New Roman"/>
          <w:sz w:val="24"/>
          <w:szCs w:val="24"/>
        </w:rPr>
        <w:t>output</w:t>
      </w:r>
      <w:sdt>
        <w:sdtPr>
          <w:rPr>
            <w:rFonts w:ascii="Century Schoolbook" w:hAnsi="Century Schoolbook" w:cs="Times New Roman"/>
            <w:sz w:val="24"/>
            <w:szCs w:val="24"/>
          </w:rPr>
          <w:id w:val="-1543587988"/>
          <w:citation/>
        </w:sdtPr>
        <w:sdtEndPr/>
        <w:sdtContent>
          <w:r w:rsidR="00580156">
            <w:rPr>
              <w:rFonts w:ascii="Century Schoolbook" w:hAnsi="Century Schoolbook" w:cs="Times New Roman"/>
              <w:sz w:val="24"/>
              <w:szCs w:val="24"/>
            </w:rPr>
            <w:fldChar w:fldCharType="begin"/>
          </w:r>
          <w:r w:rsidR="003F5522">
            <w:rPr>
              <w:rFonts w:ascii="Century Schoolbook" w:hAnsi="Century Schoolbook" w:cs="Times New Roman"/>
              <w:sz w:val="24"/>
              <w:szCs w:val="24"/>
            </w:rPr>
            <w:instrText xml:space="preserve">CITATION Sar13 \l 1033 </w:instrText>
          </w:r>
          <w:r w:rsidR="00580156">
            <w:rPr>
              <w:rFonts w:ascii="Century Schoolbook" w:hAnsi="Century Schoolbook" w:cs="Times New Roman"/>
              <w:sz w:val="24"/>
              <w:szCs w:val="24"/>
            </w:rPr>
            <w:fldChar w:fldCharType="separate"/>
          </w:r>
          <w:r w:rsidR="003F5522">
            <w:rPr>
              <w:rFonts w:ascii="Century Schoolbook" w:hAnsi="Century Schoolbook" w:cs="Times New Roman"/>
              <w:noProof/>
              <w:sz w:val="24"/>
              <w:szCs w:val="24"/>
            </w:rPr>
            <w:t xml:space="preserve"> </w:t>
          </w:r>
          <w:r w:rsidR="003F5522" w:rsidRPr="003F5522">
            <w:rPr>
              <w:rFonts w:ascii="Century Schoolbook" w:hAnsi="Century Schoolbook" w:cs="Times New Roman"/>
              <w:noProof/>
              <w:sz w:val="24"/>
              <w:szCs w:val="24"/>
            </w:rPr>
            <w:t>(Jahan, 2013)</w:t>
          </w:r>
          <w:r w:rsidR="00580156">
            <w:rPr>
              <w:rFonts w:ascii="Century Schoolbook" w:hAnsi="Century Schoolbook" w:cs="Times New Roman"/>
              <w:sz w:val="24"/>
              <w:szCs w:val="24"/>
            </w:rPr>
            <w:fldChar w:fldCharType="end"/>
          </w:r>
        </w:sdtContent>
      </w:sdt>
      <w:r w:rsidR="002D1072" w:rsidRPr="00C714F2">
        <w:rPr>
          <w:rFonts w:ascii="Century Schoolbook" w:hAnsi="Century Schoolbook" w:cs="Times New Roman"/>
          <w:sz w:val="24"/>
          <w:szCs w:val="24"/>
        </w:rPr>
        <w:t>. When</w:t>
      </w:r>
      <w:r w:rsidRPr="00C714F2">
        <w:rPr>
          <w:rFonts w:ascii="Century Schoolbook" w:hAnsi="Century Schoolbook" w:cs="Times New Roman"/>
          <w:sz w:val="24"/>
          <w:szCs w:val="24"/>
        </w:rPr>
        <w:t xml:space="preserve"> the foreign output gap is positive </w:t>
      </w:r>
      <w:r w:rsidR="002D1072" w:rsidRPr="00C714F2">
        <w:rPr>
          <w:rFonts w:ascii="Century Schoolbook" w:hAnsi="Century Schoolbook" w:cs="Times New Roman"/>
          <w:sz w:val="24"/>
          <w:szCs w:val="24"/>
        </w:rPr>
        <w:t xml:space="preserve">external demand for domestic exports tends to rise, boosting domestic </w:t>
      </w:r>
      <w:r w:rsidR="00B24CB9" w:rsidRPr="00C714F2">
        <w:rPr>
          <w:rFonts w:ascii="Century Schoolbook" w:hAnsi="Century Schoolbook" w:cs="Times New Roman"/>
          <w:sz w:val="24"/>
          <w:szCs w:val="24"/>
        </w:rPr>
        <w:t>production,</w:t>
      </w:r>
      <w:r w:rsidR="002D1072" w:rsidRPr="00C714F2">
        <w:rPr>
          <w:rFonts w:ascii="Century Schoolbook" w:hAnsi="Century Schoolbook" w:cs="Times New Roman"/>
          <w:sz w:val="24"/>
          <w:szCs w:val="24"/>
        </w:rPr>
        <w:t xml:space="preserve"> Conversely, a negative foreign output gap reduces external demand, potentially slowing domestic growth.</w:t>
      </w:r>
      <w:r w:rsidR="00B24CB9" w:rsidRPr="00C714F2">
        <w:rPr>
          <w:rFonts w:ascii="Century Schoolbook" w:hAnsi="Century Schoolbook" w:cs="Times New Roman"/>
          <w:sz w:val="24"/>
          <w:szCs w:val="24"/>
        </w:rPr>
        <w:t xml:space="preserve"> A positive foreign output gap can raise prices of exported commodities (like coffee or tea for Rwanda) or increase costs of imported goods (like fuel</w:t>
      </w:r>
      <w:r w:rsidR="00983BD4" w:rsidRPr="00C714F2">
        <w:rPr>
          <w:rFonts w:ascii="Century Schoolbook" w:hAnsi="Century Schoolbook" w:cs="Times New Roman"/>
          <w:sz w:val="24"/>
          <w:szCs w:val="24"/>
        </w:rPr>
        <w:t>), Furthermore</w:t>
      </w:r>
      <w:r w:rsidR="00B24CB9" w:rsidRPr="00C714F2">
        <w:rPr>
          <w:rFonts w:ascii="Century Schoolbook" w:hAnsi="Century Schoolbook" w:cs="Times New Roman"/>
          <w:sz w:val="24"/>
          <w:szCs w:val="24"/>
        </w:rPr>
        <w:t xml:space="preserve">, </w:t>
      </w:r>
      <w:r w:rsidR="00983BD4" w:rsidRPr="00C714F2">
        <w:rPr>
          <w:rFonts w:ascii="Century Schoolbook" w:hAnsi="Century Schoolbook" w:cs="Times New Roman"/>
          <w:sz w:val="24"/>
          <w:szCs w:val="24"/>
        </w:rPr>
        <w:t>the positive</w:t>
      </w:r>
      <w:r w:rsidR="00B24CB9" w:rsidRPr="00C714F2">
        <w:rPr>
          <w:rFonts w:ascii="Century Schoolbook" w:hAnsi="Century Schoolbook" w:cs="Times New Roman"/>
          <w:sz w:val="24"/>
          <w:szCs w:val="24"/>
        </w:rPr>
        <w:t xml:space="preserve"> foreign output gap might strengthen a foreign currency, potentially leading to domestic currency depreciation if trade imbalances exist.</w:t>
      </w:r>
    </w:p>
    <w:p w14:paraId="61BFC097" w14:textId="77777777" w:rsidR="00A763D3" w:rsidRDefault="00A763D3">
      <w:pPr>
        <w:rPr>
          <w:rFonts w:ascii="Century Schoolbook" w:hAnsi="Century Schoolbook" w:cs="Times New Roman"/>
          <w:sz w:val="24"/>
          <w:szCs w:val="24"/>
        </w:rPr>
      </w:pPr>
    </w:p>
    <w:p w14:paraId="4C7D0470" w14:textId="77777777" w:rsidR="00A763D3" w:rsidRDefault="00A763D3">
      <w:pPr>
        <w:rPr>
          <w:rFonts w:ascii="Century Schoolbook" w:hAnsi="Century Schoolbook" w:cs="Times New Roman"/>
          <w:sz w:val="24"/>
          <w:szCs w:val="24"/>
        </w:rPr>
      </w:pPr>
    </w:p>
    <w:p w14:paraId="31A843BB" w14:textId="77777777" w:rsidR="00A763D3" w:rsidRDefault="00A763D3">
      <w:pPr>
        <w:rPr>
          <w:rFonts w:ascii="Century Schoolbook" w:hAnsi="Century Schoolbook" w:cs="Times New Roman"/>
          <w:sz w:val="24"/>
          <w:szCs w:val="24"/>
        </w:rPr>
      </w:pPr>
    </w:p>
    <w:p w14:paraId="3EC50F30" w14:textId="77777777" w:rsidR="00A763D3" w:rsidRDefault="00A763D3">
      <w:pPr>
        <w:rPr>
          <w:rFonts w:ascii="Century Schoolbook" w:hAnsi="Century Schoolbook" w:cs="Times New Roman"/>
          <w:sz w:val="24"/>
          <w:szCs w:val="24"/>
        </w:rPr>
      </w:pPr>
    </w:p>
    <w:p w14:paraId="5EF010EE" w14:textId="77777777" w:rsidR="00A763D3" w:rsidRDefault="00A763D3">
      <w:pPr>
        <w:rPr>
          <w:rFonts w:ascii="Century Schoolbook" w:hAnsi="Century Schoolbook" w:cs="Times New Roman"/>
          <w:sz w:val="24"/>
          <w:szCs w:val="24"/>
        </w:rPr>
      </w:pPr>
    </w:p>
    <w:p w14:paraId="6A542953" w14:textId="77777777" w:rsidR="00A763D3" w:rsidRDefault="00A763D3">
      <w:pPr>
        <w:rPr>
          <w:rFonts w:ascii="Century Schoolbook" w:hAnsi="Century Schoolbook" w:cs="Times New Roman"/>
          <w:sz w:val="24"/>
          <w:szCs w:val="24"/>
        </w:rPr>
      </w:pPr>
    </w:p>
    <w:p w14:paraId="6E939E43" w14:textId="77777777" w:rsidR="00A763D3" w:rsidRDefault="00A763D3">
      <w:pPr>
        <w:rPr>
          <w:rFonts w:ascii="Century Schoolbook" w:hAnsi="Century Schoolbook" w:cs="Times New Roman"/>
          <w:sz w:val="24"/>
          <w:szCs w:val="24"/>
        </w:rPr>
      </w:pPr>
    </w:p>
    <w:p w14:paraId="0DFC5113" w14:textId="77777777" w:rsidR="00A763D3" w:rsidRDefault="00A763D3">
      <w:pPr>
        <w:rPr>
          <w:rFonts w:ascii="Century Schoolbook" w:hAnsi="Century Schoolbook" w:cs="Times New Roman"/>
          <w:sz w:val="24"/>
          <w:szCs w:val="24"/>
        </w:rPr>
      </w:pPr>
    </w:p>
    <w:p w14:paraId="6FB6F850" w14:textId="77777777" w:rsidR="00A763D3" w:rsidRDefault="00A763D3">
      <w:pPr>
        <w:rPr>
          <w:rFonts w:ascii="Century Schoolbook" w:hAnsi="Century Schoolbook" w:cs="Times New Roman"/>
          <w:sz w:val="24"/>
          <w:szCs w:val="24"/>
        </w:rPr>
      </w:pPr>
    </w:p>
    <w:p w14:paraId="0C954646" w14:textId="0E9A915D" w:rsidR="001C285A" w:rsidRPr="00C714F2" w:rsidRDefault="001C285A">
      <w:pPr>
        <w:rPr>
          <w:rFonts w:ascii="Century Schoolbook" w:hAnsi="Century Schoolbook" w:cs="Times New Roman"/>
          <w:sz w:val="24"/>
          <w:szCs w:val="24"/>
        </w:rPr>
      </w:pPr>
      <w:r w:rsidRPr="00A763D3">
        <w:rPr>
          <w:rFonts w:ascii="Century Schoolbook" w:hAnsi="Century Schoolbook" w:cs="Times New Roman"/>
          <w:i/>
          <w:iCs/>
          <w:sz w:val="18"/>
          <w:szCs w:val="18"/>
        </w:rPr>
        <w:lastRenderedPageBreak/>
        <w:t>Figure1: Real GDP growth with all trading partners</w:t>
      </w:r>
      <w:r w:rsidRPr="00C714F2">
        <w:rPr>
          <w:rFonts w:ascii="Century Schoolbook" w:hAnsi="Century Schoolbook" w:cs="Times New Roman"/>
          <w:sz w:val="24"/>
          <w:szCs w:val="24"/>
        </w:rPr>
        <w:t xml:space="preserve">   </w:t>
      </w:r>
      <w:r w:rsidR="00A763D3">
        <w:rPr>
          <w:rFonts w:ascii="Century Schoolbook" w:hAnsi="Century Schoolbook" w:cs="Times New Roman"/>
          <w:sz w:val="24"/>
          <w:szCs w:val="24"/>
        </w:rPr>
        <w:t xml:space="preserve">                   </w:t>
      </w:r>
      <w:r w:rsidRPr="00A763D3">
        <w:rPr>
          <w:rFonts w:ascii="Century Schoolbook" w:hAnsi="Century Schoolbook" w:cs="Times New Roman"/>
          <w:i/>
          <w:iCs/>
          <w:sz w:val="18"/>
          <w:szCs w:val="18"/>
        </w:rPr>
        <w:t>Figure2: Foreign interest rate</w:t>
      </w:r>
    </w:p>
    <w:p w14:paraId="47429987" w14:textId="66EA6F8F" w:rsidR="0069446D" w:rsidRPr="00C714F2" w:rsidRDefault="00F067E9" w:rsidP="00F067E9">
      <w:pPr>
        <w:rPr>
          <w:rFonts w:ascii="Century Schoolbook" w:hAnsi="Century Schoolbook"/>
          <w:sz w:val="24"/>
          <w:szCs w:val="24"/>
        </w:rPr>
      </w:pPr>
      <w:r w:rsidRPr="00C714F2">
        <w:rPr>
          <w:rFonts w:ascii="Century Schoolbook" w:hAnsi="Century Schoolbook"/>
          <w:noProof/>
          <w:sz w:val="24"/>
          <w:szCs w:val="24"/>
        </w:rPr>
        <w:drawing>
          <wp:inline distT="0" distB="0" distL="0" distR="0" wp14:anchorId="0C894093" wp14:editId="572F4189">
            <wp:extent cx="2832100" cy="2165985"/>
            <wp:effectExtent l="0" t="0" r="6350" b="5715"/>
            <wp:docPr id="59557341" name="Chart 1">
              <a:extLst xmlns:a="http://schemas.openxmlformats.org/drawingml/2006/main">
                <a:ext uri="{FF2B5EF4-FFF2-40B4-BE49-F238E27FC236}">
                  <a16:creationId xmlns:a16="http://schemas.microsoft.com/office/drawing/2014/main" id="{C5087AB1-E795-652C-028C-EFE20246DA6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r w:rsidR="00CA7E06" w:rsidRPr="00C714F2">
        <w:rPr>
          <w:rFonts w:ascii="Century Schoolbook" w:hAnsi="Century Schoolbook"/>
          <w:sz w:val="24"/>
          <w:szCs w:val="24"/>
        </w:rPr>
        <w:t xml:space="preserve">  </w:t>
      </w:r>
      <w:r w:rsidRPr="00C714F2">
        <w:rPr>
          <w:rFonts w:ascii="Century Schoolbook" w:hAnsi="Century Schoolbook"/>
          <w:sz w:val="24"/>
          <w:szCs w:val="24"/>
        </w:rPr>
        <w:t xml:space="preserve">    </w:t>
      </w:r>
      <w:r w:rsidR="00CA7E06" w:rsidRPr="00C714F2">
        <w:rPr>
          <w:rFonts w:ascii="Century Schoolbook" w:hAnsi="Century Schoolbook"/>
          <w:sz w:val="24"/>
          <w:szCs w:val="24"/>
        </w:rPr>
        <w:t xml:space="preserve">  </w:t>
      </w:r>
      <w:r w:rsidRPr="00C714F2">
        <w:rPr>
          <w:rFonts w:ascii="Century Schoolbook" w:hAnsi="Century Schoolbook"/>
          <w:noProof/>
          <w:sz w:val="24"/>
          <w:szCs w:val="24"/>
        </w:rPr>
        <w:drawing>
          <wp:inline distT="0" distB="0" distL="0" distR="0" wp14:anchorId="05BD92FE" wp14:editId="00F50F33">
            <wp:extent cx="2686050" cy="2192655"/>
            <wp:effectExtent l="0" t="0" r="0" b="17145"/>
            <wp:docPr id="1112486599" name="Chart 1">
              <a:extLst xmlns:a="http://schemas.openxmlformats.org/drawingml/2006/main">
                <a:ext uri="{FF2B5EF4-FFF2-40B4-BE49-F238E27FC236}">
                  <a16:creationId xmlns:a16="http://schemas.microsoft.com/office/drawing/2014/main" id="{4707E410-83BE-CA9C-1B76-F5AA46A6055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6204C82E" w14:textId="3774853D" w:rsidR="003A4CFE" w:rsidRPr="003A4CFE" w:rsidRDefault="003A4CFE" w:rsidP="00E17EF3">
      <w:pPr>
        <w:jc w:val="both"/>
        <w:rPr>
          <w:rFonts w:ascii="Century Schoolbook" w:hAnsi="Century Schoolbook" w:cs="Times New Roman"/>
          <w:i/>
          <w:iCs/>
          <w:sz w:val="18"/>
          <w:szCs w:val="18"/>
        </w:rPr>
      </w:pPr>
      <w:r w:rsidRPr="003A4CFE">
        <w:rPr>
          <w:rFonts w:ascii="Century Schoolbook" w:hAnsi="Century Schoolbook" w:cs="Times New Roman"/>
          <w:i/>
          <w:iCs/>
          <w:sz w:val="18"/>
          <w:szCs w:val="18"/>
        </w:rPr>
        <w:t>Source: Author Computation from MINECOFIN Data</w:t>
      </w:r>
    </w:p>
    <w:p w14:paraId="18D353E4" w14:textId="77777777" w:rsidR="003A4CFE" w:rsidRDefault="003A4CFE" w:rsidP="00E17EF3">
      <w:pPr>
        <w:jc w:val="both"/>
        <w:rPr>
          <w:rFonts w:ascii="Century Schoolbook" w:hAnsi="Century Schoolbook" w:cs="Times New Roman"/>
          <w:sz w:val="24"/>
          <w:szCs w:val="24"/>
        </w:rPr>
      </w:pPr>
    </w:p>
    <w:p w14:paraId="50DAB4F3" w14:textId="6C80809F" w:rsidR="00E17EF3" w:rsidRPr="00C714F2" w:rsidRDefault="00E17EF3" w:rsidP="00E17EF3">
      <w:pPr>
        <w:jc w:val="both"/>
        <w:rPr>
          <w:rFonts w:ascii="Century Schoolbook" w:hAnsi="Century Schoolbook" w:cs="Times New Roman"/>
          <w:sz w:val="24"/>
          <w:szCs w:val="24"/>
        </w:rPr>
      </w:pPr>
      <w:r w:rsidRPr="00C714F2">
        <w:rPr>
          <w:rFonts w:ascii="Century Schoolbook" w:hAnsi="Century Schoolbook" w:cs="Times New Roman"/>
          <w:sz w:val="24"/>
          <w:szCs w:val="24"/>
        </w:rPr>
        <w:t xml:space="preserve">From 2017Q2 to 2019Q2, GDP growth remained positive, fluctuating around 3 to 4.9%, this suggests a period of steady economic </w:t>
      </w:r>
      <w:r w:rsidR="00922253" w:rsidRPr="00C714F2">
        <w:rPr>
          <w:rFonts w:ascii="Century Schoolbook" w:hAnsi="Century Schoolbook" w:cs="Times New Roman"/>
          <w:sz w:val="24"/>
          <w:szCs w:val="24"/>
        </w:rPr>
        <w:t>growth</w:t>
      </w:r>
      <w:r w:rsidRPr="00C714F2">
        <w:rPr>
          <w:rFonts w:ascii="Century Schoolbook" w:hAnsi="Century Schoolbook" w:cs="Times New Roman"/>
          <w:sz w:val="24"/>
          <w:szCs w:val="24"/>
        </w:rPr>
        <w:t>.</w:t>
      </w:r>
      <w:r w:rsidR="00FB38BC" w:rsidRPr="00C714F2">
        <w:rPr>
          <w:rFonts w:ascii="Century Schoolbook" w:hAnsi="Century Schoolbook" w:cs="Times New Roman"/>
          <w:sz w:val="24"/>
          <w:szCs w:val="24"/>
        </w:rPr>
        <w:t xml:space="preserve"> </w:t>
      </w:r>
    </w:p>
    <w:p w14:paraId="49B1F218" w14:textId="799AF553" w:rsidR="00C93609" w:rsidRPr="00C714F2" w:rsidRDefault="00E17EF3" w:rsidP="000176D7">
      <w:pPr>
        <w:jc w:val="both"/>
        <w:rPr>
          <w:rFonts w:ascii="Century Schoolbook" w:hAnsi="Century Schoolbook" w:cs="Times New Roman"/>
          <w:sz w:val="24"/>
          <w:szCs w:val="24"/>
        </w:rPr>
      </w:pPr>
      <w:r w:rsidRPr="00C714F2">
        <w:rPr>
          <w:rFonts w:ascii="Century Schoolbook" w:hAnsi="Century Schoolbook" w:cs="Times New Roman"/>
          <w:sz w:val="24"/>
          <w:szCs w:val="24"/>
        </w:rPr>
        <w:t>A Sharp Decline in GDP growth around 2020 (Economic Contraction) reaching nearly -4.4% in Q1 2020,</w:t>
      </w:r>
      <w:r w:rsidRPr="00C714F2">
        <w:rPr>
          <w:rFonts w:ascii="Century Schoolbook" w:hAnsi="Century Schoolbook"/>
          <w:sz w:val="24"/>
          <w:szCs w:val="24"/>
        </w:rPr>
        <w:t xml:space="preserve"> </w:t>
      </w:r>
      <w:r w:rsidRPr="00C714F2">
        <w:rPr>
          <w:rFonts w:ascii="Century Schoolbook" w:hAnsi="Century Schoolbook" w:cs="Times New Roman"/>
          <w:sz w:val="24"/>
          <w:szCs w:val="24"/>
        </w:rPr>
        <w:t xml:space="preserve">corresponds to the COVID-19 pandemic, which caused a global economic slowdown due to lockdowns, trade disruptions, and reduced </w:t>
      </w:r>
      <w:r w:rsidR="00B37B34" w:rsidRPr="00C714F2">
        <w:rPr>
          <w:rFonts w:ascii="Century Schoolbook" w:hAnsi="Century Schoolbook" w:cs="Times New Roman"/>
          <w:sz w:val="24"/>
          <w:szCs w:val="24"/>
        </w:rPr>
        <w:t>demand. From</w:t>
      </w:r>
      <w:r w:rsidRPr="00C714F2">
        <w:rPr>
          <w:rFonts w:ascii="Century Schoolbook" w:hAnsi="Century Schoolbook" w:cs="Times New Roman"/>
          <w:sz w:val="24"/>
          <w:szCs w:val="24"/>
        </w:rPr>
        <w:t xml:space="preserve"> 2020Q4 to 202</w:t>
      </w:r>
      <w:r w:rsidR="00B37B34" w:rsidRPr="00C714F2">
        <w:rPr>
          <w:rFonts w:ascii="Century Schoolbook" w:hAnsi="Century Schoolbook" w:cs="Times New Roman"/>
          <w:sz w:val="24"/>
          <w:szCs w:val="24"/>
        </w:rPr>
        <w:t>2</w:t>
      </w:r>
      <w:r w:rsidRPr="00C714F2">
        <w:rPr>
          <w:rFonts w:ascii="Century Schoolbook" w:hAnsi="Century Schoolbook" w:cs="Times New Roman"/>
          <w:sz w:val="24"/>
          <w:szCs w:val="24"/>
        </w:rPr>
        <w:t>Q</w:t>
      </w:r>
      <w:r w:rsidR="00B37B34" w:rsidRPr="00C714F2">
        <w:rPr>
          <w:rFonts w:ascii="Century Schoolbook" w:hAnsi="Century Schoolbook" w:cs="Times New Roman"/>
          <w:sz w:val="24"/>
          <w:szCs w:val="24"/>
        </w:rPr>
        <w:t>1</w:t>
      </w:r>
      <w:r w:rsidRPr="00C714F2">
        <w:rPr>
          <w:rFonts w:ascii="Century Schoolbook" w:hAnsi="Century Schoolbook" w:cs="Times New Roman"/>
          <w:sz w:val="24"/>
          <w:szCs w:val="24"/>
        </w:rPr>
        <w:t xml:space="preserve">, GDP growth </w:t>
      </w:r>
      <w:r w:rsidR="00922253" w:rsidRPr="00C714F2">
        <w:rPr>
          <w:rFonts w:ascii="Century Schoolbook" w:hAnsi="Century Schoolbook" w:cs="Times New Roman"/>
          <w:sz w:val="24"/>
          <w:szCs w:val="24"/>
        </w:rPr>
        <w:t>recovered</w:t>
      </w:r>
      <w:r w:rsidRPr="00C714F2">
        <w:rPr>
          <w:rFonts w:ascii="Century Schoolbook" w:hAnsi="Century Schoolbook" w:cs="Times New Roman"/>
          <w:sz w:val="24"/>
          <w:szCs w:val="24"/>
        </w:rPr>
        <w:t xml:space="preserve"> sharply, peaking above 6% reflect</w:t>
      </w:r>
      <w:r w:rsidR="001D3609" w:rsidRPr="00C714F2">
        <w:rPr>
          <w:rFonts w:ascii="Century Schoolbook" w:hAnsi="Century Schoolbook" w:cs="Times New Roman"/>
          <w:sz w:val="24"/>
          <w:szCs w:val="24"/>
        </w:rPr>
        <w:t xml:space="preserve">ing </w:t>
      </w:r>
      <w:r w:rsidRPr="00C714F2">
        <w:rPr>
          <w:rFonts w:ascii="Century Schoolbook" w:hAnsi="Century Schoolbook" w:cs="Times New Roman"/>
          <w:sz w:val="24"/>
          <w:szCs w:val="24"/>
        </w:rPr>
        <w:t xml:space="preserve">a post-pandemic recovery as economies reopened, trade resumed, and stimulus measures boosted </w:t>
      </w:r>
      <w:r w:rsidR="00B37B34" w:rsidRPr="00C714F2">
        <w:rPr>
          <w:rFonts w:ascii="Century Schoolbook" w:hAnsi="Century Schoolbook" w:cs="Times New Roman"/>
          <w:sz w:val="24"/>
          <w:szCs w:val="24"/>
        </w:rPr>
        <w:t>growth, afterward the growth declined slightly in 2023 and stabilizing around 4% from 2023Q2 onwards.</w:t>
      </w:r>
    </w:p>
    <w:p w14:paraId="1E730CB1" w14:textId="7C76832B" w:rsidR="00C93609" w:rsidRPr="00C714F2" w:rsidRDefault="009F51C4" w:rsidP="000176D7">
      <w:pPr>
        <w:jc w:val="both"/>
        <w:rPr>
          <w:rFonts w:ascii="Century Schoolbook" w:hAnsi="Century Schoolbook" w:cs="Times New Roman"/>
          <w:sz w:val="24"/>
          <w:szCs w:val="24"/>
        </w:rPr>
      </w:pPr>
      <w:r w:rsidRPr="00C714F2">
        <w:rPr>
          <w:rFonts w:ascii="Century Schoolbook" w:hAnsi="Century Schoolbook" w:cs="Times New Roman"/>
          <w:sz w:val="24"/>
          <w:szCs w:val="24"/>
        </w:rPr>
        <w:t>The Figure 2 represents foreign interest rates over time, showing changes in borrowing costs from 2017Q2 to 2024Q4.</w:t>
      </w:r>
      <w:r w:rsidR="00D601C8" w:rsidRPr="00C714F2">
        <w:rPr>
          <w:rFonts w:ascii="Century Schoolbook" w:hAnsi="Century Schoolbook" w:cs="Times New Roman"/>
          <w:sz w:val="24"/>
          <w:szCs w:val="24"/>
        </w:rPr>
        <w:t xml:space="preserve">Foreign interest was 0.6% in Q1 2017 and increased afterward </w:t>
      </w:r>
      <w:r w:rsidR="00BA35B0" w:rsidRPr="00C714F2">
        <w:rPr>
          <w:rFonts w:ascii="Century Schoolbook" w:hAnsi="Century Schoolbook" w:cs="Times New Roman"/>
          <w:sz w:val="24"/>
          <w:szCs w:val="24"/>
        </w:rPr>
        <w:t xml:space="preserve">reached to 2.4% in Q1 </w:t>
      </w:r>
      <w:r w:rsidR="004A0C80" w:rsidRPr="00C714F2">
        <w:rPr>
          <w:rFonts w:ascii="Century Schoolbook" w:hAnsi="Century Schoolbook" w:cs="Times New Roman"/>
          <w:sz w:val="24"/>
          <w:szCs w:val="24"/>
        </w:rPr>
        <w:t>2019,</w:t>
      </w:r>
      <w:r w:rsidR="001C285A" w:rsidRPr="00C714F2">
        <w:rPr>
          <w:rFonts w:ascii="Century Schoolbook" w:hAnsi="Century Schoolbook" w:cs="Times New Roman"/>
          <w:sz w:val="24"/>
          <w:szCs w:val="24"/>
        </w:rPr>
        <w:t xml:space="preserve"> This suggests a period of monetary tightening due to strong economic growth.</w:t>
      </w:r>
      <w:r w:rsidR="004A0C80" w:rsidRPr="00C714F2">
        <w:rPr>
          <w:rFonts w:ascii="Century Schoolbook" w:hAnsi="Century Schoolbook" w:cs="Times New Roman"/>
          <w:sz w:val="24"/>
          <w:szCs w:val="24"/>
        </w:rPr>
        <w:t xml:space="preserve"> the</w:t>
      </w:r>
      <w:r w:rsidR="00EB3357" w:rsidRPr="00C714F2">
        <w:rPr>
          <w:rFonts w:ascii="Century Schoolbook" w:hAnsi="Century Schoolbook" w:cs="Times New Roman"/>
          <w:sz w:val="24"/>
          <w:szCs w:val="24"/>
        </w:rPr>
        <w:t xml:space="preserve"> foreign </w:t>
      </w:r>
      <w:r w:rsidR="001C285A" w:rsidRPr="00C714F2">
        <w:rPr>
          <w:rFonts w:ascii="Century Schoolbook" w:hAnsi="Century Schoolbook" w:cs="Times New Roman"/>
          <w:sz w:val="24"/>
          <w:szCs w:val="24"/>
        </w:rPr>
        <w:t xml:space="preserve">Interest rates dropped drastically in 2020Q2, approaching 0% this aligns with the COVID-19 pandemic, when central banks globally cut rates to stimulate the economy. </w:t>
      </w:r>
      <w:r w:rsidRPr="00C714F2">
        <w:rPr>
          <w:rFonts w:ascii="Century Schoolbook" w:hAnsi="Century Schoolbook" w:cs="Times New Roman"/>
          <w:sz w:val="24"/>
          <w:szCs w:val="24"/>
        </w:rPr>
        <w:t>From 2021Q4 onward, interest rates surged, peaking at above 5% by 2023Q2, this suggests aggressive monetary tightening, likely in response to high inflation and strong post-pandemic economic recovery.</w:t>
      </w:r>
      <w:r w:rsidR="00FB38BC" w:rsidRPr="00C714F2">
        <w:rPr>
          <w:rFonts w:ascii="Century Schoolbook" w:hAnsi="Century Schoolbook" w:cs="Times New Roman"/>
          <w:sz w:val="24"/>
          <w:szCs w:val="24"/>
        </w:rPr>
        <w:t xml:space="preserve"> </w:t>
      </w:r>
      <w:r w:rsidRPr="00C714F2">
        <w:rPr>
          <w:rFonts w:ascii="Century Schoolbook" w:hAnsi="Century Schoolbook" w:cs="Times New Roman"/>
          <w:sz w:val="24"/>
          <w:szCs w:val="24"/>
        </w:rPr>
        <w:t>Interest rates started decreasing in 2024, dropping to around 4% by 2024Q4, reflecting eased inflationary pressures.</w:t>
      </w:r>
    </w:p>
    <w:p w14:paraId="66F63A9C" w14:textId="77777777" w:rsidR="00A763D3" w:rsidRDefault="00A763D3" w:rsidP="000176D7">
      <w:pPr>
        <w:rPr>
          <w:rFonts w:ascii="Century Schoolbook" w:hAnsi="Century Schoolbook" w:cs="Times New Roman"/>
          <w:i/>
          <w:iCs/>
          <w:sz w:val="18"/>
          <w:szCs w:val="18"/>
        </w:rPr>
      </w:pPr>
    </w:p>
    <w:p w14:paraId="4382F048" w14:textId="77777777" w:rsidR="00A763D3" w:rsidRDefault="00A763D3" w:rsidP="000176D7">
      <w:pPr>
        <w:rPr>
          <w:rFonts w:ascii="Century Schoolbook" w:hAnsi="Century Schoolbook" w:cs="Times New Roman"/>
          <w:i/>
          <w:iCs/>
          <w:sz w:val="18"/>
          <w:szCs w:val="18"/>
        </w:rPr>
      </w:pPr>
    </w:p>
    <w:p w14:paraId="3019A4E8" w14:textId="77777777" w:rsidR="00A763D3" w:rsidRDefault="00A763D3" w:rsidP="000176D7">
      <w:pPr>
        <w:rPr>
          <w:rFonts w:ascii="Century Schoolbook" w:hAnsi="Century Schoolbook" w:cs="Times New Roman"/>
          <w:i/>
          <w:iCs/>
          <w:sz w:val="18"/>
          <w:szCs w:val="18"/>
        </w:rPr>
      </w:pPr>
    </w:p>
    <w:p w14:paraId="1D9B7451" w14:textId="77777777" w:rsidR="00A763D3" w:rsidRDefault="00A763D3" w:rsidP="000176D7">
      <w:pPr>
        <w:rPr>
          <w:rFonts w:ascii="Century Schoolbook" w:hAnsi="Century Schoolbook" w:cs="Times New Roman"/>
          <w:i/>
          <w:iCs/>
          <w:sz w:val="18"/>
          <w:szCs w:val="18"/>
        </w:rPr>
      </w:pPr>
    </w:p>
    <w:p w14:paraId="7DD2BBB6" w14:textId="1520925B" w:rsidR="000176D7" w:rsidRPr="00A763D3" w:rsidRDefault="001F4307" w:rsidP="000176D7">
      <w:pPr>
        <w:rPr>
          <w:rFonts w:ascii="Century Schoolbook" w:hAnsi="Century Schoolbook" w:cs="Times New Roman"/>
          <w:i/>
          <w:iCs/>
          <w:sz w:val="18"/>
          <w:szCs w:val="18"/>
        </w:rPr>
      </w:pPr>
      <w:r w:rsidRPr="00A763D3">
        <w:rPr>
          <w:rFonts w:ascii="Century Schoolbook" w:hAnsi="Century Schoolbook" w:cs="Times New Roman"/>
          <w:i/>
          <w:iCs/>
          <w:sz w:val="18"/>
          <w:szCs w:val="18"/>
        </w:rPr>
        <w:lastRenderedPageBreak/>
        <w:t>Figure3:</w:t>
      </w:r>
      <w:r w:rsidR="000176D7" w:rsidRPr="00A763D3">
        <w:rPr>
          <w:rFonts w:ascii="Century Schoolbook" w:hAnsi="Century Schoolbook" w:cs="Times New Roman"/>
          <w:i/>
          <w:iCs/>
          <w:sz w:val="18"/>
          <w:szCs w:val="18"/>
        </w:rPr>
        <w:t xml:space="preserve"> the evolution of foreign prices </w:t>
      </w:r>
    </w:p>
    <w:p w14:paraId="5C73D372" w14:textId="64D708DE" w:rsidR="000176D7" w:rsidRPr="00C714F2" w:rsidRDefault="000176D7" w:rsidP="000176D7">
      <w:pPr>
        <w:rPr>
          <w:rFonts w:ascii="Century Schoolbook" w:hAnsi="Century Schoolbook" w:cs="Times New Roman"/>
          <w:sz w:val="24"/>
          <w:szCs w:val="24"/>
        </w:rPr>
      </w:pPr>
      <w:r w:rsidRPr="00C714F2">
        <w:rPr>
          <w:rFonts w:ascii="Century Schoolbook" w:hAnsi="Century Schoolbook"/>
          <w:noProof/>
          <w:sz w:val="24"/>
          <w:szCs w:val="24"/>
        </w:rPr>
        <w:drawing>
          <wp:inline distT="0" distB="0" distL="0" distR="0" wp14:anchorId="287C06F0" wp14:editId="6A19F870">
            <wp:extent cx="4299585" cy="2702689"/>
            <wp:effectExtent l="0" t="0" r="5715" b="2540"/>
            <wp:docPr id="570408930" name="Chart 1">
              <a:extLst xmlns:a="http://schemas.openxmlformats.org/drawingml/2006/main">
                <a:ext uri="{FF2B5EF4-FFF2-40B4-BE49-F238E27FC236}">
                  <a16:creationId xmlns:a16="http://schemas.microsoft.com/office/drawing/2014/main" id="{C07F329C-363C-EC39-0F47-992D3CE8A85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187831BA" w14:textId="70D30851" w:rsidR="000176D7" w:rsidRPr="003A274C" w:rsidRDefault="003A274C" w:rsidP="000176D7">
      <w:pPr>
        <w:rPr>
          <w:rFonts w:ascii="Century Schoolbook" w:hAnsi="Century Schoolbook" w:cs="Times New Roman"/>
          <w:i/>
          <w:iCs/>
          <w:sz w:val="18"/>
          <w:szCs w:val="18"/>
        </w:rPr>
      </w:pPr>
      <w:r w:rsidRPr="003A274C">
        <w:rPr>
          <w:rFonts w:ascii="Century Schoolbook" w:hAnsi="Century Schoolbook" w:cs="Times New Roman"/>
          <w:i/>
          <w:iCs/>
          <w:sz w:val="18"/>
          <w:szCs w:val="18"/>
        </w:rPr>
        <w:t>Source: Author Computation from NISR data</w:t>
      </w:r>
    </w:p>
    <w:p w14:paraId="40C1E145" w14:textId="3F26A28A" w:rsidR="001B649A" w:rsidRPr="00C714F2" w:rsidRDefault="000176D7" w:rsidP="000176D7">
      <w:pPr>
        <w:rPr>
          <w:rFonts w:ascii="Century Schoolbook" w:hAnsi="Century Schoolbook" w:cs="Times New Roman"/>
          <w:sz w:val="24"/>
          <w:szCs w:val="24"/>
        </w:rPr>
      </w:pPr>
      <w:r w:rsidRPr="00C714F2">
        <w:rPr>
          <w:rFonts w:ascii="Century Schoolbook" w:hAnsi="Century Schoolbook" w:cs="Times New Roman"/>
          <w:sz w:val="24"/>
          <w:szCs w:val="24"/>
        </w:rPr>
        <w:t xml:space="preserve">Food index (Left-Hand Axis, Blue Bars) – Measures the CPI (Consumer Price Index) for </w:t>
      </w:r>
      <w:r w:rsidR="00207890" w:rsidRPr="00C714F2">
        <w:rPr>
          <w:rFonts w:ascii="Century Schoolbook" w:hAnsi="Century Schoolbook" w:cs="Times New Roman"/>
          <w:sz w:val="24"/>
          <w:szCs w:val="24"/>
        </w:rPr>
        <w:t>food, Energy</w:t>
      </w:r>
      <w:r w:rsidRPr="00C714F2">
        <w:rPr>
          <w:rFonts w:ascii="Century Schoolbook" w:hAnsi="Century Schoolbook" w:cs="Times New Roman"/>
          <w:sz w:val="24"/>
          <w:szCs w:val="24"/>
        </w:rPr>
        <w:t xml:space="preserve"> index (Left-Hand Axis, Green Bars) – Represents the CPI for </w:t>
      </w:r>
      <w:r w:rsidR="00207890" w:rsidRPr="00C714F2">
        <w:rPr>
          <w:rFonts w:ascii="Century Schoolbook" w:hAnsi="Century Schoolbook" w:cs="Times New Roman"/>
          <w:sz w:val="24"/>
          <w:szCs w:val="24"/>
        </w:rPr>
        <w:t xml:space="preserve">energy, and </w:t>
      </w:r>
      <w:r w:rsidR="00FB12BC" w:rsidRPr="00C714F2">
        <w:rPr>
          <w:rFonts w:ascii="Century Schoolbook" w:hAnsi="Century Schoolbook" w:cs="Times New Roman"/>
          <w:sz w:val="24"/>
          <w:szCs w:val="24"/>
        </w:rPr>
        <w:t>foreign</w:t>
      </w:r>
      <w:r w:rsidRPr="00C714F2">
        <w:rPr>
          <w:rFonts w:ascii="Century Schoolbook" w:hAnsi="Century Schoolbook" w:cs="Times New Roman"/>
          <w:sz w:val="24"/>
          <w:szCs w:val="24"/>
        </w:rPr>
        <w:t xml:space="preserve"> index (Right-Hand Axis, Orange Line) – Shows the foreign price index in percentage terms</w:t>
      </w:r>
      <w:r w:rsidR="001B649A" w:rsidRPr="00C714F2">
        <w:rPr>
          <w:rFonts w:ascii="Century Schoolbook" w:hAnsi="Century Schoolbook" w:cs="Times New Roman"/>
          <w:sz w:val="24"/>
          <w:szCs w:val="24"/>
        </w:rPr>
        <w:t>.</w:t>
      </w:r>
    </w:p>
    <w:p w14:paraId="686402CB" w14:textId="719A1FC6" w:rsidR="000176D7" w:rsidRPr="00C714F2" w:rsidRDefault="000176D7" w:rsidP="000176D7">
      <w:pPr>
        <w:rPr>
          <w:rFonts w:ascii="Century Schoolbook" w:hAnsi="Century Schoolbook" w:cs="Times New Roman"/>
          <w:sz w:val="24"/>
          <w:szCs w:val="24"/>
        </w:rPr>
      </w:pPr>
      <w:r w:rsidRPr="00C714F2">
        <w:rPr>
          <w:rFonts w:ascii="Century Schoolbook" w:hAnsi="Century Schoolbook" w:cs="Times New Roman"/>
          <w:sz w:val="24"/>
          <w:szCs w:val="24"/>
        </w:rPr>
        <w:t>The foreign index (orange line) exhibits significant volatility, with notable peaks around 2018Q2, 2021Q2, and 2022Q3, followed by declines</w:t>
      </w:r>
      <w:r w:rsidR="00B905CE" w:rsidRPr="00C714F2">
        <w:rPr>
          <w:rFonts w:ascii="Century Schoolbook" w:hAnsi="Century Schoolbook" w:cs="Times New Roman"/>
          <w:sz w:val="24"/>
          <w:szCs w:val="24"/>
        </w:rPr>
        <w:t xml:space="preserve">, </w:t>
      </w:r>
      <w:r w:rsidRPr="00C714F2">
        <w:rPr>
          <w:rFonts w:ascii="Century Schoolbook" w:hAnsi="Century Schoolbook" w:cs="Times New Roman"/>
          <w:sz w:val="24"/>
          <w:szCs w:val="24"/>
        </w:rPr>
        <w:t xml:space="preserve">A sharp drop is visible around 2019Q1 and 2020Q2, possibly due to global economic </w:t>
      </w:r>
      <w:r w:rsidR="00BC7A7D" w:rsidRPr="00C714F2">
        <w:rPr>
          <w:rFonts w:ascii="Century Schoolbook" w:hAnsi="Century Schoolbook" w:cs="Times New Roman"/>
          <w:sz w:val="24"/>
          <w:szCs w:val="24"/>
        </w:rPr>
        <w:t>recessions</w:t>
      </w:r>
      <w:r w:rsidRPr="00C714F2">
        <w:rPr>
          <w:rFonts w:ascii="Century Schoolbook" w:hAnsi="Century Schoolbook" w:cs="Times New Roman"/>
          <w:sz w:val="24"/>
          <w:szCs w:val="24"/>
        </w:rPr>
        <w:t xml:space="preserve"> or shocks such as the COVID-19 pandemic.</w:t>
      </w:r>
    </w:p>
    <w:p w14:paraId="1C7A54F9" w14:textId="5E00EAEF" w:rsidR="000176D7" w:rsidRPr="00C714F2" w:rsidRDefault="000176D7" w:rsidP="000176D7">
      <w:pPr>
        <w:rPr>
          <w:rFonts w:ascii="Century Schoolbook" w:hAnsi="Century Schoolbook" w:cs="Times New Roman"/>
          <w:sz w:val="24"/>
          <w:szCs w:val="24"/>
        </w:rPr>
      </w:pPr>
      <w:r w:rsidRPr="00C714F2">
        <w:rPr>
          <w:rFonts w:ascii="Century Schoolbook" w:hAnsi="Century Schoolbook" w:cs="Times New Roman"/>
          <w:sz w:val="24"/>
          <w:szCs w:val="24"/>
        </w:rPr>
        <w:t>The most recent period shows a decline in foreign inflation from 2023Q2 onward, suggesting a slowdown in global price pressures</w:t>
      </w:r>
      <w:r w:rsidR="00723B0B" w:rsidRPr="00C714F2">
        <w:rPr>
          <w:rFonts w:ascii="Century Schoolbook" w:hAnsi="Century Schoolbook" w:cs="Times New Roman"/>
          <w:sz w:val="24"/>
          <w:szCs w:val="24"/>
        </w:rPr>
        <w:t xml:space="preserve"> due to the decline in prices index of food and </w:t>
      </w:r>
      <w:r w:rsidR="00B905CE" w:rsidRPr="00C714F2">
        <w:rPr>
          <w:rFonts w:ascii="Century Schoolbook" w:hAnsi="Century Schoolbook" w:cs="Times New Roman"/>
          <w:sz w:val="24"/>
          <w:szCs w:val="24"/>
        </w:rPr>
        <w:t>energy, The</w:t>
      </w:r>
      <w:r w:rsidRPr="00C714F2">
        <w:rPr>
          <w:rFonts w:ascii="Century Schoolbook" w:hAnsi="Century Schoolbook" w:cs="Times New Roman"/>
          <w:sz w:val="24"/>
          <w:szCs w:val="24"/>
        </w:rPr>
        <w:t xml:space="preserve"> food index (blue bars) has remained relatively stable over time, with moderate increases post-2020</w:t>
      </w:r>
      <w:r w:rsidR="00B905CE" w:rsidRPr="00C714F2">
        <w:rPr>
          <w:rFonts w:ascii="Century Schoolbook" w:hAnsi="Century Schoolbook" w:cs="Times New Roman"/>
          <w:sz w:val="24"/>
          <w:szCs w:val="24"/>
        </w:rPr>
        <w:t xml:space="preserve"> and t</w:t>
      </w:r>
      <w:r w:rsidRPr="00C714F2">
        <w:rPr>
          <w:rFonts w:ascii="Century Schoolbook" w:hAnsi="Century Schoolbook" w:cs="Times New Roman"/>
          <w:sz w:val="24"/>
          <w:szCs w:val="24"/>
        </w:rPr>
        <w:t xml:space="preserve">he energy index (green bars) has </w:t>
      </w:r>
      <w:r w:rsidR="00C51A5C" w:rsidRPr="00C714F2">
        <w:rPr>
          <w:rFonts w:ascii="Century Schoolbook" w:hAnsi="Century Schoolbook" w:cs="Times New Roman"/>
          <w:sz w:val="24"/>
          <w:szCs w:val="24"/>
        </w:rPr>
        <w:t>experienced more fluctuations</w:t>
      </w:r>
      <w:r w:rsidRPr="00C714F2">
        <w:rPr>
          <w:rFonts w:ascii="Century Schoolbook" w:hAnsi="Century Schoolbook" w:cs="Times New Roman"/>
          <w:sz w:val="24"/>
          <w:szCs w:val="24"/>
        </w:rPr>
        <w:t xml:space="preserve">, with spikes aligning with foreign price movements (e.g., 2021-2022, likely due to the global energy crisis).The foreign index tends to move in </w:t>
      </w:r>
      <w:r w:rsidR="005E1308" w:rsidRPr="00C714F2">
        <w:rPr>
          <w:rFonts w:ascii="Century Schoolbook" w:hAnsi="Century Schoolbook" w:cs="Times New Roman"/>
          <w:sz w:val="24"/>
          <w:szCs w:val="24"/>
        </w:rPr>
        <w:t>synchronize</w:t>
      </w:r>
      <w:r w:rsidRPr="00C714F2">
        <w:rPr>
          <w:rFonts w:ascii="Century Schoolbook" w:hAnsi="Century Schoolbook" w:cs="Times New Roman"/>
          <w:sz w:val="24"/>
          <w:szCs w:val="24"/>
        </w:rPr>
        <w:t xml:space="preserve"> with energy prices, indicating that external energy price shocks (e.g., oil price volatility) significantly impact overall foreign price </w:t>
      </w:r>
      <w:r w:rsidR="001959B9" w:rsidRPr="00C714F2">
        <w:rPr>
          <w:rFonts w:ascii="Century Schoolbook" w:hAnsi="Century Schoolbook" w:cs="Times New Roman"/>
          <w:sz w:val="24"/>
          <w:szCs w:val="24"/>
        </w:rPr>
        <w:t>movements, Food</w:t>
      </w:r>
      <w:r w:rsidRPr="00C714F2">
        <w:rPr>
          <w:rFonts w:ascii="Century Schoolbook" w:hAnsi="Century Schoolbook" w:cs="Times New Roman"/>
          <w:sz w:val="24"/>
          <w:szCs w:val="24"/>
        </w:rPr>
        <w:t xml:space="preserve"> prices appear more stable, though they still contribute to inflationary trends.</w:t>
      </w:r>
      <w:r w:rsidR="009D1E54" w:rsidRPr="00C714F2">
        <w:rPr>
          <w:rFonts w:ascii="Century Schoolbook" w:hAnsi="Century Schoolbook" w:cs="Times New Roman"/>
          <w:sz w:val="24"/>
          <w:szCs w:val="24"/>
        </w:rPr>
        <w:t xml:space="preserve"> </w:t>
      </w:r>
    </w:p>
    <w:p w14:paraId="455B79C4" w14:textId="3EFDE7BC" w:rsidR="000176D7" w:rsidRPr="00C714F2" w:rsidRDefault="00693EB6" w:rsidP="000176D7">
      <w:pPr>
        <w:rPr>
          <w:rFonts w:ascii="Century Schoolbook" w:hAnsi="Century Schoolbook" w:cs="Times New Roman"/>
          <w:sz w:val="24"/>
          <w:szCs w:val="24"/>
        </w:rPr>
      </w:pPr>
      <w:r w:rsidRPr="00C714F2">
        <w:rPr>
          <w:rFonts w:ascii="Century Schoolbook" w:hAnsi="Century Schoolbook" w:cs="Times New Roman"/>
          <w:sz w:val="24"/>
          <w:szCs w:val="24"/>
        </w:rPr>
        <w:t>The foreign</w:t>
      </w:r>
      <w:r w:rsidR="000176D7" w:rsidRPr="00C714F2">
        <w:rPr>
          <w:rFonts w:ascii="Century Schoolbook" w:hAnsi="Century Schoolbook" w:cs="Times New Roman"/>
          <w:sz w:val="24"/>
          <w:szCs w:val="24"/>
        </w:rPr>
        <w:t xml:space="preserve"> prices have been highly volatile, influenced by external shocks such as energy price fluctuations and global economic conditions. The recent decline in the foreign price index may indicate easing external inflation pressures, which could have implications for trade balances, import costs, and domestic inflation trends.</w:t>
      </w:r>
    </w:p>
    <w:p w14:paraId="28B90FBD" w14:textId="77777777" w:rsidR="00AB07F5" w:rsidRPr="00C714F2" w:rsidRDefault="00AB07F5" w:rsidP="000176D7">
      <w:pPr>
        <w:rPr>
          <w:rFonts w:ascii="Century Schoolbook" w:hAnsi="Century Schoolbook" w:cs="Times New Roman"/>
          <w:sz w:val="24"/>
          <w:szCs w:val="24"/>
        </w:rPr>
      </w:pPr>
    </w:p>
    <w:p w14:paraId="712089A1" w14:textId="69837679" w:rsidR="008B1102" w:rsidRPr="00C714F2" w:rsidRDefault="0039491C" w:rsidP="008B1102">
      <w:pPr>
        <w:rPr>
          <w:rFonts w:ascii="Century Schoolbook" w:hAnsi="Century Schoolbook" w:cs="Times New Roman"/>
          <w:b/>
          <w:bCs/>
          <w:sz w:val="24"/>
          <w:szCs w:val="24"/>
        </w:rPr>
      </w:pPr>
      <w:r>
        <w:rPr>
          <w:rFonts w:ascii="Century Schoolbook" w:hAnsi="Century Schoolbook" w:cs="Times New Roman"/>
          <w:b/>
          <w:bCs/>
          <w:sz w:val="24"/>
          <w:szCs w:val="24"/>
        </w:rPr>
        <w:t>3</w:t>
      </w:r>
      <w:r w:rsidR="00B6434B" w:rsidRPr="00C714F2">
        <w:rPr>
          <w:rFonts w:ascii="Century Schoolbook" w:hAnsi="Century Schoolbook" w:cs="Times New Roman"/>
          <w:b/>
          <w:bCs/>
          <w:sz w:val="24"/>
          <w:szCs w:val="24"/>
        </w:rPr>
        <w:t xml:space="preserve">. </w:t>
      </w:r>
      <w:r w:rsidR="00336748" w:rsidRPr="00C714F2">
        <w:rPr>
          <w:rFonts w:ascii="Century Schoolbook" w:hAnsi="Century Schoolbook" w:cs="Times New Roman"/>
          <w:b/>
          <w:bCs/>
          <w:sz w:val="24"/>
          <w:szCs w:val="24"/>
        </w:rPr>
        <w:t>INFLATION</w:t>
      </w:r>
    </w:p>
    <w:p w14:paraId="1A3631DB" w14:textId="714373E2" w:rsidR="00A763D3" w:rsidRDefault="008B1102" w:rsidP="000176D7">
      <w:pPr>
        <w:rPr>
          <w:rFonts w:ascii="Century Schoolbook" w:hAnsi="Century Schoolbook" w:cs="Times New Roman"/>
          <w:sz w:val="24"/>
          <w:szCs w:val="24"/>
        </w:rPr>
      </w:pPr>
      <w:r w:rsidRPr="00C714F2">
        <w:rPr>
          <w:rFonts w:ascii="Century Schoolbook" w:hAnsi="Century Schoolbook" w:cs="Times New Roman"/>
          <w:sz w:val="24"/>
          <w:szCs w:val="24"/>
        </w:rPr>
        <w:t>The general price level has been increasing steadily over time</w:t>
      </w:r>
      <w:r w:rsidR="003F5D08" w:rsidRPr="00C714F2">
        <w:rPr>
          <w:rFonts w:ascii="Century Schoolbook" w:hAnsi="Century Schoolbook" w:cs="Times New Roman"/>
          <w:sz w:val="24"/>
          <w:szCs w:val="24"/>
        </w:rPr>
        <w:t xml:space="preserve"> an</w:t>
      </w:r>
      <w:r w:rsidR="002B709C">
        <w:rPr>
          <w:rFonts w:ascii="Century Schoolbook" w:hAnsi="Century Schoolbook" w:cs="Times New Roman"/>
          <w:sz w:val="24"/>
          <w:szCs w:val="24"/>
        </w:rPr>
        <w:t>d</w:t>
      </w:r>
      <w:r w:rsidR="003F5D08" w:rsidRPr="00C714F2">
        <w:rPr>
          <w:rFonts w:ascii="Century Schoolbook" w:hAnsi="Century Schoolbook" w:cs="Times New Roman"/>
          <w:sz w:val="24"/>
          <w:szCs w:val="24"/>
        </w:rPr>
        <w:t xml:space="preserve"> </w:t>
      </w:r>
      <w:r w:rsidRPr="00C714F2">
        <w:rPr>
          <w:rFonts w:ascii="Century Schoolbook" w:hAnsi="Century Schoolbook" w:cs="Times New Roman"/>
          <w:sz w:val="24"/>
          <w:szCs w:val="24"/>
        </w:rPr>
        <w:t>there is a visible acceleration in price growth from 2021 onward</w:t>
      </w:r>
      <w:r w:rsidR="003F5D08" w:rsidRPr="00C714F2">
        <w:rPr>
          <w:rFonts w:ascii="Century Schoolbook" w:hAnsi="Century Schoolbook" w:cs="Times New Roman"/>
          <w:sz w:val="24"/>
          <w:szCs w:val="24"/>
        </w:rPr>
        <w:t xml:space="preserve"> reflecting the increase in food prices index, </w:t>
      </w:r>
      <w:r w:rsidR="0003374E" w:rsidRPr="00C714F2">
        <w:rPr>
          <w:rFonts w:ascii="Century Schoolbook" w:hAnsi="Century Schoolbook" w:cs="Times New Roman"/>
          <w:sz w:val="24"/>
          <w:szCs w:val="24"/>
        </w:rPr>
        <w:t xml:space="preserve">Core index </w:t>
      </w:r>
      <w:r w:rsidR="003F5D08" w:rsidRPr="00C714F2">
        <w:rPr>
          <w:rFonts w:ascii="Century Schoolbook" w:hAnsi="Century Schoolbook" w:cs="Times New Roman"/>
          <w:sz w:val="24"/>
          <w:szCs w:val="24"/>
        </w:rPr>
        <w:t xml:space="preserve">and energy index. </w:t>
      </w:r>
      <w:r w:rsidRPr="00C714F2">
        <w:rPr>
          <w:rFonts w:ascii="Century Schoolbook" w:hAnsi="Century Schoolbook" w:cs="Times New Roman"/>
          <w:sz w:val="24"/>
          <w:szCs w:val="24"/>
        </w:rPr>
        <w:t>Food prices have shown significant volatility compared to other components</w:t>
      </w:r>
      <w:r w:rsidR="001D31F3" w:rsidRPr="00C714F2">
        <w:rPr>
          <w:rFonts w:ascii="Century Schoolbook" w:hAnsi="Century Schoolbook" w:cs="Times New Roman"/>
          <w:sz w:val="24"/>
          <w:szCs w:val="24"/>
        </w:rPr>
        <w:t xml:space="preserve"> a sharp increase starting around 2021, peaking in 2023 before a slight dip and then continuing upward, the food inflation has been a key driver of overall </w:t>
      </w:r>
      <w:r w:rsidR="003F5D08" w:rsidRPr="00C714F2">
        <w:rPr>
          <w:rFonts w:ascii="Century Schoolbook" w:hAnsi="Century Schoolbook" w:cs="Times New Roman"/>
          <w:sz w:val="24"/>
          <w:szCs w:val="24"/>
        </w:rPr>
        <w:t>inflation. The</w:t>
      </w:r>
      <w:r w:rsidRPr="00C714F2">
        <w:rPr>
          <w:rFonts w:ascii="Century Schoolbook" w:hAnsi="Century Schoolbook" w:cs="Times New Roman"/>
          <w:sz w:val="24"/>
          <w:szCs w:val="24"/>
        </w:rPr>
        <w:t xml:space="preserve"> core index (which excludes food and energy) shows a more stable and gradual </w:t>
      </w:r>
      <w:r w:rsidR="00E14EA0" w:rsidRPr="00C714F2">
        <w:rPr>
          <w:rFonts w:ascii="Century Schoolbook" w:hAnsi="Century Schoolbook" w:cs="Times New Roman"/>
          <w:sz w:val="24"/>
          <w:szCs w:val="24"/>
        </w:rPr>
        <w:t>increase. This</w:t>
      </w:r>
      <w:r w:rsidRPr="00C714F2">
        <w:rPr>
          <w:rFonts w:ascii="Century Schoolbook" w:hAnsi="Century Schoolbook" w:cs="Times New Roman"/>
          <w:sz w:val="24"/>
          <w:szCs w:val="24"/>
        </w:rPr>
        <w:t xml:space="preserve"> suggests that underlying inflation pressures (excluding volatile items) have been </w:t>
      </w:r>
      <w:r w:rsidR="003F5D08" w:rsidRPr="00C714F2">
        <w:rPr>
          <w:rFonts w:ascii="Century Schoolbook" w:hAnsi="Century Schoolbook" w:cs="Times New Roman"/>
          <w:sz w:val="24"/>
          <w:szCs w:val="24"/>
        </w:rPr>
        <w:t>moderate. Energy</w:t>
      </w:r>
      <w:r w:rsidRPr="00C714F2">
        <w:rPr>
          <w:rFonts w:ascii="Century Schoolbook" w:hAnsi="Century Schoolbook" w:cs="Times New Roman"/>
          <w:sz w:val="24"/>
          <w:szCs w:val="24"/>
        </w:rPr>
        <w:t xml:space="preserve"> prices have followed a pattern similar to the overall CPI but with some </w:t>
      </w:r>
      <w:r w:rsidR="0003374E" w:rsidRPr="00C714F2">
        <w:rPr>
          <w:rFonts w:ascii="Century Schoolbook" w:hAnsi="Century Schoolbook" w:cs="Times New Roman"/>
          <w:sz w:val="24"/>
          <w:szCs w:val="24"/>
        </w:rPr>
        <w:t>fluctuations. The</w:t>
      </w:r>
      <w:r w:rsidRPr="00C714F2">
        <w:rPr>
          <w:rFonts w:ascii="Century Schoolbook" w:hAnsi="Century Schoolbook" w:cs="Times New Roman"/>
          <w:sz w:val="24"/>
          <w:szCs w:val="24"/>
        </w:rPr>
        <w:t xml:space="preserve"> energy index has increased at a pace comparable to the core index, implying energy prices are less volatile than food prices.</w:t>
      </w:r>
    </w:p>
    <w:p w14:paraId="5BEA732C" w14:textId="36D9C5A3" w:rsidR="00A763D3" w:rsidRPr="00A763D3" w:rsidRDefault="00A763D3" w:rsidP="00A763D3">
      <w:pPr>
        <w:rPr>
          <w:rFonts w:ascii="Century Schoolbook" w:hAnsi="Century Schoolbook" w:cs="Times New Roman"/>
          <w:sz w:val="24"/>
          <w:szCs w:val="24"/>
        </w:rPr>
      </w:pPr>
      <w:r w:rsidRPr="00A763D3">
        <w:rPr>
          <w:rFonts w:ascii="Century Schoolbook" w:hAnsi="Century Schoolbook" w:cs="Times New Roman"/>
          <w:sz w:val="24"/>
          <w:szCs w:val="24"/>
        </w:rPr>
        <w:t>The Central Bank's inflation target range is 2% to 8%. Looking at the CPI trend in the</w:t>
      </w:r>
      <w:r w:rsidR="007F2F45">
        <w:rPr>
          <w:rFonts w:ascii="Century Schoolbook" w:hAnsi="Century Schoolbook" w:cs="Times New Roman"/>
          <w:sz w:val="24"/>
          <w:szCs w:val="24"/>
        </w:rPr>
        <w:t xml:space="preserve"> figure 5</w:t>
      </w:r>
      <w:r w:rsidRPr="00A763D3">
        <w:rPr>
          <w:rFonts w:ascii="Century Schoolbook" w:hAnsi="Century Schoolbook" w:cs="Times New Roman"/>
          <w:sz w:val="24"/>
          <w:szCs w:val="24"/>
        </w:rPr>
        <w:t xml:space="preserve"> from 2017 to mid-2019, CPI inflation mostly stayed within the 2%-8% range, indicating relative price stability. Inflation surged beyond 8% in early 2020, likely due to global disruptions (e.g., COVID-19 supply chain effects).</w:t>
      </w:r>
    </w:p>
    <w:p w14:paraId="4C5138BF" w14:textId="77777777" w:rsidR="00A763D3" w:rsidRPr="00A763D3" w:rsidRDefault="00A763D3" w:rsidP="00A763D3">
      <w:pPr>
        <w:rPr>
          <w:rFonts w:ascii="Century Schoolbook" w:hAnsi="Century Schoolbook" w:cs="Times New Roman"/>
          <w:sz w:val="24"/>
          <w:szCs w:val="24"/>
        </w:rPr>
      </w:pPr>
      <w:r w:rsidRPr="00A763D3">
        <w:rPr>
          <w:rFonts w:ascii="Century Schoolbook" w:hAnsi="Century Schoolbook" w:cs="Times New Roman"/>
          <w:sz w:val="24"/>
          <w:szCs w:val="24"/>
        </w:rPr>
        <w:t>in 2021 also saw inflation within the target, suggesting a temporary stabilization period after earlier fluctuations. The significant increase of inflation occurred in 2022-2023 reached at peak in Q1 2023 of 20.2% mostly driven by food price inflation. This sharp rise was attributed to the external shocks including Russia and Ukraine war. This sharp rise suggests severe external shocks, possibly from global commodity price surges, supply chain disruptions, or domestic production shortfalls.</w:t>
      </w:r>
    </w:p>
    <w:p w14:paraId="32233D1E" w14:textId="62FAE874" w:rsidR="00A763D3" w:rsidRPr="00C714F2" w:rsidRDefault="00A763D3" w:rsidP="00A763D3">
      <w:pPr>
        <w:rPr>
          <w:rFonts w:ascii="Century Schoolbook" w:hAnsi="Century Schoolbook" w:cs="Times New Roman"/>
          <w:sz w:val="24"/>
          <w:szCs w:val="24"/>
        </w:rPr>
      </w:pPr>
      <w:r w:rsidRPr="00A763D3">
        <w:rPr>
          <w:rFonts w:ascii="Century Schoolbook" w:hAnsi="Century Schoolbook" w:cs="Times New Roman"/>
          <w:sz w:val="24"/>
          <w:szCs w:val="24"/>
        </w:rPr>
        <w:t>CPI inflation has gradually returned to the target range by 2024.reflecting a successful stabilization effort of monetary policy tightening, fiscal interventions, and easing of external pressures.</w:t>
      </w:r>
    </w:p>
    <w:p w14:paraId="21509EEE" w14:textId="77777777" w:rsidR="00821FE0" w:rsidRDefault="00821FE0" w:rsidP="000176D7">
      <w:pPr>
        <w:rPr>
          <w:rFonts w:ascii="Century Schoolbook" w:hAnsi="Century Schoolbook" w:cs="Times New Roman"/>
          <w:i/>
          <w:iCs/>
          <w:sz w:val="24"/>
          <w:szCs w:val="24"/>
        </w:rPr>
      </w:pPr>
    </w:p>
    <w:p w14:paraId="3ABBC641" w14:textId="77777777" w:rsidR="00821FE0" w:rsidRDefault="00821FE0" w:rsidP="000176D7">
      <w:pPr>
        <w:rPr>
          <w:rFonts w:ascii="Century Schoolbook" w:hAnsi="Century Schoolbook" w:cs="Times New Roman"/>
          <w:i/>
          <w:iCs/>
          <w:sz w:val="24"/>
          <w:szCs w:val="24"/>
        </w:rPr>
      </w:pPr>
    </w:p>
    <w:p w14:paraId="43BB976F" w14:textId="77777777" w:rsidR="00821FE0" w:rsidRDefault="00821FE0" w:rsidP="000176D7">
      <w:pPr>
        <w:rPr>
          <w:rFonts w:ascii="Century Schoolbook" w:hAnsi="Century Schoolbook" w:cs="Times New Roman"/>
          <w:i/>
          <w:iCs/>
          <w:sz w:val="24"/>
          <w:szCs w:val="24"/>
        </w:rPr>
      </w:pPr>
    </w:p>
    <w:p w14:paraId="2D9659AB" w14:textId="77777777" w:rsidR="00821FE0" w:rsidRDefault="00821FE0" w:rsidP="000176D7">
      <w:pPr>
        <w:rPr>
          <w:rFonts w:ascii="Century Schoolbook" w:hAnsi="Century Schoolbook" w:cs="Times New Roman"/>
          <w:i/>
          <w:iCs/>
          <w:sz w:val="24"/>
          <w:szCs w:val="24"/>
        </w:rPr>
      </w:pPr>
    </w:p>
    <w:p w14:paraId="5F080EDE" w14:textId="77777777" w:rsidR="00821FE0" w:rsidRDefault="00821FE0" w:rsidP="000176D7">
      <w:pPr>
        <w:rPr>
          <w:rFonts w:ascii="Century Schoolbook" w:hAnsi="Century Schoolbook" w:cs="Times New Roman"/>
          <w:i/>
          <w:iCs/>
          <w:sz w:val="24"/>
          <w:szCs w:val="24"/>
        </w:rPr>
      </w:pPr>
    </w:p>
    <w:p w14:paraId="55E366BC" w14:textId="77777777" w:rsidR="00821FE0" w:rsidRDefault="00821FE0" w:rsidP="000176D7">
      <w:pPr>
        <w:rPr>
          <w:rFonts w:ascii="Century Schoolbook" w:hAnsi="Century Schoolbook" w:cs="Times New Roman"/>
          <w:i/>
          <w:iCs/>
          <w:sz w:val="24"/>
          <w:szCs w:val="24"/>
        </w:rPr>
      </w:pPr>
    </w:p>
    <w:p w14:paraId="7DFAFA42" w14:textId="77777777" w:rsidR="00821FE0" w:rsidRDefault="00821FE0" w:rsidP="000176D7">
      <w:pPr>
        <w:rPr>
          <w:rFonts w:ascii="Century Schoolbook" w:hAnsi="Century Schoolbook" w:cs="Times New Roman"/>
          <w:i/>
          <w:iCs/>
          <w:sz w:val="24"/>
          <w:szCs w:val="24"/>
        </w:rPr>
      </w:pPr>
    </w:p>
    <w:p w14:paraId="14864152" w14:textId="77777777" w:rsidR="00821FE0" w:rsidRDefault="00821FE0" w:rsidP="000176D7">
      <w:pPr>
        <w:rPr>
          <w:rFonts w:ascii="Century Schoolbook" w:hAnsi="Century Schoolbook" w:cs="Times New Roman"/>
          <w:i/>
          <w:iCs/>
          <w:sz w:val="24"/>
          <w:szCs w:val="24"/>
        </w:rPr>
      </w:pPr>
    </w:p>
    <w:p w14:paraId="346BF8C7" w14:textId="433F523F" w:rsidR="00336748" w:rsidRPr="00821FE0" w:rsidRDefault="00336748" w:rsidP="000176D7">
      <w:pPr>
        <w:rPr>
          <w:rFonts w:ascii="Century Schoolbook" w:hAnsi="Century Schoolbook" w:cs="Times New Roman"/>
          <w:i/>
          <w:iCs/>
          <w:sz w:val="24"/>
          <w:szCs w:val="24"/>
        </w:rPr>
      </w:pPr>
      <w:r w:rsidRPr="00821FE0">
        <w:rPr>
          <w:rFonts w:ascii="Century Schoolbook" w:hAnsi="Century Schoolbook" w:cs="Times New Roman"/>
          <w:i/>
          <w:iCs/>
          <w:sz w:val="24"/>
          <w:szCs w:val="24"/>
        </w:rPr>
        <w:lastRenderedPageBreak/>
        <w:t>Figure</w:t>
      </w:r>
      <w:r w:rsidR="008A58FC" w:rsidRPr="00821FE0">
        <w:rPr>
          <w:rFonts w:ascii="Century Schoolbook" w:hAnsi="Century Schoolbook" w:cs="Times New Roman"/>
          <w:i/>
          <w:iCs/>
          <w:sz w:val="24"/>
          <w:szCs w:val="24"/>
        </w:rPr>
        <w:t>4:</w:t>
      </w:r>
      <w:r w:rsidR="008A58FC">
        <w:rPr>
          <w:rFonts w:ascii="Century Schoolbook" w:hAnsi="Century Schoolbook" w:cs="Times New Roman"/>
          <w:i/>
          <w:iCs/>
          <w:sz w:val="24"/>
          <w:szCs w:val="24"/>
        </w:rPr>
        <w:t xml:space="preserve"> CPI</w:t>
      </w:r>
      <w:r w:rsidRPr="00821FE0">
        <w:rPr>
          <w:rFonts w:ascii="Century Schoolbook" w:hAnsi="Century Schoolbook" w:cs="Times New Roman"/>
          <w:i/>
          <w:iCs/>
          <w:sz w:val="24"/>
          <w:szCs w:val="24"/>
        </w:rPr>
        <w:t xml:space="preserve"> development</w:t>
      </w:r>
      <w:r w:rsidR="00821FE0">
        <w:rPr>
          <w:rFonts w:ascii="Century Schoolbook" w:hAnsi="Century Schoolbook" w:cs="Times New Roman"/>
          <w:i/>
          <w:iCs/>
          <w:sz w:val="24"/>
          <w:szCs w:val="24"/>
        </w:rPr>
        <w:t xml:space="preserve">                                     Figure5: Inflation development</w:t>
      </w:r>
    </w:p>
    <w:p w14:paraId="2F6D3222" w14:textId="450BD464" w:rsidR="00336748" w:rsidRDefault="00336748" w:rsidP="000176D7">
      <w:pPr>
        <w:rPr>
          <w:rFonts w:ascii="Century Schoolbook" w:hAnsi="Century Schoolbook" w:cs="Times New Roman"/>
          <w:sz w:val="24"/>
          <w:szCs w:val="24"/>
        </w:rPr>
      </w:pPr>
      <w:r w:rsidRPr="00C714F2">
        <w:rPr>
          <w:rFonts w:ascii="Century Schoolbook" w:hAnsi="Century Schoolbook"/>
          <w:noProof/>
          <w:sz w:val="24"/>
          <w:szCs w:val="24"/>
        </w:rPr>
        <w:drawing>
          <wp:inline distT="0" distB="0" distL="0" distR="0" wp14:anchorId="70B89786" wp14:editId="31BEE350">
            <wp:extent cx="2949575" cy="3260035"/>
            <wp:effectExtent l="0" t="0" r="3175" b="17145"/>
            <wp:docPr id="910008510" name="Chart 1">
              <a:extLst xmlns:a="http://schemas.openxmlformats.org/drawingml/2006/main">
                <a:ext uri="{FF2B5EF4-FFF2-40B4-BE49-F238E27FC236}">
                  <a16:creationId xmlns:a16="http://schemas.microsoft.com/office/drawing/2014/main" id="{00E40F3D-0D4B-C30F-BC73-41A3B9CF4AF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r w:rsidR="00A763D3">
        <w:rPr>
          <w:rFonts w:ascii="Century Schoolbook" w:hAnsi="Century Schoolbook" w:cs="Times New Roman"/>
          <w:sz w:val="24"/>
          <w:szCs w:val="24"/>
        </w:rPr>
        <w:t xml:space="preserve">  </w:t>
      </w:r>
      <w:r w:rsidR="002B709C">
        <w:rPr>
          <w:noProof/>
        </w:rPr>
        <w:drawing>
          <wp:inline distT="0" distB="0" distL="0" distR="0" wp14:anchorId="71DFCB67" wp14:editId="4B374718">
            <wp:extent cx="2891195" cy="3261360"/>
            <wp:effectExtent l="0" t="0" r="4445" b="15240"/>
            <wp:docPr id="1" name="Chart 1">
              <a:extLst xmlns:a="http://schemas.openxmlformats.org/drawingml/2006/main">
                <a:ext uri="{FF2B5EF4-FFF2-40B4-BE49-F238E27FC236}">
                  <a16:creationId xmlns:a16="http://schemas.microsoft.com/office/drawing/2014/main" id="{12F1ECD6-5F11-9778-B37E-992FCB3FB68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176FE2C0" w14:textId="689D5478" w:rsidR="00C84B63" w:rsidRPr="001E2B7C" w:rsidRDefault="001E2B7C" w:rsidP="000176D7">
      <w:pPr>
        <w:rPr>
          <w:rFonts w:ascii="Century Schoolbook" w:hAnsi="Century Schoolbook" w:cs="Times New Roman"/>
          <w:i/>
          <w:iCs/>
          <w:sz w:val="18"/>
          <w:szCs w:val="18"/>
        </w:rPr>
      </w:pPr>
      <w:r w:rsidRPr="004933BB">
        <w:rPr>
          <w:rFonts w:ascii="Century Schoolbook" w:hAnsi="Century Schoolbook" w:cs="Times New Roman"/>
          <w:i/>
          <w:iCs/>
          <w:sz w:val="18"/>
          <w:szCs w:val="18"/>
        </w:rPr>
        <w:t>Source: Author Computation from NISR</w:t>
      </w:r>
      <w:r>
        <w:rPr>
          <w:rFonts w:ascii="Century Schoolbook" w:hAnsi="Century Schoolbook" w:cs="Times New Roman"/>
          <w:i/>
          <w:iCs/>
          <w:sz w:val="18"/>
          <w:szCs w:val="18"/>
        </w:rPr>
        <w:t xml:space="preserve"> data</w:t>
      </w:r>
    </w:p>
    <w:p w14:paraId="5FC82A5C" w14:textId="77777777" w:rsidR="000564FB" w:rsidRDefault="000564FB" w:rsidP="00F11807">
      <w:pPr>
        <w:rPr>
          <w:rFonts w:ascii="Century Schoolbook" w:hAnsi="Century Schoolbook" w:cs="Times New Roman"/>
          <w:sz w:val="24"/>
          <w:szCs w:val="24"/>
        </w:rPr>
      </w:pPr>
    </w:p>
    <w:p w14:paraId="04FF71A3" w14:textId="77777777" w:rsidR="000564FB" w:rsidRDefault="000564FB" w:rsidP="0052057E">
      <w:pPr>
        <w:rPr>
          <w:rFonts w:ascii="Century Schoolbook" w:hAnsi="Century Schoolbook" w:cs="Times New Roman"/>
          <w:sz w:val="24"/>
          <w:szCs w:val="24"/>
        </w:rPr>
      </w:pPr>
    </w:p>
    <w:sdt>
      <w:sdtPr>
        <w:rPr>
          <w:rFonts w:asciiTheme="minorHAnsi" w:eastAsiaTheme="minorHAnsi" w:hAnsiTheme="minorHAnsi" w:cstheme="minorBidi"/>
          <w:color w:val="auto"/>
          <w:sz w:val="22"/>
          <w:szCs w:val="22"/>
        </w:rPr>
        <w:id w:val="-541753993"/>
        <w:docPartObj>
          <w:docPartGallery w:val="Bibliographies"/>
          <w:docPartUnique/>
        </w:docPartObj>
      </w:sdtPr>
      <w:sdtEndPr/>
      <w:sdtContent>
        <w:p w14:paraId="1FB6DD7B" w14:textId="6103F500" w:rsidR="00577EBF" w:rsidRPr="00577EBF" w:rsidRDefault="00577EBF">
          <w:pPr>
            <w:pStyle w:val="Heading1"/>
            <w:rPr>
              <w:color w:val="auto"/>
              <w:sz w:val="24"/>
              <w:szCs w:val="24"/>
            </w:rPr>
          </w:pPr>
          <w:r w:rsidRPr="00577EBF">
            <w:rPr>
              <w:color w:val="auto"/>
              <w:sz w:val="24"/>
              <w:szCs w:val="24"/>
            </w:rPr>
            <w:t>Bibliography</w:t>
          </w:r>
        </w:p>
        <w:sdt>
          <w:sdtPr>
            <w:rPr>
              <w:sz w:val="24"/>
              <w:szCs w:val="24"/>
            </w:rPr>
            <w:id w:val="111145805"/>
            <w:bibliography/>
          </w:sdtPr>
          <w:sdtEndPr>
            <w:rPr>
              <w:sz w:val="22"/>
              <w:szCs w:val="22"/>
            </w:rPr>
          </w:sdtEndPr>
          <w:sdtContent>
            <w:p w14:paraId="00C755C4" w14:textId="77777777" w:rsidR="003F5522" w:rsidRDefault="00577EBF" w:rsidP="003F5522">
              <w:pPr>
                <w:pStyle w:val="Bibliography"/>
                <w:ind w:left="720" w:hanging="720"/>
                <w:rPr>
                  <w:noProof/>
                  <w:kern w:val="0"/>
                  <w:sz w:val="24"/>
                  <w:szCs w:val="24"/>
                  <w14:ligatures w14:val="none"/>
                </w:rPr>
              </w:pPr>
              <w:r w:rsidRPr="00577EBF">
                <w:rPr>
                  <w:sz w:val="24"/>
                  <w:szCs w:val="24"/>
                </w:rPr>
                <w:fldChar w:fldCharType="begin"/>
              </w:r>
              <w:r w:rsidRPr="00577EBF">
                <w:rPr>
                  <w:sz w:val="24"/>
                  <w:szCs w:val="24"/>
                </w:rPr>
                <w:instrText xml:space="preserve"> BIBLIOGRAPHY </w:instrText>
              </w:r>
              <w:r w:rsidRPr="00577EBF">
                <w:rPr>
                  <w:sz w:val="24"/>
                  <w:szCs w:val="24"/>
                </w:rPr>
                <w:fldChar w:fldCharType="separate"/>
              </w:r>
              <w:r w:rsidR="003F5522">
                <w:rPr>
                  <w:noProof/>
                </w:rPr>
                <w:t xml:space="preserve">Jahan, S. (2013). </w:t>
              </w:r>
              <w:r w:rsidR="003F5522">
                <w:rPr>
                  <w:i/>
                  <w:iCs/>
                  <w:noProof/>
                </w:rPr>
                <w:t>What Is the Output Gap</w:t>
              </w:r>
              <w:r w:rsidR="003F5522">
                <w:rPr>
                  <w:noProof/>
                </w:rPr>
                <w:t>. Retrieved from https://www.imf.org/external/pubs/ft/fandd/2013/09/pdf/basics.pdf.</w:t>
              </w:r>
            </w:p>
            <w:p w14:paraId="455B76D9" w14:textId="554F5F32" w:rsidR="00577EBF" w:rsidRDefault="00577EBF" w:rsidP="003F5522">
              <w:r w:rsidRPr="00577EBF">
                <w:rPr>
                  <w:b/>
                  <w:bCs/>
                  <w:noProof/>
                  <w:sz w:val="24"/>
                  <w:szCs w:val="24"/>
                </w:rPr>
                <w:fldChar w:fldCharType="end"/>
              </w:r>
            </w:p>
          </w:sdtContent>
        </w:sdt>
      </w:sdtContent>
    </w:sdt>
    <w:p w14:paraId="06F7CF42" w14:textId="77777777" w:rsidR="00577EBF" w:rsidRDefault="00577EBF" w:rsidP="0052057E">
      <w:pPr>
        <w:rPr>
          <w:rFonts w:ascii="Century Schoolbook" w:hAnsi="Century Schoolbook" w:cs="Times New Roman"/>
          <w:sz w:val="24"/>
          <w:szCs w:val="24"/>
        </w:rPr>
      </w:pPr>
    </w:p>
    <w:p w14:paraId="7DE99E13" w14:textId="77777777" w:rsidR="0052057E" w:rsidRDefault="0052057E" w:rsidP="0052057E">
      <w:pPr>
        <w:rPr>
          <w:rFonts w:ascii="Century Schoolbook" w:hAnsi="Century Schoolbook" w:cs="Times New Roman"/>
          <w:sz w:val="24"/>
          <w:szCs w:val="24"/>
        </w:rPr>
      </w:pPr>
    </w:p>
    <w:p w14:paraId="03C52D6B" w14:textId="77777777" w:rsidR="0052057E" w:rsidRDefault="0052057E" w:rsidP="0052057E">
      <w:pPr>
        <w:rPr>
          <w:rFonts w:ascii="Century Schoolbook" w:hAnsi="Century Schoolbook" w:cs="Times New Roman"/>
          <w:sz w:val="24"/>
          <w:szCs w:val="24"/>
        </w:rPr>
      </w:pPr>
    </w:p>
    <w:p w14:paraId="550B5707" w14:textId="77777777" w:rsidR="0052057E" w:rsidRDefault="0052057E" w:rsidP="0052057E">
      <w:pPr>
        <w:rPr>
          <w:rFonts w:ascii="Century Schoolbook" w:hAnsi="Century Schoolbook" w:cs="Times New Roman"/>
          <w:sz w:val="24"/>
          <w:szCs w:val="24"/>
        </w:rPr>
      </w:pPr>
    </w:p>
    <w:p w14:paraId="0DC1BA87" w14:textId="77777777" w:rsidR="0052057E" w:rsidRDefault="0052057E" w:rsidP="0052057E">
      <w:pPr>
        <w:rPr>
          <w:rFonts w:ascii="Century Schoolbook" w:hAnsi="Century Schoolbook" w:cs="Times New Roman"/>
          <w:sz w:val="24"/>
          <w:szCs w:val="24"/>
        </w:rPr>
      </w:pPr>
    </w:p>
    <w:sectPr w:rsidR="0052057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FB2011" w14:textId="77777777" w:rsidR="00997968" w:rsidRDefault="00997968" w:rsidP="00580156">
      <w:pPr>
        <w:spacing w:after="0" w:line="240" w:lineRule="auto"/>
      </w:pPr>
      <w:r>
        <w:separator/>
      </w:r>
    </w:p>
  </w:endnote>
  <w:endnote w:type="continuationSeparator" w:id="0">
    <w:p w14:paraId="36B4E0AF" w14:textId="77777777" w:rsidR="00997968" w:rsidRDefault="00997968" w:rsidP="005801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DA4C5D" w14:textId="77777777" w:rsidR="00997968" w:rsidRDefault="00997968" w:rsidP="00580156">
      <w:pPr>
        <w:spacing w:after="0" w:line="240" w:lineRule="auto"/>
      </w:pPr>
      <w:r>
        <w:separator/>
      </w:r>
    </w:p>
  </w:footnote>
  <w:footnote w:type="continuationSeparator" w:id="0">
    <w:p w14:paraId="34ACD50A" w14:textId="77777777" w:rsidR="00997968" w:rsidRDefault="00997968" w:rsidP="005801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0312FA"/>
    <w:multiLevelType w:val="hybridMultilevel"/>
    <w:tmpl w:val="2C623B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2267F8E"/>
    <w:multiLevelType w:val="hybridMultilevel"/>
    <w:tmpl w:val="2ACC2822"/>
    <w:lvl w:ilvl="0" w:tplc="0AACA842">
      <w:start w:val="1"/>
      <w:numFmt w:val="upperRoman"/>
      <w:lvlText w:val="%1."/>
      <w:lvlJc w:val="right"/>
      <w:pPr>
        <w:ind w:left="1008" w:hanging="288"/>
      </w:pPr>
      <w:rPr>
        <w:rFonts w:hint="default"/>
        <w:i w:val="0"/>
        <w:iCs w:val="0"/>
        <w:color w:val="1F3864" w:themeColor="accent1" w:themeShade="80"/>
        <w:sz w:val="22"/>
        <w:szCs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F9B6834"/>
    <w:multiLevelType w:val="hybridMultilevel"/>
    <w:tmpl w:val="F550AC76"/>
    <w:lvl w:ilvl="0" w:tplc="546E55B2">
      <w:start w:val="2"/>
      <w:numFmt w:val="upperRoman"/>
      <w:lvlText w:val="%1."/>
      <w:lvlJc w:val="left"/>
      <w:pPr>
        <w:ind w:left="1728" w:hanging="720"/>
      </w:pPr>
      <w:rPr>
        <w:rFonts w:hint="default"/>
        <w:i w:val="0"/>
      </w:rPr>
    </w:lvl>
    <w:lvl w:ilvl="1" w:tplc="04090019" w:tentative="1">
      <w:start w:val="1"/>
      <w:numFmt w:val="lowerLetter"/>
      <w:lvlText w:val="%2."/>
      <w:lvlJc w:val="left"/>
      <w:pPr>
        <w:ind w:left="2088" w:hanging="360"/>
      </w:pPr>
    </w:lvl>
    <w:lvl w:ilvl="2" w:tplc="0409001B" w:tentative="1">
      <w:start w:val="1"/>
      <w:numFmt w:val="lowerRoman"/>
      <w:lvlText w:val="%3."/>
      <w:lvlJc w:val="right"/>
      <w:pPr>
        <w:ind w:left="2808" w:hanging="180"/>
      </w:pPr>
    </w:lvl>
    <w:lvl w:ilvl="3" w:tplc="0409000F" w:tentative="1">
      <w:start w:val="1"/>
      <w:numFmt w:val="decimal"/>
      <w:lvlText w:val="%4."/>
      <w:lvlJc w:val="left"/>
      <w:pPr>
        <w:ind w:left="3528" w:hanging="360"/>
      </w:pPr>
    </w:lvl>
    <w:lvl w:ilvl="4" w:tplc="04090019" w:tentative="1">
      <w:start w:val="1"/>
      <w:numFmt w:val="lowerLetter"/>
      <w:lvlText w:val="%5."/>
      <w:lvlJc w:val="left"/>
      <w:pPr>
        <w:ind w:left="4248" w:hanging="360"/>
      </w:pPr>
    </w:lvl>
    <w:lvl w:ilvl="5" w:tplc="0409001B" w:tentative="1">
      <w:start w:val="1"/>
      <w:numFmt w:val="lowerRoman"/>
      <w:lvlText w:val="%6."/>
      <w:lvlJc w:val="right"/>
      <w:pPr>
        <w:ind w:left="4968" w:hanging="180"/>
      </w:pPr>
    </w:lvl>
    <w:lvl w:ilvl="6" w:tplc="0409000F" w:tentative="1">
      <w:start w:val="1"/>
      <w:numFmt w:val="decimal"/>
      <w:lvlText w:val="%7."/>
      <w:lvlJc w:val="left"/>
      <w:pPr>
        <w:ind w:left="5688" w:hanging="360"/>
      </w:pPr>
    </w:lvl>
    <w:lvl w:ilvl="7" w:tplc="04090019" w:tentative="1">
      <w:start w:val="1"/>
      <w:numFmt w:val="lowerLetter"/>
      <w:lvlText w:val="%8."/>
      <w:lvlJc w:val="left"/>
      <w:pPr>
        <w:ind w:left="6408" w:hanging="360"/>
      </w:pPr>
    </w:lvl>
    <w:lvl w:ilvl="8" w:tplc="0409001B" w:tentative="1">
      <w:start w:val="1"/>
      <w:numFmt w:val="lowerRoman"/>
      <w:lvlText w:val="%9."/>
      <w:lvlJc w:val="right"/>
      <w:pPr>
        <w:ind w:left="7128"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63F0"/>
    <w:rsid w:val="000176D7"/>
    <w:rsid w:val="000315D6"/>
    <w:rsid w:val="0003374E"/>
    <w:rsid w:val="000564FB"/>
    <w:rsid w:val="000D0276"/>
    <w:rsid w:val="000D7F52"/>
    <w:rsid w:val="001240F4"/>
    <w:rsid w:val="0017208E"/>
    <w:rsid w:val="001959B9"/>
    <w:rsid w:val="001B3AE2"/>
    <w:rsid w:val="001B649A"/>
    <w:rsid w:val="001B7DCB"/>
    <w:rsid w:val="001C285A"/>
    <w:rsid w:val="001C35B6"/>
    <w:rsid w:val="001D31F3"/>
    <w:rsid w:val="001D3609"/>
    <w:rsid w:val="001E2B7C"/>
    <w:rsid w:val="001E4000"/>
    <w:rsid w:val="001F4307"/>
    <w:rsid w:val="00207890"/>
    <w:rsid w:val="00262D1A"/>
    <w:rsid w:val="00266D42"/>
    <w:rsid w:val="0029005C"/>
    <w:rsid w:val="002B709C"/>
    <w:rsid w:val="002D1072"/>
    <w:rsid w:val="002D4039"/>
    <w:rsid w:val="002D5673"/>
    <w:rsid w:val="003048A1"/>
    <w:rsid w:val="00320825"/>
    <w:rsid w:val="00320BD0"/>
    <w:rsid w:val="00336520"/>
    <w:rsid w:val="00336748"/>
    <w:rsid w:val="00377BAE"/>
    <w:rsid w:val="00386A87"/>
    <w:rsid w:val="0039491C"/>
    <w:rsid w:val="00397E8D"/>
    <w:rsid w:val="003A274C"/>
    <w:rsid w:val="003A4CFE"/>
    <w:rsid w:val="003F5522"/>
    <w:rsid w:val="003F5D08"/>
    <w:rsid w:val="00455B7F"/>
    <w:rsid w:val="00464F41"/>
    <w:rsid w:val="00472001"/>
    <w:rsid w:val="00484DE0"/>
    <w:rsid w:val="00492B96"/>
    <w:rsid w:val="004933BB"/>
    <w:rsid w:val="004A0C80"/>
    <w:rsid w:val="004B32E9"/>
    <w:rsid w:val="004E45C6"/>
    <w:rsid w:val="004E59C5"/>
    <w:rsid w:val="0052057E"/>
    <w:rsid w:val="005441B1"/>
    <w:rsid w:val="00577EBF"/>
    <w:rsid w:val="00580156"/>
    <w:rsid w:val="0058669F"/>
    <w:rsid w:val="005E1308"/>
    <w:rsid w:val="00634316"/>
    <w:rsid w:val="00693EB6"/>
    <w:rsid w:val="0069446D"/>
    <w:rsid w:val="006A206D"/>
    <w:rsid w:val="006A4CB8"/>
    <w:rsid w:val="006B0C51"/>
    <w:rsid w:val="006C4926"/>
    <w:rsid w:val="006F5DFE"/>
    <w:rsid w:val="00723B0B"/>
    <w:rsid w:val="007255AB"/>
    <w:rsid w:val="007655D6"/>
    <w:rsid w:val="007866DC"/>
    <w:rsid w:val="007904A5"/>
    <w:rsid w:val="0079556E"/>
    <w:rsid w:val="007F2F45"/>
    <w:rsid w:val="007F7F8D"/>
    <w:rsid w:val="00821FE0"/>
    <w:rsid w:val="008740CC"/>
    <w:rsid w:val="008A3A2E"/>
    <w:rsid w:val="008A58FC"/>
    <w:rsid w:val="008B1102"/>
    <w:rsid w:val="008B5CD6"/>
    <w:rsid w:val="008C485C"/>
    <w:rsid w:val="00922253"/>
    <w:rsid w:val="00942931"/>
    <w:rsid w:val="009525E4"/>
    <w:rsid w:val="00955849"/>
    <w:rsid w:val="00983BD4"/>
    <w:rsid w:val="00992696"/>
    <w:rsid w:val="00997968"/>
    <w:rsid w:val="009B4C37"/>
    <w:rsid w:val="009D1E54"/>
    <w:rsid w:val="009F51C4"/>
    <w:rsid w:val="00A136D0"/>
    <w:rsid w:val="00A14DCB"/>
    <w:rsid w:val="00A16D41"/>
    <w:rsid w:val="00A763D3"/>
    <w:rsid w:val="00A90FBE"/>
    <w:rsid w:val="00AB07F5"/>
    <w:rsid w:val="00AC3458"/>
    <w:rsid w:val="00AE5D37"/>
    <w:rsid w:val="00AF2D59"/>
    <w:rsid w:val="00B07C38"/>
    <w:rsid w:val="00B24CB9"/>
    <w:rsid w:val="00B37B34"/>
    <w:rsid w:val="00B6281F"/>
    <w:rsid w:val="00B6434B"/>
    <w:rsid w:val="00B676DF"/>
    <w:rsid w:val="00B905CE"/>
    <w:rsid w:val="00BA35B0"/>
    <w:rsid w:val="00BC4D2C"/>
    <w:rsid w:val="00BC7A7D"/>
    <w:rsid w:val="00C163F0"/>
    <w:rsid w:val="00C51A5C"/>
    <w:rsid w:val="00C714F2"/>
    <w:rsid w:val="00C84B63"/>
    <w:rsid w:val="00C9220C"/>
    <w:rsid w:val="00C93609"/>
    <w:rsid w:val="00CA7E06"/>
    <w:rsid w:val="00CC3587"/>
    <w:rsid w:val="00CC4A9D"/>
    <w:rsid w:val="00D601C8"/>
    <w:rsid w:val="00D72989"/>
    <w:rsid w:val="00DC6A13"/>
    <w:rsid w:val="00DF41B2"/>
    <w:rsid w:val="00E0489D"/>
    <w:rsid w:val="00E13B37"/>
    <w:rsid w:val="00E14EA0"/>
    <w:rsid w:val="00E17EF3"/>
    <w:rsid w:val="00E71D0E"/>
    <w:rsid w:val="00EB3357"/>
    <w:rsid w:val="00F02CA8"/>
    <w:rsid w:val="00F067E9"/>
    <w:rsid w:val="00F11807"/>
    <w:rsid w:val="00F17884"/>
    <w:rsid w:val="00F71066"/>
    <w:rsid w:val="00F95187"/>
    <w:rsid w:val="00FB12BC"/>
    <w:rsid w:val="00FB38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D8FFF"/>
  <w15:chartTrackingRefBased/>
  <w15:docId w15:val="{2B77D1AE-1674-42D9-BC2F-6D34046C9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63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nhideWhenUsed/>
    <w:qFormat/>
    <w:rsid w:val="00C163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63F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63F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63F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63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63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63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63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63F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rsid w:val="00C163F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63F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63F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63F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63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63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63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63F0"/>
    <w:rPr>
      <w:rFonts w:eastAsiaTheme="majorEastAsia" w:cstheme="majorBidi"/>
      <w:color w:val="272727" w:themeColor="text1" w:themeTint="D8"/>
    </w:rPr>
  </w:style>
  <w:style w:type="paragraph" w:styleId="Title">
    <w:name w:val="Title"/>
    <w:basedOn w:val="Normal"/>
    <w:next w:val="Normal"/>
    <w:link w:val="TitleChar"/>
    <w:uiPriority w:val="10"/>
    <w:qFormat/>
    <w:rsid w:val="00C163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63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63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63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63F0"/>
    <w:pPr>
      <w:spacing w:before="160"/>
      <w:jc w:val="center"/>
    </w:pPr>
    <w:rPr>
      <w:i/>
      <w:iCs/>
      <w:color w:val="404040" w:themeColor="text1" w:themeTint="BF"/>
    </w:rPr>
  </w:style>
  <w:style w:type="character" w:customStyle="1" w:styleId="QuoteChar">
    <w:name w:val="Quote Char"/>
    <w:basedOn w:val="DefaultParagraphFont"/>
    <w:link w:val="Quote"/>
    <w:uiPriority w:val="29"/>
    <w:rsid w:val="00C163F0"/>
    <w:rPr>
      <w:i/>
      <w:iCs/>
      <w:color w:val="404040" w:themeColor="text1" w:themeTint="BF"/>
    </w:rPr>
  </w:style>
  <w:style w:type="paragraph" w:styleId="ListParagraph">
    <w:name w:val="List Paragraph"/>
    <w:aliases w:val="List Paragraph1,List Paragraph (numbered (a)),Dot pt,F5 List Paragraph,No Spacing1,List Paragraph Char Char Char,Indicator Text,Numbered Para 1,Bullet 1,List Paragraph12,Bullet Points,MAIN CONTENT,Colorful List - Accent 11,WB Para,L,bl"/>
    <w:basedOn w:val="Normal"/>
    <w:link w:val="ListParagraphChar"/>
    <w:uiPriority w:val="34"/>
    <w:qFormat/>
    <w:rsid w:val="00C163F0"/>
    <w:pPr>
      <w:ind w:left="720"/>
      <w:contextualSpacing/>
    </w:pPr>
  </w:style>
  <w:style w:type="character" w:styleId="IntenseEmphasis">
    <w:name w:val="Intense Emphasis"/>
    <w:basedOn w:val="DefaultParagraphFont"/>
    <w:uiPriority w:val="21"/>
    <w:qFormat/>
    <w:rsid w:val="00C163F0"/>
    <w:rPr>
      <w:i/>
      <w:iCs/>
      <w:color w:val="2F5496" w:themeColor="accent1" w:themeShade="BF"/>
    </w:rPr>
  </w:style>
  <w:style w:type="paragraph" w:styleId="IntenseQuote">
    <w:name w:val="Intense Quote"/>
    <w:basedOn w:val="Normal"/>
    <w:next w:val="Normal"/>
    <w:link w:val="IntenseQuoteChar"/>
    <w:uiPriority w:val="30"/>
    <w:qFormat/>
    <w:rsid w:val="00C163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63F0"/>
    <w:rPr>
      <w:i/>
      <w:iCs/>
      <w:color w:val="2F5496" w:themeColor="accent1" w:themeShade="BF"/>
    </w:rPr>
  </w:style>
  <w:style w:type="character" w:styleId="IntenseReference">
    <w:name w:val="Intense Reference"/>
    <w:basedOn w:val="DefaultParagraphFont"/>
    <w:uiPriority w:val="32"/>
    <w:qFormat/>
    <w:rsid w:val="00C163F0"/>
    <w:rPr>
      <w:b/>
      <w:bCs/>
      <w:smallCaps/>
      <w:color w:val="2F5496" w:themeColor="accent1" w:themeShade="BF"/>
      <w:spacing w:val="5"/>
    </w:rPr>
  </w:style>
  <w:style w:type="character" w:customStyle="1" w:styleId="ListParagraphChar">
    <w:name w:val="List Paragraph Char"/>
    <w:aliases w:val="List Paragraph1 Char,List Paragraph (numbered (a)) Char,Dot pt Char,F5 List Paragraph Char,No Spacing1 Char,List Paragraph Char Char Char Char,Indicator Text Char,Numbered Para 1 Char,Bullet 1 Char,List Paragraph12 Char,WB Para Char"/>
    <w:link w:val="ListParagraph"/>
    <w:uiPriority w:val="34"/>
    <w:qFormat/>
    <w:rsid w:val="002D4039"/>
  </w:style>
  <w:style w:type="paragraph" w:styleId="FootnoteText">
    <w:name w:val="footnote text"/>
    <w:basedOn w:val="Normal"/>
    <w:link w:val="FootnoteTextChar"/>
    <w:uiPriority w:val="99"/>
    <w:semiHidden/>
    <w:unhideWhenUsed/>
    <w:rsid w:val="0058015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80156"/>
    <w:rPr>
      <w:sz w:val="20"/>
      <w:szCs w:val="20"/>
    </w:rPr>
  </w:style>
  <w:style w:type="character" w:styleId="FootnoteReference">
    <w:name w:val="footnote reference"/>
    <w:basedOn w:val="DefaultParagraphFont"/>
    <w:uiPriority w:val="99"/>
    <w:semiHidden/>
    <w:unhideWhenUsed/>
    <w:rsid w:val="00580156"/>
    <w:rPr>
      <w:vertAlign w:val="superscript"/>
    </w:rPr>
  </w:style>
  <w:style w:type="paragraph" w:styleId="Bibliography">
    <w:name w:val="Bibliography"/>
    <w:basedOn w:val="Normal"/>
    <w:next w:val="Normal"/>
    <w:uiPriority w:val="37"/>
    <w:unhideWhenUsed/>
    <w:rsid w:val="00577E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487601">
      <w:bodyDiv w:val="1"/>
      <w:marLeft w:val="0"/>
      <w:marRight w:val="0"/>
      <w:marTop w:val="0"/>
      <w:marBottom w:val="0"/>
      <w:divBdr>
        <w:top w:val="none" w:sz="0" w:space="0" w:color="auto"/>
        <w:left w:val="none" w:sz="0" w:space="0" w:color="auto"/>
        <w:bottom w:val="none" w:sz="0" w:space="0" w:color="auto"/>
        <w:right w:val="none" w:sz="0" w:space="0" w:color="auto"/>
      </w:divBdr>
    </w:div>
    <w:div w:id="96408036">
      <w:bodyDiv w:val="1"/>
      <w:marLeft w:val="0"/>
      <w:marRight w:val="0"/>
      <w:marTop w:val="0"/>
      <w:marBottom w:val="0"/>
      <w:divBdr>
        <w:top w:val="none" w:sz="0" w:space="0" w:color="auto"/>
        <w:left w:val="none" w:sz="0" w:space="0" w:color="auto"/>
        <w:bottom w:val="none" w:sz="0" w:space="0" w:color="auto"/>
        <w:right w:val="none" w:sz="0" w:space="0" w:color="auto"/>
      </w:divBdr>
    </w:div>
    <w:div w:id="123233939">
      <w:bodyDiv w:val="1"/>
      <w:marLeft w:val="0"/>
      <w:marRight w:val="0"/>
      <w:marTop w:val="0"/>
      <w:marBottom w:val="0"/>
      <w:divBdr>
        <w:top w:val="none" w:sz="0" w:space="0" w:color="auto"/>
        <w:left w:val="none" w:sz="0" w:space="0" w:color="auto"/>
        <w:bottom w:val="none" w:sz="0" w:space="0" w:color="auto"/>
        <w:right w:val="none" w:sz="0" w:space="0" w:color="auto"/>
      </w:divBdr>
    </w:div>
    <w:div w:id="174854665">
      <w:bodyDiv w:val="1"/>
      <w:marLeft w:val="0"/>
      <w:marRight w:val="0"/>
      <w:marTop w:val="0"/>
      <w:marBottom w:val="0"/>
      <w:divBdr>
        <w:top w:val="none" w:sz="0" w:space="0" w:color="auto"/>
        <w:left w:val="none" w:sz="0" w:space="0" w:color="auto"/>
        <w:bottom w:val="none" w:sz="0" w:space="0" w:color="auto"/>
        <w:right w:val="none" w:sz="0" w:space="0" w:color="auto"/>
      </w:divBdr>
    </w:div>
    <w:div w:id="416633667">
      <w:bodyDiv w:val="1"/>
      <w:marLeft w:val="0"/>
      <w:marRight w:val="0"/>
      <w:marTop w:val="0"/>
      <w:marBottom w:val="0"/>
      <w:divBdr>
        <w:top w:val="none" w:sz="0" w:space="0" w:color="auto"/>
        <w:left w:val="none" w:sz="0" w:space="0" w:color="auto"/>
        <w:bottom w:val="none" w:sz="0" w:space="0" w:color="auto"/>
        <w:right w:val="none" w:sz="0" w:space="0" w:color="auto"/>
      </w:divBdr>
    </w:div>
    <w:div w:id="462385701">
      <w:bodyDiv w:val="1"/>
      <w:marLeft w:val="0"/>
      <w:marRight w:val="0"/>
      <w:marTop w:val="0"/>
      <w:marBottom w:val="0"/>
      <w:divBdr>
        <w:top w:val="none" w:sz="0" w:space="0" w:color="auto"/>
        <w:left w:val="none" w:sz="0" w:space="0" w:color="auto"/>
        <w:bottom w:val="none" w:sz="0" w:space="0" w:color="auto"/>
        <w:right w:val="none" w:sz="0" w:space="0" w:color="auto"/>
      </w:divBdr>
    </w:div>
    <w:div w:id="588008032">
      <w:bodyDiv w:val="1"/>
      <w:marLeft w:val="0"/>
      <w:marRight w:val="0"/>
      <w:marTop w:val="0"/>
      <w:marBottom w:val="0"/>
      <w:divBdr>
        <w:top w:val="none" w:sz="0" w:space="0" w:color="auto"/>
        <w:left w:val="none" w:sz="0" w:space="0" w:color="auto"/>
        <w:bottom w:val="none" w:sz="0" w:space="0" w:color="auto"/>
        <w:right w:val="none" w:sz="0" w:space="0" w:color="auto"/>
      </w:divBdr>
    </w:div>
    <w:div w:id="596525009">
      <w:bodyDiv w:val="1"/>
      <w:marLeft w:val="0"/>
      <w:marRight w:val="0"/>
      <w:marTop w:val="0"/>
      <w:marBottom w:val="0"/>
      <w:divBdr>
        <w:top w:val="none" w:sz="0" w:space="0" w:color="auto"/>
        <w:left w:val="none" w:sz="0" w:space="0" w:color="auto"/>
        <w:bottom w:val="none" w:sz="0" w:space="0" w:color="auto"/>
        <w:right w:val="none" w:sz="0" w:space="0" w:color="auto"/>
      </w:divBdr>
    </w:div>
    <w:div w:id="608314265">
      <w:bodyDiv w:val="1"/>
      <w:marLeft w:val="0"/>
      <w:marRight w:val="0"/>
      <w:marTop w:val="0"/>
      <w:marBottom w:val="0"/>
      <w:divBdr>
        <w:top w:val="none" w:sz="0" w:space="0" w:color="auto"/>
        <w:left w:val="none" w:sz="0" w:space="0" w:color="auto"/>
        <w:bottom w:val="none" w:sz="0" w:space="0" w:color="auto"/>
        <w:right w:val="none" w:sz="0" w:space="0" w:color="auto"/>
      </w:divBdr>
    </w:div>
    <w:div w:id="617373265">
      <w:bodyDiv w:val="1"/>
      <w:marLeft w:val="0"/>
      <w:marRight w:val="0"/>
      <w:marTop w:val="0"/>
      <w:marBottom w:val="0"/>
      <w:divBdr>
        <w:top w:val="none" w:sz="0" w:space="0" w:color="auto"/>
        <w:left w:val="none" w:sz="0" w:space="0" w:color="auto"/>
        <w:bottom w:val="none" w:sz="0" w:space="0" w:color="auto"/>
        <w:right w:val="none" w:sz="0" w:space="0" w:color="auto"/>
      </w:divBdr>
    </w:div>
    <w:div w:id="893082347">
      <w:bodyDiv w:val="1"/>
      <w:marLeft w:val="0"/>
      <w:marRight w:val="0"/>
      <w:marTop w:val="0"/>
      <w:marBottom w:val="0"/>
      <w:divBdr>
        <w:top w:val="none" w:sz="0" w:space="0" w:color="auto"/>
        <w:left w:val="none" w:sz="0" w:space="0" w:color="auto"/>
        <w:bottom w:val="none" w:sz="0" w:space="0" w:color="auto"/>
        <w:right w:val="none" w:sz="0" w:space="0" w:color="auto"/>
      </w:divBdr>
    </w:div>
    <w:div w:id="978462375">
      <w:bodyDiv w:val="1"/>
      <w:marLeft w:val="0"/>
      <w:marRight w:val="0"/>
      <w:marTop w:val="0"/>
      <w:marBottom w:val="0"/>
      <w:divBdr>
        <w:top w:val="none" w:sz="0" w:space="0" w:color="auto"/>
        <w:left w:val="none" w:sz="0" w:space="0" w:color="auto"/>
        <w:bottom w:val="none" w:sz="0" w:space="0" w:color="auto"/>
        <w:right w:val="none" w:sz="0" w:space="0" w:color="auto"/>
      </w:divBdr>
    </w:div>
    <w:div w:id="1058745327">
      <w:bodyDiv w:val="1"/>
      <w:marLeft w:val="0"/>
      <w:marRight w:val="0"/>
      <w:marTop w:val="0"/>
      <w:marBottom w:val="0"/>
      <w:divBdr>
        <w:top w:val="none" w:sz="0" w:space="0" w:color="auto"/>
        <w:left w:val="none" w:sz="0" w:space="0" w:color="auto"/>
        <w:bottom w:val="none" w:sz="0" w:space="0" w:color="auto"/>
        <w:right w:val="none" w:sz="0" w:space="0" w:color="auto"/>
      </w:divBdr>
    </w:div>
    <w:div w:id="1170872663">
      <w:bodyDiv w:val="1"/>
      <w:marLeft w:val="0"/>
      <w:marRight w:val="0"/>
      <w:marTop w:val="0"/>
      <w:marBottom w:val="0"/>
      <w:divBdr>
        <w:top w:val="none" w:sz="0" w:space="0" w:color="auto"/>
        <w:left w:val="none" w:sz="0" w:space="0" w:color="auto"/>
        <w:bottom w:val="none" w:sz="0" w:space="0" w:color="auto"/>
        <w:right w:val="none" w:sz="0" w:space="0" w:color="auto"/>
      </w:divBdr>
    </w:div>
    <w:div w:id="1306396008">
      <w:bodyDiv w:val="1"/>
      <w:marLeft w:val="0"/>
      <w:marRight w:val="0"/>
      <w:marTop w:val="0"/>
      <w:marBottom w:val="0"/>
      <w:divBdr>
        <w:top w:val="none" w:sz="0" w:space="0" w:color="auto"/>
        <w:left w:val="none" w:sz="0" w:space="0" w:color="auto"/>
        <w:bottom w:val="none" w:sz="0" w:space="0" w:color="auto"/>
        <w:right w:val="none" w:sz="0" w:space="0" w:color="auto"/>
      </w:divBdr>
    </w:div>
    <w:div w:id="1483228134">
      <w:bodyDiv w:val="1"/>
      <w:marLeft w:val="0"/>
      <w:marRight w:val="0"/>
      <w:marTop w:val="0"/>
      <w:marBottom w:val="0"/>
      <w:divBdr>
        <w:top w:val="none" w:sz="0" w:space="0" w:color="auto"/>
        <w:left w:val="none" w:sz="0" w:space="0" w:color="auto"/>
        <w:bottom w:val="none" w:sz="0" w:space="0" w:color="auto"/>
        <w:right w:val="none" w:sz="0" w:space="0" w:color="auto"/>
      </w:divBdr>
    </w:div>
    <w:div w:id="1525512186">
      <w:bodyDiv w:val="1"/>
      <w:marLeft w:val="0"/>
      <w:marRight w:val="0"/>
      <w:marTop w:val="0"/>
      <w:marBottom w:val="0"/>
      <w:divBdr>
        <w:top w:val="none" w:sz="0" w:space="0" w:color="auto"/>
        <w:left w:val="none" w:sz="0" w:space="0" w:color="auto"/>
        <w:bottom w:val="none" w:sz="0" w:space="0" w:color="auto"/>
        <w:right w:val="none" w:sz="0" w:space="0" w:color="auto"/>
      </w:divBdr>
    </w:div>
    <w:div w:id="1917663312">
      <w:bodyDiv w:val="1"/>
      <w:marLeft w:val="0"/>
      <w:marRight w:val="0"/>
      <w:marTop w:val="0"/>
      <w:marBottom w:val="0"/>
      <w:divBdr>
        <w:top w:val="none" w:sz="0" w:space="0" w:color="auto"/>
        <w:left w:val="none" w:sz="0" w:space="0" w:color="auto"/>
        <w:bottom w:val="none" w:sz="0" w:space="0" w:color="auto"/>
        <w:right w:val="none" w:sz="0" w:space="0" w:color="auto"/>
      </w:divBdr>
    </w:div>
    <w:div w:id="20598215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hart" Target="charts/chart5.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4.xml"/><Relationship Id="rId5" Type="http://schemas.openxmlformats.org/officeDocument/2006/relationships/webSettings" Target="webSettings.xml"/><Relationship Id="rId10" Type="http://schemas.openxmlformats.org/officeDocument/2006/relationships/chart" Target="charts/chart3.xml"/><Relationship Id="rId4" Type="http://schemas.openxmlformats.org/officeDocument/2006/relationships/settings" Target="settings.xml"/><Relationship Id="rId9" Type="http://schemas.openxmlformats.org/officeDocument/2006/relationships/chart" Target="charts/chart2.xml"/><Relationship Id="rId14"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4.xml"/><Relationship Id="rId1" Type="http://schemas.microsoft.com/office/2011/relationships/chartStyle" Target="style4.xml"/><Relationship Id="rId4" Type="http://schemas.openxmlformats.org/officeDocument/2006/relationships/package" Target="../embeddings/Microsoft_Excel_Worksheet3.xlsx"/></Relationships>
</file>

<file path=word/charts/_rels/chart5.xml.rels><?xml version="1.0" encoding="UTF-8" standalone="yes"?>
<Relationships xmlns="http://schemas.openxmlformats.org/package/2006/relationships"><Relationship Id="rId3" Type="http://schemas.openxmlformats.org/officeDocument/2006/relationships/package" Target="../embeddings/Microsoft_Excel_Worksheet4.xlsx"/><Relationship Id="rId2" Type="http://schemas.microsoft.com/office/2011/relationships/chartColorStyle" Target="colors5.xml"/><Relationship Id="rId1" Type="http://schemas.microsoft.com/office/2011/relationships/chartStyle" Target="style5.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20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lineChart>
        <c:grouping val="standard"/>
        <c:varyColors val="0"/>
        <c:ser>
          <c:idx val="0"/>
          <c:order val="0"/>
          <c:tx>
            <c:strRef>
              <c:f>'Foreign Indicators'!$B$5</c:f>
              <c:strCache>
                <c:ptCount val="1"/>
                <c:pt idx="0">
                  <c:v>Foreign Real GDP Growth</c:v>
                </c:pt>
              </c:strCache>
            </c:strRef>
          </c:tx>
          <c:spPr>
            <a:ln w="28575" cap="rnd">
              <a:solidFill>
                <a:srgbClr val="002060"/>
              </a:solidFill>
              <a:round/>
            </a:ln>
            <a:effectLst/>
          </c:spPr>
          <c:marker>
            <c:symbol val="none"/>
          </c:marker>
          <c:cat>
            <c:strRef>
              <c:f>'Foreign Indicators'!$D$4:$AH$4</c:f>
              <c:strCache>
                <c:ptCount val="31"/>
                <c:pt idx="0">
                  <c:v>2017Q2</c:v>
                </c:pt>
                <c:pt idx="1">
                  <c:v>2017Q3</c:v>
                </c:pt>
                <c:pt idx="2">
                  <c:v>2017Q4</c:v>
                </c:pt>
                <c:pt idx="3">
                  <c:v>2018Q1</c:v>
                </c:pt>
                <c:pt idx="4">
                  <c:v>2018Q2</c:v>
                </c:pt>
                <c:pt idx="5">
                  <c:v>2018Q3</c:v>
                </c:pt>
                <c:pt idx="6">
                  <c:v>2018Q4</c:v>
                </c:pt>
                <c:pt idx="7">
                  <c:v>2019Q1</c:v>
                </c:pt>
                <c:pt idx="8">
                  <c:v>2019Q2</c:v>
                </c:pt>
                <c:pt idx="9">
                  <c:v>2019Q3</c:v>
                </c:pt>
                <c:pt idx="10">
                  <c:v>2019Q4</c:v>
                </c:pt>
                <c:pt idx="11">
                  <c:v>2020Q1</c:v>
                </c:pt>
                <c:pt idx="12">
                  <c:v>2020Q2</c:v>
                </c:pt>
                <c:pt idx="13">
                  <c:v>2020Q3</c:v>
                </c:pt>
                <c:pt idx="14">
                  <c:v>2020Q4</c:v>
                </c:pt>
                <c:pt idx="15">
                  <c:v>2021Q1</c:v>
                </c:pt>
                <c:pt idx="16">
                  <c:v>2021Q2</c:v>
                </c:pt>
                <c:pt idx="17">
                  <c:v>2021Q3</c:v>
                </c:pt>
                <c:pt idx="18">
                  <c:v>2021Q4</c:v>
                </c:pt>
                <c:pt idx="19">
                  <c:v>2022Q1</c:v>
                </c:pt>
                <c:pt idx="20">
                  <c:v>2022Q2</c:v>
                </c:pt>
                <c:pt idx="21">
                  <c:v>2022Q3</c:v>
                </c:pt>
                <c:pt idx="22">
                  <c:v>2022Q4</c:v>
                </c:pt>
                <c:pt idx="23">
                  <c:v>2023Q1</c:v>
                </c:pt>
                <c:pt idx="24">
                  <c:v>2023Q2</c:v>
                </c:pt>
                <c:pt idx="25">
                  <c:v>2023Q3</c:v>
                </c:pt>
                <c:pt idx="26">
                  <c:v>2023Q4</c:v>
                </c:pt>
                <c:pt idx="27">
                  <c:v>2024Q1</c:v>
                </c:pt>
                <c:pt idx="28">
                  <c:v>2024Q2</c:v>
                </c:pt>
                <c:pt idx="29">
                  <c:v>2024Q3</c:v>
                </c:pt>
                <c:pt idx="30">
                  <c:v>2024Q4</c:v>
                </c:pt>
              </c:strCache>
            </c:strRef>
          </c:cat>
          <c:val>
            <c:numRef>
              <c:f>'Foreign Indicators'!$D$5:$AH$5</c:f>
              <c:numCache>
                <c:formatCode>0.0%</c:formatCode>
                <c:ptCount val="31"/>
                <c:pt idx="0">
                  <c:v>2.7195147283300837E-2</c:v>
                </c:pt>
                <c:pt idx="1">
                  <c:v>2.861298004181758E-2</c:v>
                </c:pt>
                <c:pt idx="2">
                  <c:v>3.0032769828399287E-2</c:v>
                </c:pt>
                <c:pt idx="3">
                  <c:v>3.4890199781705156E-2</c:v>
                </c:pt>
                <c:pt idx="4">
                  <c:v>3.403282964572249E-2</c:v>
                </c:pt>
                <c:pt idx="5">
                  <c:v>3.3176169810746142E-2</c:v>
                </c:pt>
                <c:pt idx="6">
                  <c:v>3.2320219688316068E-2</c:v>
                </c:pt>
                <c:pt idx="7">
                  <c:v>4.881331181204749E-2</c:v>
                </c:pt>
                <c:pt idx="8">
                  <c:v>3.6382172384986596E-2</c:v>
                </c:pt>
                <c:pt idx="9">
                  <c:v>2.4098373982028617E-2</c:v>
                </c:pt>
                <c:pt idx="10">
                  <c:v>1.1960170232495878E-2</c:v>
                </c:pt>
                <c:pt idx="11">
                  <c:v>-4.3724710643719751E-2</c:v>
                </c:pt>
                <c:pt idx="12">
                  <c:v>-2.6455378640311132E-2</c:v>
                </c:pt>
                <c:pt idx="13">
                  <c:v>-8.8741805548620475E-3</c:v>
                </c:pt>
                <c:pt idx="14">
                  <c:v>9.0245155880347219E-3</c:v>
                </c:pt>
                <c:pt idx="15">
                  <c:v>5.2650777588698808E-2</c:v>
                </c:pt>
                <c:pt idx="16">
                  <c:v>5.4315640264562391E-2</c:v>
                </c:pt>
                <c:pt idx="17">
                  <c:v>5.5983136071744349E-2</c:v>
                </c:pt>
                <c:pt idx="18">
                  <c:v>5.7653269174779788E-2</c:v>
                </c:pt>
                <c:pt idx="19">
                  <c:v>6.9327492466056864E-2</c:v>
                </c:pt>
                <c:pt idx="20">
                  <c:v>6.4420163779318459E-2</c:v>
                </c:pt>
                <c:pt idx="21">
                  <c:v>5.9535355672111635E-2</c:v>
                </c:pt>
                <c:pt idx="22">
                  <c:v>5.4672964793605082E-2</c:v>
                </c:pt>
                <c:pt idx="23">
                  <c:v>4.0718403304020025E-2</c:v>
                </c:pt>
                <c:pt idx="24">
                  <c:v>4.1858812356417925E-2</c:v>
                </c:pt>
                <c:pt idx="25">
                  <c:v>4.3000471057907413E-2</c:v>
                </c:pt>
                <c:pt idx="26">
                  <c:v>4.4143380777841246E-2</c:v>
                </c:pt>
                <c:pt idx="27">
                  <c:v>4.5808778368921638E-2</c:v>
                </c:pt>
                <c:pt idx="28">
                  <c:v>4.6590532322949588E-2</c:v>
                </c:pt>
                <c:pt idx="29">
                  <c:v>4.7372870646947375E-2</c:v>
                </c:pt>
                <c:pt idx="30">
                  <c:v>4.8155793777738619E-2</c:v>
                </c:pt>
              </c:numCache>
            </c:numRef>
          </c:val>
          <c:smooth val="1"/>
          <c:extLst>
            <c:ext xmlns:c16="http://schemas.microsoft.com/office/drawing/2014/chart" uri="{C3380CC4-5D6E-409C-BE32-E72D297353CC}">
              <c16:uniqueId val="{00000000-0981-4219-B016-75884CC60DEE}"/>
            </c:ext>
          </c:extLst>
        </c:ser>
        <c:dLbls>
          <c:showLegendKey val="0"/>
          <c:showVal val="0"/>
          <c:showCatName val="0"/>
          <c:showSerName val="0"/>
          <c:showPercent val="0"/>
          <c:showBubbleSize val="0"/>
        </c:dLbls>
        <c:smooth val="0"/>
        <c:axId val="1259820431"/>
        <c:axId val="1259841071"/>
      </c:lineChart>
      <c:catAx>
        <c:axId val="1259820431"/>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en-US"/>
          </a:p>
        </c:txPr>
        <c:crossAx val="1259841071"/>
        <c:crosses val="autoZero"/>
        <c:auto val="1"/>
        <c:lblAlgn val="ctr"/>
        <c:lblOffset val="100"/>
        <c:noMultiLvlLbl val="0"/>
      </c:catAx>
      <c:valAx>
        <c:axId val="1259841071"/>
        <c:scaling>
          <c:orientation val="minMax"/>
        </c:scaling>
        <c:delete val="0"/>
        <c:axPos val="l"/>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en-US"/>
          </a:p>
        </c:txPr>
        <c:crossAx val="1259820431"/>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20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manualLayout>
          <c:layoutTarget val="inner"/>
          <c:xMode val="edge"/>
          <c:yMode val="edge"/>
          <c:x val="0.13320901674294322"/>
          <c:y val="0.15808928063690642"/>
          <c:w val="0.85163648767730749"/>
          <c:h val="0.60836924812888582"/>
        </c:manualLayout>
      </c:layout>
      <c:lineChart>
        <c:grouping val="standard"/>
        <c:varyColors val="0"/>
        <c:ser>
          <c:idx val="0"/>
          <c:order val="0"/>
          <c:tx>
            <c:strRef>
              <c:f>'Foreign Indicators'!$B$6</c:f>
              <c:strCache>
                <c:ptCount val="1"/>
                <c:pt idx="0">
                  <c:v>foreign Interest rate</c:v>
                </c:pt>
              </c:strCache>
            </c:strRef>
          </c:tx>
          <c:spPr>
            <a:ln w="28575" cap="rnd">
              <a:solidFill>
                <a:srgbClr val="002060"/>
              </a:solidFill>
              <a:round/>
            </a:ln>
            <a:effectLst/>
          </c:spPr>
          <c:marker>
            <c:symbol val="none"/>
          </c:marker>
          <c:cat>
            <c:strRef>
              <c:f>'Foreign Indicators'!$D$4:$AH$4</c:f>
              <c:strCache>
                <c:ptCount val="31"/>
                <c:pt idx="0">
                  <c:v>2017Q2</c:v>
                </c:pt>
                <c:pt idx="1">
                  <c:v>2017Q3</c:v>
                </c:pt>
                <c:pt idx="2">
                  <c:v>2017Q4</c:v>
                </c:pt>
                <c:pt idx="3">
                  <c:v>2018Q1</c:v>
                </c:pt>
                <c:pt idx="4">
                  <c:v>2018Q2</c:v>
                </c:pt>
                <c:pt idx="5">
                  <c:v>2018Q3</c:v>
                </c:pt>
                <c:pt idx="6">
                  <c:v>2018Q4</c:v>
                </c:pt>
                <c:pt idx="7">
                  <c:v>2019Q1</c:v>
                </c:pt>
                <c:pt idx="8">
                  <c:v>2019Q2</c:v>
                </c:pt>
                <c:pt idx="9">
                  <c:v>2019Q3</c:v>
                </c:pt>
                <c:pt idx="10">
                  <c:v>2019Q4</c:v>
                </c:pt>
                <c:pt idx="11">
                  <c:v>2020Q1</c:v>
                </c:pt>
                <c:pt idx="12">
                  <c:v>2020Q2</c:v>
                </c:pt>
                <c:pt idx="13">
                  <c:v>2020Q3</c:v>
                </c:pt>
                <c:pt idx="14">
                  <c:v>2020Q4</c:v>
                </c:pt>
                <c:pt idx="15">
                  <c:v>2021Q1</c:v>
                </c:pt>
                <c:pt idx="16">
                  <c:v>2021Q2</c:v>
                </c:pt>
                <c:pt idx="17">
                  <c:v>2021Q3</c:v>
                </c:pt>
                <c:pt idx="18">
                  <c:v>2021Q4</c:v>
                </c:pt>
                <c:pt idx="19">
                  <c:v>2022Q1</c:v>
                </c:pt>
                <c:pt idx="20">
                  <c:v>2022Q2</c:v>
                </c:pt>
                <c:pt idx="21">
                  <c:v>2022Q3</c:v>
                </c:pt>
                <c:pt idx="22">
                  <c:v>2022Q4</c:v>
                </c:pt>
                <c:pt idx="23">
                  <c:v>2023Q1</c:v>
                </c:pt>
                <c:pt idx="24">
                  <c:v>2023Q2</c:v>
                </c:pt>
                <c:pt idx="25">
                  <c:v>2023Q3</c:v>
                </c:pt>
                <c:pt idx="26">
                  <c:v>2023Q4</c:v>
                </c:pt>
                <c:pt idx="27">
                  <c:v>2024Q1</c:v>
                </c:pt>
                <c:pt idx="28">
                  <c:v>2024Q2</c:v>
                </c:pt>
                <c:pt idx="29">
                  <c:v>2024Q3</c:v>
                </c:pt>
                <c:pt idx="30">
                  <c:v>2024Q4</c:v>
                </c:pt>
              </c:strCache>
            </c:strRef>
          </c:cat>
          <c:val>
            <c:numRef>
              <c:f>'Foreign Indicators'!$D$6:$AH$6</c:f>
              <c:numCache>
                <c:formatCode>0.0%</c:formatCode>
                <c:ptCount val="31"/>
                <c:pt idx="0">
                  <c:v>9.0333333333333307E-3</c:v>
                </c:pt>
                <c:pt idx="1">
                  <c:v>1.05666666666667E-2</c:v>
                </c:pt>
                <c:pt idx="2">
                  <c:v>1.2266666666666698E-2</c:v>
                </c:pt>
                <c:pt idx="3">
                  <c:v>1.58333333333333E-2</c:v>
                </c:pt>
                <c:pt idx="4">
                  <c:v>1.8766666666666699E-2</c:v>
                </c:pt>
                <c:pt idx="5">
                  <c:v>2.0766666666666701E-2</c:v>
                </c:pt>
                <c:pt idx="6">
                  <c:v>2.3566666666666701E-2</c:v>
                </c:pt>
                <c:pt idx="7">
                  <c:v>2.43666666666667E-2</c:v>
                </c:pt>
                <c:pt idx="8">
                  <c:v>2.35E-2</c:v>
                </c:pt>
                <c:pt idx="9">
                  <c:v>2.0233333333333298E-2</c:v>
                </c:pt>
                <c:pt idx="10">
                  <c:v>1.6066666666666701E-2</c:v>
                </c:pt>
                <c:pt idx="11">
                  <c:v>1.1299999999999999E-2</c:v>
                </c:pt>
                <c:pt idx="12">
                  <c:v>1.4333333333333301E-3</c:v>
                </c:pt>
                <c:pt idx="13">
                  <c:v>1.1333333333333299E-3</c:v>
                </c:pt>
                <c:pt idx="14">
                  <c:v>9.33333333333333E-4</c:v>
                </c:pt>
                <c:pt idx="15">
                  <c:v>5.0000000000000001E-4</c:v>
                </c:pt>
                <c:pt idx="16">
                  <c:v>2.66666666666667E-4</c:v>
                </c:pt>
                <c:pt idx="17">
                  <c:v>4.6666666666666699E-4</c:v>
                </c:pt>
                <c:pt idx="18">
                  <c:v>5.3333333333333303E-4</c:v>
                </c:pt>
                <c:pt idx="19">
                  <c:v>3.0333333333333302E-3</c:v>
                </c:pt>
                <c:pt idx="20">
                  <c:v>1.0966666666666701E-2</c:v>
                </c:pt>
                <c:pt idx="21">
                  <c:v>2.7466666666666702E-2</c:v>
                </c:pt>
                <c:pt idx="22">
                  <c:v>4.1833333333333299E-2</c:v>
                </c:pt>
                <c:pt idx="23">
                  <c:v>4.8750000000000002E-2</c:v>
                </c:pt>
                <c:pt idx="24">
                  <c:v>5.2000000000000005E-2</c:v>
                </c:pt>
                <c:pt idx="25">
                  <c:v>5.2249999999999998E-2</c:v>
                </c:pt>
                <c:pt idx="26">
                  <c:v>5.1249999999999997E-2</c:v>
                </c:pt>
                <c:pt idx="27">
                  <c:v>5.0416666666666693E-2</c:v>
                </c:pt>
                <c:pt idx="28">
                  <c:v>4.4999999999999998E-2</c:v>
                </c:pt>
                <c:pt idx="29">
                  <c:v>4.1666666666666699E-2</c:v>
                </c:pt>
                <c:pt idx="30">
                  <c:v>4.1250000000000002E-2</c:v>
                </c:pt>
              </c:numCache>
            </c:numRef>
          </c:val>
          <c:smooth val="1"/>
          <c:extLst>
            <c:ext xmlns:c16="http://schemas.microsoft.com/office/drawing/2014/chart" uri="{C3380CC4-5D6E-409C-BE32-E72D297353CC}">
              <c16:uniqueId val="{00000000-D78C-4903-8C25-3B3559563FB0}"/>
            </c:ext>
          </c:extLst>
        </c:ser>
        <c:dLbls>
          <c:showLegendKey val="0"/>
          <c:showVal val="0"/>
          <c:showCatName val="0"/>
          <c:showSerName val="0"/>
          <c:showPercent val="0"/>
          <c:showBubbleSize val="0"/>
        </c:dLbls>
        <c:smooth val="0"/>
        <c:axId val="1270350175"/>
        <c:axId val="1054153167"/>
      </c:lineChart>
      <c:catAx>
        <c:axId val="127035017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054153167"/>
        <c:crosses val="autoZero"/>
        <c:auto val="1"/>
        <c:lblAlgn val="ctr"/>
        <c:lblOffset val="100"/>
        <c:noMultiLvlLbl val="0"/>
      </c:catAx>
      <c:valAx>
        <c:axId val="1054153167"/>
        <c:scaling>
          <c:orientation val="minMax"/>
        </c:scaling>
        <c:delete val="0"/>
        <c:axPos val="l"/>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en-US"/>
          </a:p>
        </c:txPr>
        <c:crossAx val="1270350175"/>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r>
              <a:rPr lang="en-US" sz="1200" b="1">
                <a:latin typeface="Times New Roman" panose="02020603050405020304" pitchFamily="18" charset="0"/>
                <a:cs typeface="Times New Roman" panose="02020603050405020304" pitchFamily="18" charset="0"/>
              </a:rPr>
              <a:t>Foreign prices</a:t>
            </a:r>
          </a:p>
        </c:rich>
      </c:tx>
      <c:layout>
        <c:manualLayout>
          <c:xMode val="edge"/>
          <c:yMode val="edge"/>
          <c:x val="0.35851428795839424"/>
          <c:y val="1.9950124688279301E-2"/>
        </c:manualLayout>
      </c:layout>
      <c:overlay val="0"/>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4628388553779031"/>
          <c:y val="0.1415190370530367"/>
          <c:w val="0.72360425482924529"/>
          <c:h val="0.60431294772363986"/>
        </c:manualLayout>
      </c:layout>
      <c:barChart>
        <c:barDir val="col"/>
        <c:grouping val="clustered"/>
        <c:varyColors val="0"/>
        <c:ser>
          <c:idx val="1"/>
          <c:order val="1"/>
          <c:tx>
            <c:strRef>
              <c:f>'Foreign Indicators'!$B$8</c:f>
              <c:strCache>
                <c:ptCount val="1"/>
                <c:pt idx="0">
                  <c:v>Food index(LH)</c:v>
                </c:pt>
              </c:strCache>
            </c:strRef>
          </c:tx>
          <c:spPr>
            <a:solidFill>
              <a:srgbClr val="002060"/>
            </a:solidFill>
            <a:ln>
              <a:solidFill>
                <a:schemeClr val="accent1">
                  <a:lumMod val="50000"/>
                </a:schemeClr>
              </a:solidFill>
            </a:ln>
            <a:effectLst/>
          </c:spPr>
          <c:invertIfNegative val="0"/>
          <c:cat>
            <c:strRef>
              <c:f>'Foreign Indicators'!$D$4:$AH$4</c:f>
              <c:strCache>
                <c:ptCount val="31"/>
                <c:pt idx="0">
                  <c:v>2017Q2</c:v>
                </c:pt>
                <c:pt idx="1">
                  <c:v>2017Q3</c:v>
                </c:pt>
                <c:pt idx="2">
                  <c:v>2017Q4</c:v>
                </c:pt>
                <c:pt idx="3">
                  <c:v>2018Q1</c:v>
                </c:pt>
                <c:pt idx="4">
                  <c:v>2018Q2</c:v>
                </c:pt>
                <c:pt idx="5">
                  <c:v>2018Q3</c:v>
                </c:pt>
                <c:pt idx="6">
                  <c:v>2018Q4</c:v>
                </c:pt>
                <c:pt idx="7">
                  <c:v>2019Q1</c:v>
                </c:pt>
                <c:pt idx="8">
                  <c:v>2019Q2</c:v>
                </c:pt>
                <c:pt idx="9">
                  <c:v>2019Q3</c:v>
                </c:pt>
                <c:pt idx="10">
                  <c:v>2019Q4</c:v>
                </c:pt>
                <c:pt idx="11">
                  <c:v>2020Q1</c:v>
                </c:pt>
                <c:pt idx="12">
                  <c:v>2020Q2</c:v>
                </c:pt>
                <c:pt idx="13">
                  <c:v>2020Q3</c:v>
                </c:pt>
                <c:pt idx="14">
                  <c:v>2020Q4</c:v>
                </c:pt>
                <c:pt idx="15">
                  <c:v>2021Q1</c:v>
                </c:pt>
                <c:pt idx="16">
                  <c:v>2021Q2</c:v>
                </c:pt>
                <c:pt idx="17">
                  <c:v>2021Q3</c:v>
                </c:pt>
                <c:pt idx="18">
                  <c:v>2021Q4</c:v>
                </c:pt>
                <c:pt idx="19">
                  <c:v>2022Q1</c:v>
                </c:pt>
                <c:pt idx="20">
                  <c:v>2022Q2</c:v>
                </c:pt>
                <c:pt idx="21">
                  <c:v>2022Q3</c:v>
                </c:pt>
                <c:pt idx="22">
                  <c:v>2022Q4</c:v>
                </c:pt>
                <c:pt idx="23">
                  <c:v>2023Q1</c:v>
                </c:pt>
                <c:pt idx="24">
                  <c:v>2023Q2</c:v>
                </c:pt>
                <c:pt idx="25">
                  <c:v>2023Q3</c:v>
                </c:pt>
                <c:pt idx="26">
                  <c:v>2023Q4</c:v>
                </c:pt>
                <c:pt idx="27">
                  <c:v>2024Q1</c:v>
                </c:pt>
                <c:pt idx="28">
                  <c:v>2024Q2</c:v>
                </c:pt>
                <c:pt idx="29">
                  <c:v>2024Q3</c:v>
                </c:pt>
                <c:pt idx="30">
                  <c:v>2024Q4</c:v>
                </c:pt>
              </c:strCache>
            </c:strRef>
          </c:cat>
          <c:val>
            <c:numRef>
              <c:f>'Foreign Indicators'!$D$8:$AH$8</c:f>
              <c:numCache>
                <c:formatCode>0.0</c:formatCode>
                <c:ptCount val="31"/>
                <c:pt idx="0">
                  <c:v>104.18019263568927</c:v>
                </c:pt>
                <c:pt idx="1">
                  <c:v>103.26469350516949</c:v>
                </c:pt>
                <c:pt idx="2">
                  <c:v>102.07482731066466</c:v>
                </c:pt>
                <c:pt idx="3">
                  <c:v>106.20547173500381</c:v>
                </c:pt>
                <c:pt idx="4">
                  <c:v>106.38717471672406</c:v>
                </c:pt>
                <c:pt idx="5">
                  <c:v>99.106055385458362</c:v>
                </c:pt>
                <c:pt idx="6">
                  <c:v>98.322176292885729</c:v>
                </c:pt>
                <c:pt idx="7">
                  <c:v>99.100618809295042</c:v>
                </c:pt>
                <c:pt idx="8">
                  <c:v>99.958777255170261</c:v>
                </c:pt>
                <c:pt idx="9">
                  <c:v>98.195153827483963</c:v>
                </c:pt>
                <c:pt idx="10">
                  <c:v>100.22630907721391</c:v>
                </c:pt>
                <c:pt idx="11">
                  <c:v>101.23800705475234</c:v>
                </c:pt>
                <c:pt idx="12">
                  <c:v>96.418667769612412</c:v>
                </c:pt>
                <c:pt idx="13">
                  <c:v>98.75361685039455</c:v>
                </c:pt>
                <c:pt idx="14">
                  <c:v>107.75171562003165</c:v>
                </c:pt>
                <c:pt idx="15">
                  <c:v>119.35447482233076</c:v>
                </c:pt>
                <c:pt idx="16">
                  <c:v>130.84595372815252</c:v>
                </c:pt>
                <c:pt idx="17">
                  <c:v>129.15136972773527</c:v>
                </c:pt>
                <c:pt idx="18">
                  <c:v>130.37441801660452</c:v>
                </c:pt>
                <c:pt idx="19">
                  <c:v>148.21870172401776</c:v>
                </c:pt>
                <c:pt idx="20">
                  <c:v>157.86857663307293</c:v>
                </c:pt>
                <c:pt idx="21">
                  <c:v>138.19466160642446</c:v>
                </c:pt>
                <c:pt idx="22">
                  <c:v>137.16454759068799</c:v>
                </c:pt>
                <c:pt idx="23">
                  <c:v>139.94520121293718</c:v>
                </c:pt>
                <c:pt idx="24">
                  <c:v>139.45780085877524</c:v>
                </c:pt>
                <c:pt idx="25">
                  <c:v>135.85201193758127</c:v>
                </c:pt>
                <c:pt idx="26">
                  <c:v>133.76843642103495</c:v>
                </c:pt>
                <c:pt idx="27">
                  <c:v>134.41241068859227</c:v>
                </c:pt>
                <c:pt idx="28">
                  <c:v>135.18798976530698</c:v>
                </c:pt>
                <c:pt idx="29">
                  <c:v>132.22032451131375</c:v>
                </c:pt>
                <c:pt idx="30">
                  <c:v>131.63485208836786</c:v>
                </c:pt>
              </c:numCache>
            </c:numRef>
          </c:val>
          <c:extLst>
            <c:ext xmlns:c16="http://schemas.microsoft.com/office/drawing/2014/chart" uri="{C3380CC4-5D6E-409C-BE32-E72D297353CC}">
              <c16:uniqueId val="{00000000-FC27-41E2-A4D1-C676975BDD0E}"/>
            </c:ext>
          </c:extLst>
        </c:ser>
        <c:ser>
          <c:idx val="2"/>
          <c:order val="2"/>
          <c:tx>
            <c:strRef>
              <c:f>'Foreign Indicators'!$B$9</c:f>
              <c:strCache>
                <c:ptCount val="1"/>
                <c:pt idx="0">
                  <c:v>Energy index(LH)</c:v>
                </c:pt>
              </c:strCache>
            </c:strRef>
          </c:tx>
          <c:spPr>
            <a:solidFill>
              <a:srgbClr val="11E34D"/>
            </a:solidFill>
            <a:ln>
              <a:solidFill>
                <a:srgbClr val="16DE20"/>
              </a:solidFill>
            </a:ln>
            <a:effectLst/>
          </c:spPr>
          <c:invertIfNegative val="0"/>
          <c:cat>
            <c:strRef>
              <c:f>'Foreign Indicators'!$D$4:$AH$4</c:f>
              <c:strCache>
                <c:ptCount val="31"/>
                <c:pt idx="0">
                  <c:v>2017Q2</c:v>
                </c:pt>
                <c:pt idx="1">
                  <c:v>2017Q3</c:v>
                </c:pt>
                <c:pt idx="2">
                  <c:v>2017Q4</c:v>
                </c:pt>
                <c:pt idx="3">
                  <c:v>2018Q1</c:v>
                </c:pt>
                <c:pt idx="4">
                  <c:v>2018Q2</c:v>
                </c:pt>
                <c:pt idx="5">
                  <c:v>2018Q3</c:v>
                </c:pt>
                <c:pt idx="6">
                  <c:v>2018Q4</c:v>
                </c:pt>
                <c:pt idx="7">
                  <c:v>2019Q1</c:v>
                </c:pt>
                <c:pt idx="8">
                  <c:v>2019Q2</c:v>
                </c:pt>
                <c:pt idx="9">
                  <c:v>2019Q3</c:v>
                </c:pt>
                <c:pt idx="10">
                  <c:v>2019Q4</c:v>
                </c:pt>
                <c:pt idx="11">
                  <c:v>2020Q1</c:v>
                </c:pt>
                <c:pt idx="12">
                  <c:v>2020Q2</c:v>
                </c:pt>
                <c:pt idx="13">
                  <c:v>2020Q3</c:v>
                </c:pt>
                <c:pt idx="14">
                  <c:v>2020Q4</c:v>
                </c:pt>
                <c:pt idx="15">
                  <c:v>2021Q1</c:v>
                </c:pt>
                <c:pt idx="16">
                  <c:v>2021Q2</c:v>
                </c:pt>
                <c:pt idx="17">
                  <c:v>2021Q3</c:v>
                </c:pt>
                <c:pt idx="18">
                  <c:v>2021Q4</c:v>
                </c:pt>
                <c:pt idx="19">
                  <c:v>2022Q1</c:v>
                </c:pt>
                <c:pt idx="20">
                  <c:v>2022Q2</c:v>
                </c:pt>
                <c:pt idx="21">
                  <c:v>2022Q3</c:v>
                </c:pt>
                <c:pt idx="22">
                  <c:v>2022Q4</c:v>
                </c:pt>
                <c:pt idx="23">
                  <c:v>2023Q1</c:v>
                </c:pt>
                <c:pt idx="24">
                  <c:v>2023Q2</c:v>
                </c:pt>
                <c:pt idx="25">
                  <c:v>2023Q3</c:v>
                </c:pt>
                <c:pt idx="26">
                  <c:v>2023Q4</c:v>
                </c:pt>
                <c:pt idx="27">
                  <c:v>2024Q1</c:v>
                </c:pt>
                <c:pt idx="28">
                  <c:v>2024Q2</c:v>
                </c:pt>
                <c:pt idx="29">
                  <c:v>2024Q3</c:v>
                </c:pt>
                <c:pt idx="30">
                  <c:v>2024Q4</c:v>
                </c:pt>
              </c:strCache>
            </c:strRef>
          </c:cat>
          <c:val>
            <c:numRef>
              <c:f>'Foreign Indicators'!$D$9:$AH$9</c:f>
              <c:numCache>
                <c:formatCode>0.0</c:formatCode>
                <c:ptCount val="31"/>
                <c:pt idx="0">
                  <c:v>49.663256258234519</c:v>
                </c:pt>
                <c:pt idx="1">
                  <c:v>50.343225212790422</c:v>
                </c:pt>
                <c:pt idx="2">
                  <c:v>58.712722462722461</c:v>
                </c:pt>
                <c:pt idx="3">
                  <c:v>64.743637900746592</c:v>
                </c:pt>
                <c:pt idx="4">
                  <c:v>71.646128364389227</c:v>
                </c:pt>
                <c:pt idx="5">
                  <c:v>73.302795564339036</c:v>
                </c:pt>
                <c:pt idx="6">
                  <c:v>64.437560909300032</c:v>
                </c:pt>
                <c:pt idx="7">
                  <c:v>60.702674028065324</c:v>
                </c:pt>
                <c:pt idx="8">
                  <c:v>64.985770092226616</c:v>
                </c:pt>
                <c:pt idx="9">
                  <c:v>59.739888951628075</c:v>
                </c:pt>
                <c:pt idx="10">
                  <c:v>60.301003199698862</c:v>
                </c:pt>
                <c:pt idx="11">
                  <c:v>49.096131971892845</c:v>
                </c:pt>
                <c:pt idx="12">
                  <c:v>31.451851851851853</c:v>
                </c:pt>
                <c:pt idx="13">
                  <c:v>42.312498692933481</c:v>
                </c:pt>
                <c:pt idx="14">
                  <c:v>44.201507622811981</c:v>
                </c:pt>
                <c:pt idx="15">
                  <c:v>59.648475385323216</c:v>
                </c:pt>
                <c:pt idx="16">
                  <c:v>67.350889850889857</c:v>
                </c:pt>
                <c:pt idx="17">
                  <c:v>71.707373737373743</c:v>
                </c:pt>
                <c:pt idx="18">
                  <c:v>78.293173766652032</c:v>
                </c:pt>
                <c:pt idx="19">
                  <c:v>95.353100989187951</c:v>
                </c:pt>
                <c:pt idx="20">
                  <c:v>109.42356661856661</c:v>
                </c:pt>
                <c:pt idx="21">
                  <c:v>95.474347616956308</c:v>
                </c:pt>
                <c:pt idx="22">
                  <c:v>85.197222222222209</c:v>
                </c:pt>
                <c:pt idx="23">
                  <c:v>78.928421169999993</c:v>
                </c:pt>
                <c:pt idx="24">
                  <c:v>71.79878977766667</c:v>
                </c:pt>
                <c:pt idx="25">
                  <c:v>71.304694111333347</c:v>
                </c:pt>
                <c:pt idx="26">
                  <c:v>70.486951777666661</c:v>
                </c:pt>
                <c:pt idx="27">
                  <c:v>69.738506666666666</c:v>
                </c:pt>
                <c:pt idx="28">
                  <c:v>69.144704777999991</c:v>
                </c:pt>
                <c:pt idx="29">
                  <c:v>68.602961666666673</c:v>
                </c:pt>
                <c:pt idx="30">
                  <c:v>68.11509555566667</c:v>
                </c:pt>
              </c:numCache>
            </c:numRef>
          </c:val>
          <c:extLst>
            <c:ext xmlns:c16="http://schemas.microsoft.com/office/drawing/2014/chart" uri="{C3380CC4-5D6E-409C-BE32-E72D297353CC}">
              <c16:uniqueId val="{00000001-FC27-41E2-A4D1-C676975BDD0E}"/>
            </c:ext>
          </c:extLst>
        </c:ser>
        <c:dLbls>
          <c:showLegendKey val="0"/>
          <c:showVal val="0"/>
          <c:showCatName val="0"/>
          <c:showSerName val="0"/>
          <c:showPercent val="0"/>
          <c:showBubbleSize val="0"/>
        </c:dLbls>
        <c:gapWidth val="200"/>
        <c:axId val="1270359775"/>
        <c:axId val="1270360735"/>
      </c:barChart>
      <c:lineChart>
        <c:grouping val="standard"/>
        <c:varyColors val="0"/>
        <c:ser>
          <c:idx val="0"/>
          <c:order val="0"/>
          <c:tx>
            <c:strRef>
              <c:f>'Foreign Indicators'!$B$7</c:f>
              <c:strCache>
                <c:ptCount val="1"/>
                <c:pt idx="0">
                  <c:v>Foreign index(RH)</c:v>
                </c:pt>
              </c:strCache>
            </c:strRef>
          </c:tx>
          <c:spPr>
            <a:ln w="28575" cap="rnd">
              <a:solidFill>
                <a:schemeClr val="accent2"/>
              </a:solidFill>
              <a:round/>
            </a:ln>
            <a:effectLst/>
          </c:spPr>
          <c:marker>
            <c:symbol val="none"/>
          </c:marker>
          <c:cat>
            <c:strRef>
              <c:f>'Foreign Indicators'!$D$4:$AH$4</c:f>
              <c:strCache>
                <c:ptCount val="31"/>
                <c:pt idx="0">
                  <c:v>2017Q2</c:v>
                </c:pt>
                <c:pt idx="1">
                  <c:v>2017Q3</c:v>
                </c:pt>
                <c:pt idx="2">
                  <c:v>2017Q4</c:v>
                </c:pt>
                <c:pt idx="3">
                  <c:v>2018Q1</c:v>
                </c:pt>
                <c:pt idx="4">
                  <c:v>2018Q2</c:v>
                </c:pt>
                <c:pt idx="5">
                  <c:v>2018Q3</c:v>
                </c:pt>
                <c:pt idx="6">
                  <c:v>2018Q4</c:v>
                </c:pt>
                <c:pt idx="7">
                  <c:v>2019Q1</c:v>
                </c:pt>
                <c:pt idx="8">
                  <c:v>2019Q2</c:v>
                </c:pt>
                <c:pt idx="9">
                  <c:v>2019Q3</c:v>
                </c:pt>
                <c:pt idx="10">
                  <c:v>2019Q4</c:v>
                </c:pt>
                <c:pt idx="11">
                  <c:v>2020Q1</c:v>
                </c:pt>
                <c:pt idx="12">
                  <c:v>2020Q2</c:v>
                </c:pt>
                <c:pt idx="13">
                  <c:v>2020Q3</c:v>
                </c:pt>
                <c:pt idx="14">
                  <c:v>2020Q4</c:v>
                </c:pt>
                <c:pt idx="15">
                  <c:v>2021Q1</c:v>
                </c:pt>
                <c:pt idx="16">
                  <c:v>2021Q2</c:v>
                </c:pt>
                <c:pt idx="17">
                  <c:v>2021Q3</c:v>
                </c:pt>
                <c:pt idx="18">
                  <c:v>2021Q4</c:v>
                </c:pt>
                <c:pt idx="19">
                  <c:v>2022Q1</c:v>
                </c:pt>
                <c:pt idx="20">
                  <c:v>2022Q2</c:v>
                </c:pt>
                <c:pt idx="21">
                  <c:v>2022Q3</c:v>
                </c:pt>
                <c:pt idx="22">
                  <c:v>2022Q4</c:v>
                </c:pt>
                <c:pt idx="23">
                  <c:v>2023Q1</c:v>
                </c:pt>
                <c:pt idx="24">
                  <c:v>2023Q2</c:v>
                </c:pt>
                <c:pt idx="25">
                  <c:v>2023Q3</c:v>
                </c:pt>
                <c:pt idx="26">
                  <c:v>2023Q4</c:v>
                </c:pt>
                <c:pt idx="27">
                  <c:v>2024Q1</c:v>
                </c:pt>
                <c:pt idx="28">
                  <c:v>2024Q2</c:v>
                </c:pt>
                <c:pt idx="29">
                  <c:v>2024Q3</c:v>
                </c:pt>
                <c:pt idx="30">
                  <c:v>2024Q4</c:v>
                </c:pt>
              </c:strCache>
            </c:strRef>
          </c:cat>
          <c:val>
            <c:numRef>
              <c:f>'Foreign Indicators'!$D$7:$AH$7</c:f>
              <c:numCache>
                <c:formatCode>0.0%</c:formatCode>
                <c:ptCount val="31"/>
                <c:pt idx="0">
                  <c:v>-5.1398458416268469E-3</c:v>
                </c:pt>
                <c:pt idx="1">
                  <c:v>4.1552500382877951E-2</c:v>
                </c:pt>
                <c:pt idx="2">
                  <c:v>7.1035879472285859E-2</c:v>
                </c:pt>
                <c:pt idx="3">
                  <c:v>0.12030407647837105</c:v>
                </c:pt>
                <c:pt idx="4">
                  <c:v>6.6154508620760166E-2</c:v>
                </c:pt>
                <c:pt idx="5">
                  <c:v>4.3524719388562273E-3</c:v>
                </c:pt>
                <c:pt idx="6">
                  <c:v>-7.9705540530830826E-3</c:v>
                </c:pt>
                <c:pt idx="7">
                  <c:v>-4.095797909027224E-2</c:v>
                </c:pt>
                <c:pt idx="8">
                  <c:v>-2.6788567315255262E-2</c:v>
                </c:pt>
                <c:pt idx="9">
                  <c:v>-1.4934110827158372E-2</c:v>
                </c:pt>
                <c:pt idx="10">
                  <c:v>-4.6078955224732451E-3</c:v>
                </c:pt>
                <c:pt idx="11">
                  <c:v>-1.8206510856555645E-2</c:v>
                </c:pt>
                <c:pt idx="12">
                  <c:v>-7.5999677463718385E-3</c:v>
                </c:pt>
                <c:pt idx="13">
                  <c:v>4.7473683476621502E-2</c:v>
                </c:pt>
                <c:pt idx="14">
                  <c:v>7.289810290860109E-2</c:v>
                </c:pt>
                <c:pt idx="15">
                  <c:v>7.9570541052873756E-2</c:v>
                </c:pt>
                <c:pt idx="16">
                  <c:v>9.1764748417418274E-2</c:v>
                </c:pt>
                <c:pt idx="17">
                  <c:v>3.8856087180610836E-2</c:v>
                </c:pt>
                <c:pt idx="18">
                  <c:v>1.2421537026773115E-2</c:v>
                </c:pt>
                <c:pt idx="19">
                  <c:v>2.6956841646369155E-2</c:v>
                </c:pt>
                <c:pt idx="20">
                  <c:v>-2.2130646413859936E-2</c:v>
                </c:pt>
                <c:pt idx="21">
                  <c:v>-5.0710760500137064E-2</c:v>
                </c:pt>
                <c:pt idx="22">
                  <c:v>-3.6411021956021507E-2</c:v>
                </c:pt>
                <c:pt idx="23">
                  <c:v>5.1245573580088024E-3</c:v>
                </c:pt>
                <c:pt idx="24">
                  <c:v>5.5798876760650859E-2</c:v>
                </c:pt>
                <c:pt idx="25">
                  <c:v>0.10029694036062979</c:v>
                </c:pt>
                <c:pt idx="26">
                  <c:v>9.1553781114550592E-2</c:v>
                </c:pt>
                <c:pt idx="27">
                  <c:v>4.5202744246323964E-2</c:v>
                </c:pt>
                <c:pt idx="28">
                  <c:v>3.7353670623207012E-2</c:v>
                </c:pt>
                <c:pt idx="29">
                  <c:v>3.1875615052165233E-2</c:v>
                </c:pt>
                <c:pt idx="30">
                  <c:v>3.3953433954818563E-2</c:v>
                </c:pt>
              </c:numCache>
            </c:numRef>
          </c:val>
          <c:smooth val="1"/>
          <c:extLst>
            <c:ext xmlns:c16="http://schemas.microsoft.com/office/drawing/2014/chart" uri="{C3380CC4-5D6E-409C-BE32-E72D297353CC}">
              <c16:uniqueId val="{00000002-FC27-41E2-A4D1-C676975BDD0E}"/>
            </c:ext>
          </c:extLst>
        </c:ser>
        <c:dLbls>
          <c:showLegendKey val="0"/>
          <c:showVal val="0"/>
          <c:showCatName val="0"/>
          <c:showSerName val="0"/>
          <c:showPercent val="0"/>
          <c:showBubbleSize val="0"/>
        </c:dLbls>
        <c:marker val="1"/>
        <c:smooth val="0"/>
        <c:axId val="1493184767"/>
        <c:axId val="1493179487"/>
      </c:lineChart>
      <c:dateAx>
        <c:axId val="127035977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270360735"/>
        <c:crosses val="autoZero"/>
        <c:auto val="0"/>
        <c:lblOffset val="100"/>
        <c:baseTimeUnit val="days"/>
      </c:dateAx>
      <c:valAx>
        <c:axId val="1270360735"/>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ysClr val="windowText" lastClr="000000"/>
                    </a:solidFill>
                    <a:latin typeface="+mn-lt"/>
                    <a:ea typeface="+mn-ea"/>
                    <a:cs typeface="+mn-cs"/>
                  </a:defRPr>
                </a:pPr>
                <a:r>
                  <a:rPr lang="en-US">
                    <a:solidFill>
                      <a:sysClr val="windowText" lastClr="000000"/>
                    </a:solidFill>
                  </a:rPr>
                  <a:t>CPI</a:t>
                </a:r>
              </a:p>
            </c:rich>
          </c:tx>
          <c:layout>
            <c:manualLayout>
              <c:xMode val="edge"/>
              <c:yMode val="edge"/>
              <c:x val="3.2374054705279695E-2"/>
              <c:y val="0.39899724705464451"/>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ysClr val="windowText" lastClr="000000"/>
                  </a:solidFill>
                  <a:latin typeface="+mn-lt"/>
                  <a:ea typeface="+mn-ea"/>
                  <a:cs typeface="+mn-cs"/>
                </a:defRPr>
              </a:pPr>
              <a:endParaRPr lang="en-US"/>
            </a:p>
          </c:txPr>
        </c:title>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700" b="0" i="0" u="none" strike="noStrike" kern="1200" baseline="0">
                <a:solidFill>
                  <a:sysClr val="windowText" lastClr="000000"/>
                </a:solidFill>
                <a:latin typeface="+mn-lt"/>
                <a:ea typeface="+mn-ea"/>
                <a:cs typeface="+mn-cs"/>
              </a:defRPr>
            </a:pPr>
            <a:endParaRPr lang="en-US"/>
          </a:p>
        </c:txPr>
        <c:crossAx val="1270359775"/>
        <c:crosses val="autoZero"/>
        <c:crossBetween val="between"/>
      </c:valAx>
      <c:valAx>
        <c:axId val="1493179487"/>
        <c:scaling>
          <c:orientation val="minMax"/>
        </c:scaling>
        <c:delete val="0"/>
        <c:axPos val="r"/>
        <c:title>
          <c:tx>
            <c:rich>
              <a:bodyPr rot="-5400000" spcFirstLastPara="1" vertOverflow="ellipsis" vert="horz" wrap="square" anchor="ctr" anchorCtr="1"/>
              <a:lstStyle/>
              <a:p>
                <a:pPr>
                  <a:defRPr sz="1000" b="0" i="0" u="none" strike="noStrike" kern="1200" baseline="0">
                    <a:solidFill>
                      <a:sysClr val="windowText" lastClr="000000"/>
                    </a:solidFill>
                    <a:latin typeface="+mn-lt"/>
                    <a:ea typeface="+mn-ea"/>
                    <a:cs typeface="+mn-cs"/>
                  </a:defRPr>
                </a:pPr>
                <a:r>
                  <a:rPr lang="en-US">
                    <a:solidFill>
                      <a:sysClr val="windowText" lastClr="000000"/>
                    </a:solidFill>
                  </a:rPr>
                  <a:t>Percentage</a:t>
                </a:r>
              </a:p>
            </c:rich>
          </c:tx>
          <c:overlay val="0"/>
          <c:spPr>
            <a:noFill/>
            <a:ln>
              <a:noFill/>
            </a:ln>
            <a:effectLst/>
          </c:spPr>
          <c:txPr>
            <a:bodyPr rot="-5400000" spcFirstLastPara="1" vertOverflow="ellipsis" vert="horz" wrap="square" anchor="ctr" anchorCtr="1"/>
            <a:lstStyle/>
            <a:p>
              <a:pPr>
                <a:defRPr sz="1000" b="0" i="0" u="none" strike="noStrike" kern="1200" baseline="0">
                  <a:solidFill>
                    <a:sysClr val="windowText" lastClr="000000"/>
                  </a:solidFill>
                  <a:latin typeface="+mn-lt"/>
                  <a:ea typeface="+mn-ea"/>
                  <a:cs typeface="+mn-cs"/>
                </a:defRPr>
              </a:pPr>
              <a:endParaRPr lang="en-US"/>
            </a:p>
          </c:txPr>
        </c:title>
        <c:numFmt formatCode="0.0%" sourceLinked="1"/>
        <c:majorTickMark val="out"/>
        <c:minorTickMark val="none"/>
        <c:tickLblPos val="nextTo"/>
        <c:spPr>
          <a:noFill/>
          <a:ln>
            <a:noFill/>
          </a:ln>
          <a:effectLst/>
        </c:spPr>
        <c:txPr>
          <a:bodyPr rot="-60000000" spcFirstLastPara="1" vertOverflow="ellipsis" vert="horz" wrap="square" anchor="ctr" anchorCtr="1"/>
          <a:lstStyle/>
          <a:p>
            <a:pPr>
              <a:defRPr sz="700" b="0" i="0" u="none" strike="noStrike" kern="1200" baseline="0">
                <a:solidFill>
                  <a:sysClr val="windowText" lastClr="000000"/>
                </a:solidFill>
                <a:latin typeface="+mn-lt"/>
                <a:ea typeface="+mn-ea"/>
                <a:cs typeface="+mn-cs"/>
              </a:defRPr>
            </a:pPr>
            <a:endParaRPr lang="en-US"/>
          </a:p>
        </c:txPr>
        <c:crossAx val="1493184767"/>
        <c:crosses val="max"/>
        <c:crossBetween val="between"/>
      </c:valAx>
      <c:catAx>
        <c:axId val="1493184767"/>
        <c:scaling>
          <c:orientation val="minMax"/>
        </c:scaling>
        <c:delete val="1"/>
        <c:axPos val="b"/>
        <c:numFmt formatCode="General" sourceLinked="1"/>
        <c:majorTickMark val="out"/>
        <c:minorTickMark val="none"/>
        <c:tickLblPos val="nextTo"/>
        <c:crossAx val="1493179487"/>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20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sz="1200" b="1">
                <a:solidFill>
                  <a:sysClr val="windowText" lastClr="000000"/>
                </a:solidFill>
                <a:latin typeface="Times New Roman" panose="02020603050405020304" pitchFamily="18" charset="0"/>
                <a:cs typeface="Times New Roman" panose="02020603050405020304" pitchFamily="18" charset="0"/>
              </a:rPr>
              <a:t>CPI</a:t>
            </a:r>
            <a:r>
              <a:rPr lang="en-US" sz="1200" b="1" baseline="0">
                <a:solidFill>
                  <a:sysClr val="windowText" lastClr="000000"/>
                </a:solidFill>
                <a:latin typeface="Times New Roman" panose="02020603050405020304" pitchFamily="18" charset="0"/>
                <a:cs typeface="Times New Roman" panose="02020603050405020304" pitchFamily="18" charset="0"/>
              </a:rPr>
              <a:t> </a:t>
            </a:r>
            <a:endParaRPr lang="en-US" sz="1200" b="1">
              <a:solidFill>
                <a:sysClr val="windowText" lastClr="000000"/>
              </a:solidFill>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20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manualLayout>
          <c:layoutTarget val="inner"/>
          <c:xMode val="edge"/>
          <c:yMode val="edge"/>
          <c:x val="9.7755945921529405E-2"/>
          <c:y val="0.15573131493998113"/>
          <c:w val="0.78895620136644906"/>
          <c:h val="0.57865829386957324"/>
        </c:manualLayout>
      </c:layout>
      <c:lineChart>
        <c:grouping val="standard"/>
        <c:varyColors val="0"/>
        <c:ser>
          <c:idx val="0"/>
          <c:order val="0"/>
          <c:tx>
            <c:strRef>
              <c:f>INFLATION!$A$6</c:f>
              <c:strCache>
                <c:ptCount val="1"/>
                <c:pt idx="0">
                  <c:v>CPI</c:v>
                </c:pt>
              </c:strCache>
            </c:strRef>
          </c:tx>
          <c:spPr>
            <a:ln w="15875" cap="rnd">
              <a:solidFill>
                <a:srgbClr val="00B0F0"/>
              </a:solidFill>
              <a:round/>
            </a:ln>
            <a:effectLst/>
          </c:spPr>
          <c:marker>
            <c:symbol val="none"/>
          </c:marker>
          <c:cat>
            <c:strRef>
              <c:f>INFLATION!$C$5:$AG$5</c:f>
              <c:strCache>
                <c:ptCount val="31"/>
                <c:pt idx="0">
                  <c:v>2017Q2</c:v>
                </c:pt>
                <c:pt idx="1">
                  <c:v>2017Q3</c:v>
                </c:pt>
                <c:pt idx="2">
                  <c:v>2017Q4</c:v>
                </c:pt>
                <c:pt idx="3">
                  <c:v>2018Q1</c:v>
                </c:pt>
                <c:pt idx="4">
                  <c:v>2018Q2</c:v>
                </c:pt>
                <c:pt idx="5">
                  <c:v>2018Q3</c:v>
                </c:pt>
                <c:pt idx="6">
                  <c:v>2018Q4</c:v>
                </c:pt>
                <c:pt idx="7">
                  <c:v>2019Q1</c:v>
                </c:pt>
                <c:pt idx="8">
                  <c:v>2019Q2</c:v>
                </c:pt>
                <c:pt idx="9">
                  <c:v>2019Q3</c:v>
                </c:pt>
                <c:pt idx="10">
                  <c:v>2019Q4</c:v>
                </c:pt>
                <c:pt idx="11">
                  <c:v>2020Q1</c:v>
                </c:pt>
                <c:pt idx="12">
                  <c:v>2020Q2</c:v>
                </c:pt>
                <c:pt idx="13">
                  <c:v>2020Q3</c:v>
                </c:pt>
                <c:pt idx="14">
                  <c:v>2020Q4</c:v>
                </c:pt>
                <c:pt idx="15">
                  <c:v>2021Q1</c:v>
                </c:pt>
                <c:pt idx="16">
                  <c:v>2021Q2</c:v>
                </c:pt>
                <c:pt idx="17">
                  <c:v>2021Q3</c:v>
                </c:pt>
                <c:pt idx="18">
                  <c:v>2021Q4</c:v>
                </c:pt>
                <c:pt idx="19">
                  <c:v>2022Q1</c:v>
                </c:pt>
                <c:pt idx="20">
                  <c:v>2022Q2</c:v>
                </c:pt>
                <c:pt idx="21">
                  <c:v>2022Q3</c:v>
                </c:pt>
                <c:pt idx="22">
                  <c:v>2022Q4</c:v>
                </c:pt>
                <c:pt idx="23">
                  <c:v>2023Q1</c:v>
                </c:pt>
                <c:pt idx="24">
                  <c:v>2023Q2</c:v>
                </c:pt>
                <c:pt idx="25">
                  <c:v>2023Q3</c:v>
                </c:pt>
                <c:pt idx="26">
                  <c:v>2023Q4</c:v>
                </c:pt>
                <c:pt idx="27">
                  <c:v>2024Q1</c:v>
                </c:pt>
                <c:pt idx="28">
                  <c:v>2024Q2</c:v>
                </c:pt>
                <c:pt idx="29">
                  <c:v>2024Q3</c:v>
                </c:pt>
                <c:pt idx="30">
                  <c:v>2024Q4</c:v>
                </c:pt>
              </c:strCache>
            </c:strRef>
          </c:cat>
          <c:val>
            <c:numRef>
              <c:f>INFLATION!$B$6:$AG$6</c:f>
              <c:numCache>
                <c:formatCode>0.0</c:formatCode>
                <c:ptCount val="32"/>
                <c:pt idx="0">
                  <c:v>113.5198383513525</c:v>
                </c:pt>
                <c:pt idx="1">
                  <c:v>114.37468981146931</c:v>
                </c:pt>
                <c:pt idx="2">
                  <c:v>114.20406985093587</c:v>
                </c:pt>
                <c:pt idx="3">
                  <c:v>115.11432504336199</c:v>
                </c:pt>
                <c:pt idx="4">
                  <c:v>114.59628222051175</c:v>
                </c:pt>
                <c:pt idx="5">
                  <c:v>117.27792444599999</c:v>
                </c:pt>
                <c:pt idx="6">
                  <c:v>116.23063514615683</c:v>
                </c:pt>
                <c:pt idx="7">
                  <c:v>115.34353302789231</c:v>
                </c:pt>
                <c:pt idx="8">
                  <c:v>115.69621376066327</c:v>
                </c:pt>
                <c:pt idx="9">
                  <c:v>117.69777140290451</c:v>
                </c:pt>
                <c:pt idx="10">
                  <c:v>119.05116171878278</c:v>
                </c:pt>
                <c:pt idx="11">
                  <c:v>122.24635218827986</c:v>
                </c:pt>
                <c:pt idx="12">
                  <c:v>125.16496240504375</c:v>
                </c:pt>
                <c:pt idx="13">
                  <c:v>127.99379119397479</c:v>
                </c:pt>
                <c:pt idx="14">
                  <c:v>129.73576410881324</c:v>
                </c:pt>
                <c:pt idx="15">
                  <c:v>128.42239047720275</c:v>
                </c:pt>
                <c:pt idx="16">
                  <c:v>127.81270377573735</c:v>
                </c:pt>
                <c:pt idx="17">
                  <c:v>128.85809924018801</c:v>
                </c:pt>
                <c:pt idx="18">
                  <c:v>128.91445740317386</c:v>
                </c:pt>
                <c:pt idx="19">
                  <c:v>129.91297789155544</c:v>
                </c:pt>
                <c:pt idx="20">
                  <c:v>135.34349992016891</c:v>
                </c:pt>
                <c:pt idx="21">
                  <c:v>144.3857609489265</c:v>
                </c:pt>
                <c:pt idx="22">
                  <c:v>150.01536855259664</c:v>
                </c:pt>
                <c:pt idx="23">
                  <c:v>157.3683555290647</c:v>
                </c:pt>
                <c:pt idx="24">
                  <c:v>162.72298868059943</c:v>
                </c:pt>
                <c:pt idx="25">
                  <c:v>166.30511423015028</c:v>
                </c:pt>
                <c:pt idx="26">
                  <c:v>169.04460832802263</c:v>
                </c:pt>
                <c:pt idx="27">
                  <c:v>173.28202293291761</c:v>
                </c:pt>
                <c:pt idx="28">
                  <c:v>170.34877761547895</c:v>
                </c:pt>
                <c:pt idx="29">
                  <c:v>174.81962230491658</c:v>
                </c:pt>
                <c:pt idx="30">
                  <c:v>175.95804858095846</c:v>
                </c:pt>
                <c:pt idx="31">
                  <c:v>180.24297372112537</c:v>
                </c:pt>
              </c:numCache>
            </c:numRef>
          </c:val>
          <c:smooth val="0"/>
          <c:extLst>
            <c:ext xmlns:c16="http://schemas.microsoft.com/office/drawing/2014/chart" uri="{C3380CC4-5D6E-409C-BE32-E72D297353CC}">
              <c16:uniqueId val="{00000000-4655-431F-9656-3ACDEB015D11}"/>
            </c:ext>
          </c:extLst>
        </c:ser>
        <c:ser>
          <c:idx val="1"/>
          <c:order val="1"/>
          <c:tx>
            <c:strRef>
              <c:f>INFLATION!$A$7</c:f>
              <c:strCache>
                <c:ptCount val="1"/>
                <c:pt idx="0">
                  <c:v>Food index</c:v>
                </c:pt>
              </c:strCache>
            </c:strRef>
          </c:tx>
          <c:spPr>
            <a:ln w="15875" cap="rnd">
              <a:solidFill>
                <a:srgbClr val="C00000"/>
              </a:solidFill>
              <a:round/>
            </a:ln>
            <a:effectLst/>
          </c:spPr>
          <c:marker>
            <c:symbol val="none"/>
          </c:marker>
          <c:cat>
            <c:strRef>
              <c:f>INFLATION!$B$5:$AG$5</c:f>
              <c:strCache>
                <c:ptCount val="32"/>
                <c:pt idx="0">
                  <c:v>2017Q1</c:v>
                </c:pt>
                <c:pt idx="1">
                  <c:v>2017Q2</c:v>
                </c:pt>
                <c:pt idx="2">
                  <c:v>2017Q3</c:v>
                </c:pt>
                <c:pt idx="3">
                  <c:v>2017Q4</c:v>
                </c:pt>
                <c:pt idx="4">
                  <c:v>2018Q1</c:v>
                </c:pt>
                <c:pt idx="5">
                  <c:v>2018Q2</c:v>
                </c:pt>
                <c:pt idx="6">
                  <c:v>2018Q3</c:v>
                </c:pt>
                <c:pt idx="7">
                  <c:v>2018Q4</c:v>
                </c:pt>
                <c:pt idx="8">
                  <c:v>2019Q1</c:v>
                </c:pt>
                <c:pt idx="9">
                  <c:v>2019Q2</c:v>
                </c:pt>
                <c:pt idx="10">
                  <c:v>2019Q3</c:v>
                </c:pt>
                <c:pt idx="11">
                  <c:v>2019Q4</c:v>
                </c:pt>
                <c:pt idx="12">
                  <c:v>2020Q1</c:v>
                </c:pt>
                <c:pt idx="13">
                  <c:v>2020Q2</c:v>
                </c:pt>
                <c:pt idx="14">
                  <c:v>2020Q3</c:v>
                </c:pt>
                <c:pt idx="15">
                  <c:v>2020Q4</c:v>
                </c:pt>
                <c:pt idx="16">
                  <c:v>2021Q1</c:v>
                </c:pt>
                <c:pt idx="17">
                  <c:v>2021Q2</c:v>
                </c:pt>
                <c:pt idx="18">
                  <c:v>2021Q3</c:v>
                </c:pt>
                <c:pt idx="19">
                  <c:v>2021Q4</c:v>
                </c:pt>
                <c:pt idx="20">
                  <c:v>2022Q1</c:v>
                </c:pt>
                <c:pt idx="21">
                  <c:v>2022Q2</c:v>
                </c:pt>
                <c:pt idx="22">
                  <c:v>2022Q3</c:v>
                </c:pt>
                <c:pt idx="23">
                  <c:v>2022Q4</c:v>
                </c:pt>
                <c:pt idx="24">
                  <c:v>2023Q1</c:v>
                </c:pt>
                <c:pt idx="25">
                  <c:v>2023Q2</c:v>
                </c:pt>
                <c:pt idx="26">
                  <c:v>2023Q3</c:v>
                </c:pt>
                <c:pt idx="27">
                  <c:v>2023Q4</c:v>
                </c:pt>
                <c:pt idx="28">
                  <c:v>2024Q1</c:v>
                </c:pt>
                <c:pt idx="29">
                  <c:v>2024Q2</c:v>
                </c:pt>
                <c:pt idx="30">
                  <c:v>2024Q3</c:v>
                </c:pt>
                <c:pt idx="31">
                  <c:v>2024Q4</c:v>
                </c:pt>
              </c:strCache>
            </c:strRef>
          </c:cat>
          <c:val>
            <c:numRef>
              <c:f>INFLATION!$B$7:$AG$7</c:f>
              <c:numCache>
                <c:formatCode>0.0</c:formatCode>
                <c:ptCount val="32"/>
                <c:pt idx="0">
                  <c:v>130.19551595528262</c:v>
                </c:pt>
                <c:pt idx="1">
                  <c:v>129.65557858673188</c:v>
                </c:pt>
                <c:pt idx="2">
                  <c:v>128.80331057769919</c:v>
                </c:pt>
                <c:pt idx="3">
                  <c:v>131.01387099835631</c:v>
                </c:pt>
                <c:pt idx="4">
                  <c:v>124.35470888673228</c:v>
                </c:pt>
                <c:pt idx="5">
                  <c:v>132.23449718457377</c:v>
                </c:pt>
                <c:pt idx="6">
                  <c:v>128.10181479820645</c:v>
                </c:pt>
                <c:pt idx="7">
                  <c:v>120.87250659089726</c:v>
                </c:pt>
                <c:pt idx="8">
                  <c:v>121.32927051791096</c:v>
                </c:pt>
                <c:pt idx="9">
                  <c:v>128.05876379480355</c:v>
                </c:pt>
                <c:pt idx="10">
                  <c:v>132.18686711999933</c:v>
                </c:pt>
                <c:pt idx="11">
                  <c:v>146.02281890995206</c:v>
                </c:pt>
                <c:pt idx="12">
                  <c:v>152.6948643249716</c:v>
                </c:pt>
                <c:pt idx="13">
                  <c:v>149.82549541250148</c:v>
                </c:pt>
                <c:pt idx="14">
                  <c:v>156.3583125988595</c:v>
                </c:pt>
                <c:pt idx="15">
                  <c:v>158.05465880796291</c:v>
                </c:pt>
                <c:pt idx="16">
                  <c:v>149.76855254266374</c:v>
                </c:pt>
                <c:pt idx="17">
                  <c:v>149.32940457202687</c:v>
                </c:pt>
                <c:pt idx="18">
                  <c:v>147.24837510809519</c:v>
                </c:pt>
                <c:pt idx="19">
                  <c:v>144.39984366736411</c:v>
                </c:pt>
                <c:pt idx="20">
                  <c:v>155.89028458977052</c:v>
                </c:pt>
                <c:pt idx="21">
                  <c:v>173.59597286520753</c:v>
                </c:pt>
                <c:pt idx="22">
                  <c:v>190.98545459332874</c:v>
                </c:pt>
                <c:pt idx="23">
                  <c:v>213.82254558363286</c:v>
                </c:pt>
                <c:pt idx="24">
                  <c:v>232.10641613757682</c:v>
                </c:pt>
                <c:pt idx="25">
                  <c:v>243.77157197063283</c:v>
                </c:pt>
                <c:pt idx="26">
                  <c:v>251.28007886951937</c:v>
                </c:pt>
                <c:pt idx="27">
                  <c:v>253.84253286609601</c:v>
                </c:pt>
                <c:pt idx="28">
                  <c:v>237.98010194220396</c:v>
                </c:pt>
                <c:pt idx="29">
                  <c:v>247.58577074876564</c:v>
                </c:pt>
                <c:pt idx="30">
                  <c:v>251.81239026995709</c:v>
                </c:pt>
                <c:pt idx="31">
                  <c:v>268.00738304490801</c:v>
                </c:pt>
              </c:numCache>
            </c:numRef>
          </c:val>
          <c:smooth val="1"/>
          <c:extLst>
            <c:ext xmlns:c16="http://schemas.microsoft.com/office/drawing/2014/chart" uri="{C3380CC4-5D6E-409C-BE32-E72D297353CC}">
              <c16:uniqueId val="{00000001-4655-431F-9656-3ACDEB015D11}"/>
            </c:ext>
          </c:extLst>
        </c:ser>
        <c:ser>
          <c:idx val="2"/>
          <c:order val="2"/>
          <c:tx>
            <c:strRef>
              <c:f>INFLATION!$A$8</c:f>
              <c:strCache>
                <c:ptCount val="1"/>
                <c:pt idx="0">
                  <c:v>core index</c:v>
                </c:pt>
              </c:strCache>
            </c:strRef>
          </c:tx>
          <c:spPr>
            <a:ln w="15875" cap="rnd">
              <a:solidFill>
                <a:schemeClr val="tx1"/>
              </a:solidFill>
              <a:round/>
            </a:ln>
            <a:effectLst/>
          </c:spPr>
          <c:marker>
            <c:symbol val="none"/>
          </c:marker>
          <c:cat>
            <c:strRef>
              <c:f>INFLATION!$B$5:$AG$5</c:f>
              <c:strCache>
                <c:ptCount val="32"/>
                <c:pt idx="0">
                  <c:v>2017Q1</c:v>
                </c:pt>
                <c:pt idx="1">
                  <c:v>2017Q2</c:v>
                </c:pt>
                <c:pt idx="2">
                  <c:v>2017Q3</c:v>
                </c:pt>
                <c:pt idx="3">
                  <c:v>2017Q4</c:v>
                </c:pt>
                <c:pt idx="4">
                  <c:v>2018Q1</c:v>
                </c:pt>
                <c:pt idx="5">
                  <c:v>2018Q2</c:v>
                </c:pt>
                <c:pt idx="6">
                  <c:v>2018Q3</c:v>
                </c:pt>
                <c:pt idx="7">
                  <c:v>2018Q4</c:v>
                </c:pt>
                <c:pt idx="8">
                  <c:v>2019Q1</c:v>
                </c:pt>
                <c:pt idx="9">
                  <c:v>2019Q2</c:v>
                </c:pt>
                <c:pt idx="10">
                  <c:v>2019Q3</c:v>
                </c:pt>
                <c:pt idx="11">
                  <c:v>2019Q4</c:v>
                </c:pt>
                <c:pt idx="12">
                  <c:v>2020Q1</c:v>
                </c:pt>
                <c:pt idx="13">
                  <c:v>2020Q2</c:v>
                </c:pt>
                <c:pt idx="14">
                  <c:v>2020Q3</c:v>
                </c:pt>
                <c:pt idx="15">
                  <c:v>2020Q4</c:v>
                </c:pt>
                <c:pt idx="16">
                  <c:v>2021Q1</c:v>
                </c:pt>
                <c:pt idx="17">
                  <c:v>2021Q2</c:v>
                </c:pt>
                <c:pt idx="18">
                  <c:v>2021Q3</c:v>
                </c:pt>
                <c:pt idx="19">
                  <c:v>2021Q4</c:v>
                </c:pt>
                <c:pt idx="20">
                  <c:v>2022Q1</c:v>
                </c:pt>
                <c:pt idx="21">
                  <c:v>2022Q2</c:v>
                </c:pt>
                <c:pt idx="22">
                  <c:v>2022Q3</c:v>
                </c:pt>
                <c:pt idx="23">
                  <c:v>2022Q4</c:v>
                </c:pt>
                <c:pt idx="24">
                  <c:v>2023Q1</c:v>
                </c:pt>
                <c:pt idx="25">
                  <c:v>2023Q2</c:v>
                </c:pt>
                <c:pt idx="26">
                  <c:v>2023Q3</c:v>
                </c:pt>
                <c:pt idx="27">
                  <c:v>2023Q4</c:v>
                </c:pt>
                <c:pt idx="28">
                  <c:v>2024Q1</c:v>
                </c:pt>
                <c:pt idx="29">
                  <c:v>2024Q2</c:v>
                </c:pt>
                <c:pt idx="30">
                  <c:v>2024Q3</c:v>
                </c:pt>
                <c:pt idx="31">
                  <c:v>2024Q4</c:v>
                </c:pt>
              </c:strCache>
            </c:strRef>
          </c:cat>
          <c:val>
            <c:numRef>
              <c:f>INFLATION!$B$8:$AG$8</c:f>
              <c:numCache>
                <c:formatCode>0.0</c:formatCode>
                <c:ptCount val="32"/>
                <c:pt idx="0">
                  <c:v>110.20848792105016</c:v>
                </c:pt>
                <c:pt idx="1">
                  <c:v>111.07432475205816</c:v>
                </c:pt>
                <c:pt idx="2">
                  <c:v>111.14268080896484</c:v>
                </c:pt>
                <c:pt idx="3">
                  <c:v>111.68852882551927</c:v>
                </c:pt>
                <c:pt idx="4">
                  <c:v>112.07777550813796</c:v>
                </c:pt>
                <c:pt idx="5">
                  <c:v>113.07297076330069</c:v>
                </c:pt>
                <c:pt idx="6">
                  <c:v>112.82507411349705</c:v>
                </c:pt>
                <c:pt idx="7">
                  <c:v>113.21014054513363</c:v>
                </c:pt>
                <c:pt idx="8">
                  <c:v>113.90608188941938</c:v>
                </c:pt>
                <c:pt idx="9">
                  <c:v>114.91122351633352</c:v>
                </c:pt>
                <c:pt idx="10">
                  <c:v>115.82592706222816</c:v>
                </c:pt>
                <c:pt idx="11">
                  <c:v>116.94120718070515</c:v>
                </c:pt>
                <c:pt idx="12">
                  <c:v>118.7842185076682</c:v>
                </c:pt>
                <c:pt idx="13">
                  <c:v>122.57080589365438</c:v>
                </c:pt>
                <c:pt idx="14">
                  <c:v>124.12217087104757</c:v>
                </c:pt>
                <c:pt idx="15">
                  <c:v>121.84093919618401</c:v>
                </c:pt>
                <c:pt idx="16">
                  <c:v>122.64271471445072</c:v>
                </c:pt>
                <c:pt idx="17">
                  <c:v>123.96793854574405</c:v>
                </c:pt>
                <c:pt idx="18">
                  <c:v>124.47800318739557</c:v>
                </c:pt>
                <c:pt idx="19">
                  <c:v>126.12677245175581</c:v>
                </c:pt>
                <c:pt idx="20">
                  <c:v>129.83837197143237</c:v>
                </c:pt>
                <c:pt idx="21">
                  <c:v>136.87801777592816</c:v>
                </c:pt>
                <c:pt idx="22">
                  <c:v>140.58529718042965</c:v>
                </c:pt>
                <c:pt idx="23">
                  <c:v>144.89292359617778</c:v>
                </c:pt>
                <c:pt idx="24">
                  <c:v>147.93067264878835</c:v>
                </c:pt>
                <c:pt idx="25">
                  <c:v>150.16492141443476</c:v>
                </c:pt>
                <c:pt idx="26">
                  <c:v>152.41212052661123</c:v>
                </c:pt>
                <c:pt idx="27">
                  <c:v>154.53816162816176</c:v>
                </c:pt>
                <c:pt idx="28">
                  <c:v>156.15770608940178</c:v>
                </c:pt>
                <c:pt idx="29">
                  <c:v>159.69797493443983</c:v>
                </c:pt>
                <c:pt idx="30">
                  <c:v>160.53952787261537</c:v>
                </c:pt>
                <c:pt idx="31">
                  <c:v>162.94123411695162</c:v>
                </c:pt>
              </c:numCache>
            </c:numRef>
          </c:val>
          <c:smooth val="1"/>
          <c:extLst>
            <c:ext xmlns:c16="http://schemas.microsoft.com/office/drawing/2014/chart" uri="{C3380CC4-5D6E-409C-BE32-E72D297353CC}">
              <c16:uniqueId val="{00000002-4655-431F-9656-3ACDEB015D11}"/>
            </c:ext>
          </c:extLst>
        </c:ser>
        <c:ser>
          <c:idx val="3"/>
          <c:order val="3"/>
          <c:tx>
            <c:strRef>
              <c:f>INFLATION!$A$9</c:f>
              <c:strCache>
                <c:ptCount val="1"/>
                <c:pt idx="0">
                  <c:v>Energy index </c:v>
                </c:pt>
              </c:strCache>
            </c:strRef>
          </c:tx>
          <c:spPr>
            <a:ln w="15875" cap="rnd">
              <a:solidFill>
                <a:srgbClr val="FFC000"/>
              </a:solidFill>
              <a:round/>
            </a:ln>
            <a:effectLst/>
          </c:spPr>
          <c:marker>
            <c:symbol val="none"/>
          </c:marker>
          <c:cat>
            <c:strRef>
              <c:f>INFLATION!$B$5:$AG$5</c:f>
              <c:strCache>
                <c:ptCount val="32"/>
                <c:pt idx="0">
                  <c:v>2017Q1</c:v>
                </c:pt>
                <c:pt idx="1">
                  <c:v>2017Q2</c:v>
                </c:pt>
                <c:pt idx="2">
                  <c:v>2017Q3</c:v>
                </c:pt>
                <c:pt idx="3">
                  <c:v>2017Q4</c:v>
                </c:pt>
                <c:pt idx="4">
                  <c:v>2018Q1</c:v>
                </c:pt>
                <c:pt idx="5">
                  <c:v>2018Q2</c:v>
                </c:pt>
                <c:pt idx="6">
                  <c:v>2018Q3</c:v>
                </c:pt>
                <c:pt idx="7">
                  <c:v>2018Q4</c:v>
                </c:pt>
                <c:pt idx="8">
                  <c:v>2019Q1</c:v>
                </c:pt>
                <c:pt idx="9">
                  <c:v>2019Q2</c:v>
                </c:pt>
                <c:pt idx="10">
                  <c:v>2019Q3</c:v>
                </c:pt>
                <c:pt idx="11">
                  <c:v>2019Q4</c:v>
                </c:pt>
                <c:pt idx="12">
                  <c:v>2020Q1</c:v>
                </c:pt>
                <c:pt idx="13">
                  <c:v>2020Q2</c:v>
                </c:pt>
                <c:pt idx="14">
                  <c:v>2020Q3</c:v>
                </c:pt>
                <c:pt idx="15">
                  <c:v>2020Q4</c:v>
                </c:pt>
                <c:pt idx="16">
                  <c:v>2021Q1</c:v>
                </c:pt>
                <c:pt idx="17">
                  <c:v>2021Q2</c:v>
                </c:pt>
                <c:pt idx="18">
                  <c:v>2021Q3</c:v>
                </c:pt>
                <c:pt idx="19">
                  <c:v>2021Q4</c:v>
                </c:pt>
                <c:pt idx="20">
                  <c:v>2022Q1</c:v>
                </c:pt>
                <c:pt idx="21">
                  <c:v>2022Q2</c:v>
                </c:pt>
                <c:pt idx="22">
                  <c:v>2022Q3</c:v>
                </c:pt>
                <c:pt idx="23">
                  <c:v>2022Q4</c:v>
                </c:pt>
                <c:pt idx="24">
                  <c:v>2023Q1</c:v>
                </c:pt>
                <c:pt idx="25">
                  <c:v>2023Q2</c:v>
                </c:pt>
                <c:pt idx="26">
                  <c:v>2023Q3</c:v>
                </c:pt>
                <c:pt idx="27">
                  <c:v>2023Q4</c:v>
                </c:pt>
                <c:pt idx="28">
                  <c:v>2024Q1</c:v>
                </c:pt>
                <c:pt idx="29">
                  <c:v>2024Q2</c:v>
                </c:pt>
                <c:pt idx="30">
                  <c:v>2024Q3</c:v>
                </c:pt>
                <c:pt idx="31">
                  <c:v>2024Q4</c:v>
                </c:pt>
              </c:strCache>
            </c:strRef>
          </c:cat>
          <c:val>
            <c:numRef>
              <c:f>INFLATION!$B$9:$AG$9</c:f>
              <c:numCache>
                <c:formatCode>0.0</c:formatCode>
                <c:ptCount val="32"/>
                <c:pt idx="0">
                  <c:v>108.08012150151741</c:v>
                </c:pt>
                <c:pt idx="1">
                  <c:v>111.56074341389144</c:v>
                </c:pt>
                <c:pt idx="2">
                  <c:v>110.5855581197394</c:v>
                </c:pt>
                <c:pt idx="3">
                  <c:v>112.60598694464933</c:v>
                </c:pt>
                <c:pt idx="4">
                  <c:v>115.92966460718519</c:v>
                </c:pt>
                <c:pt idx="5">
                  <c:v>125.69890019625454</c:v>
                </c:pt>
                <c:pt idx="6">
                  <c:v>122.71207924144271</c:v>
                </c:pt>
                <c:pt idx="7">
                  <c:v>121.99976757143811</c:v>
                </c:pt>
                <c:pt idx="8">
                  <c:v>118.19867051112566</c:v>
                </c:pt>
                <c:pt idx="9">
                  <c:v>120.56163063983848</c:v>
                </c:pt>
                <c:pt idx="10">
                  <c:v>120.45951142762642</c:v>
                </c:pt>
                <c:pt idx="11">
                  <c:v>122.66946276134581</c:v>
                </c:pt>
                <c:pt idx="12">
                  <c:v>129.03807584986052</c:v>
                </c:pt>
                <c:pt idx="13">
                  <c:v>133.97142264606262</c:v>
                </c:pt>
                <c:pt idx="14">
                  <c:v>126.78663497663347</c:v>
                </c:pt>
                <c:pt idx="15">
                  <c:v>129.6843615122846</c:v>
                </c:pt>
                <c:pt idx="16">
                  <c:v>130.63824132118054</c:v>
                </c:pt>
                <c:pt idx="17">
                  <c:v>131.87457303678474</c:v>
                </c:pt>
                <c:pt idx="18">
                  <c:v>131.68983446664106</c:v>
                </c:pt>
                <c:pt idx="19">
                  <c:v>134.10651941325099</c:v>
                </c:pt>
                <c:pt idx="20">
                  <c:v>144.87166106629323</c:v>
                </c:pt>
                <c:pt idx="21">
                  <c:v>156.54130299012601</c:v>
                </c:pt>
                <c:pt idx="22">
                  <c:v>156.56776342088918</c:v>
                </c:pt>
                <c:pt idx="23">
                  <c:v>162.59528155143195</c:v>
                </c:pt>
                <c:pt idx="24">
                  <c:v>164.30892409229151</c:v>
                </c:pt>
                <c:pt idx="25">
                  <c:v>164.46045459001036</c:v>
                </c:pt>
                <c:pt idx="26">
                  <c:v>161.85415359622746</c:v>
                </c:pt>
                <c:pt idx="27">
                  <c:v>166.28727525122528</c:v>
                </c:pt>
                <c:pt idx="28">
                  <c:v>168.8107394218969</c:v>
                </c:pt>
                <c:pt idx="29">
                  <c:v>171.8536801118029</c:v>
                </c:pt>
                <c:pt idx="30">
                  <c:v>169.90703189672342</c:v>
                </c:pt>
                <c:pt idx="31">
                  <c:v>168.21872116472969</c:v>
                </c:pt>
              </c:numCache>
            </c:numRef>
          </c:val>
          <c:smooth val="1"/>
          <c:extLst>
            <c:ext xmlns:c16="http://schemas.microsoft.com/office/drawing/2014/chart" uri="{C3380CC4-5D6E-409C-BE32-E72D297353CC}">
              <c16:uniqueId val="{00000003-4655-431F-9656-3ACDEB015D11}"/>
            </c:ext>
          </c:extLst>
        </c:ser>
        <c:dLbls>
          <c:showLegendKey val="0"/>
          <c:showVal val="0"/>
          <c:showCatName val="0"/>
          <c:showSerName val="0"/>
          <c:showPercent val="0"/>
          <c:showBubbleSize val="0"/>
        </c:dLbls>
        <c:smooth val="0"/>
        <c:axId val="1411638383"/>
        <c:axId val="1411638863"/>
      </c:lineChart>
      <c:catAx>
        <c:axId val="141163838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ysClr val="windowText" lastClr="000000"/>
                </a:solidFill>
                <a:latin typeface="+mn-lt"/>
                <a:ea typeface="+mn-ea"/>
                <a:cs typeface="+mn-cs"/>
              </a:defRPr>
            </a:pPr>
            <a:endParaRPr lang="en-US"/>
          </a:p>
        </c:txPr>
        <c:crossAx val="1411638863"/>
        <c:crosses val="autoZero"/>
        <c:auto val="1"/>
        <c:lblAlgn val="ctr"/>
        <c:lblOffset val="100"/>
        <c:noMultiLvlLbl val="0"/>
      </c:catAx>
      <c:valAx>
        <c:axId val="1411638863"/>
        <c:scaling>
          <c:orientation val="minMax"/>
        </c:scaling>
        <c:delete val="0"/>
        <c:axPos val="l"/>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800" b="0" i="0" u="none" strike="noStrike" kern="1200" baseline="0">
                <a:solidFill>
                  <a:sysClr val="windowText" lastClr="000000"/>
                </a:solidFill>
                <a:latin typeface="+mn-lt"/>
                <a:ea typeface="+mn-ea"/>
                <a:cs typeface="+mn-cs"/>
              </a:defRPr>
            </a:pPr>
            <a:endParaRPr lang="en-US"/>
          </a:p>
        </c:txPr>
        <c:crossAx val="1411638383"/>
        <c:crosses val="autoZero"/>
        <c:crossBetween val="between"/>
      </c:valAx>
      <c:spPr>
        <a:noFill/>
        <a:ln>
          <a:noFill/>
        </a:ln>
        <a:effectLst/>
      </c:spPr>
    </c:plotArea>
    <c:legend>
      <c:legendPos val="b"/>
      <c:layout>
        <c:manualLayout>
          <c:xMode val="edge"/>
          <c:yMode val="edge"/>
          <c:x val="6.49934312570455E-2"/>
          <c:y val="0.87235504095009753"/>
          <c:w val="0.85278997821720093"/>
          <c:h val="0.10274846561771832"/>
        </c:manualLayout>
      </c:layout>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10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sz="1100">
                <a:solidFill>
                  <a:sysClr val="windowText" lastClr="000000"/>
                </a:solidFill>
                <a:latin typeface="Times New Roman" panose="02020603050405020304" pitchFamily="18" charset="0"/>
                <a:cs typeface="Times New Roman" panose="02020603050405020304" pitchFamily="18" charset="0"/>
              </a:rPr>
              <a:t>Inflation</a:t>
            </a:r>
          </a:p>
        </c:rich>
      </c:tx>
      <c:overlay val="0"/>
      <c:spPr>
        <a:noFill/>
        <a:ln>
          <a:noFill/>
        </a:ln>
        <a:effectLst/>
      </c:spPr>
      <c:txPr>
        <a:bodyPr rot="0" spcFirstLastPara="1" vertOverflow="ellipsis" vert="horz" wrap="square" anchor="ctr" anchorCtr="1"/>
        <a:lstStyle/>
        <a:p>
          <a:pPr>
            <a:defRPr sz="110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lineChart>
        <c:grouping val="standard"/>
        <c:varyColors val="0"/>
        <c:ser>
          <c:idx val="0"/>
          <c:order val="0"/>
          <c:tx>
            <c:strRef>
              <c:f>INFLATION!$A$11</c:f>
              <c:strCache>
                <c:ptCount val="1"/>
                <c:pt idx="0">
                  <c:v>core </c:v>
                </c:pt>
              </c:strCache>
            </c:strRef>
          </c:tx>
          <c:spPr>
            <a:ln w="25400" cap="rnd">
              <a:solidFill>
                <a:sysClr val="windowText" lastClr="000000"/>
              </a:solidFill>
              <a:round/>
            </a:ln>
            <a:effectLst/>
          </c:spPr>
          <c:marker>
            <c:symbol val="none"/>
          </c:marker>
          <c:cat>
            <c:strRef>
              <c:f>INFLATION!$B$5:$AG$5</c:f>
              <c:strCache>
                <c:ptCount val="32"/>
                <c:pt idx="0">
                  <c:v>2017Q1</c:v>
                </c:pt>
                <c:pt idx="1">
                  <c:v>2017Q2</c:v>
                </c:pt>
                <c:pt idx="2">
                  <c:v>2017Q3</c:v>
                </c:pt>
                <c:pt idx="3">
                  <c:v>2017Q4</c:v>
                </c:pt>
                <c:pt idx="4">
                  <c:v>2018Q1</c:v>
                </c:pt>
                <c:pt idx="5">
                  <c:v>2018Q2</c:v>
                </c:pt>
                <c:pt idx="6">
                  <c:v>2018Q3</c:v>
                </c:pt>
                <c:pt idx="7">
                  <c:v>2018Q4</c:v>
                </c:pt>
                <c:pt idx="8">
                  <c:v>2019Q1</c:v>
                </c:pt>
                <c:pt idx="9">
                  <c:v>2019Q2</c:v>
                </c:pt>
                <c:pt idx="10">
                  <c:v>2019Q3</c:v>
                </c:pt>
                <c:pt idx="11">
                  <c:v>2019Q4</c:v>
                </c:pt>
                <c:pt idx="12">
                  <c:v>2020Q1</c:v>
                </c:pt>
                <c:pt idx="13">
                  <c:v>2020Q2</c:v>
                </c:pt>
                <c:pt idx="14">
                  <c:v>2020Q3</c:v>
                </c:pt>
                <c:pt idx="15">
                  <c:v>2020Q4</c:v>
                </c:pt>
                <c:pt idx="16">
                  <c:v>2021Q1</c:v>
                </c:pt>
                <c:pt idx="17">
                  <c:v>2021Q2</c:v>
                </c:pt>
                <c:pt idx="18">
                  <c:v>2021Q3</c:v>
                </c:pt>
                <c:pt idx="19">
                  <c:v>2021Q4</c:v>
                </c:pt>
                <c:pt idx="20">
                  <c:v>2022Q1</c:v>
                </c:pt>
                <c:pt idx="21">
                  <c:v>2022Q2</c:v>
                </c:pt>
                <c:pt idx="22">
                  <c:v>2022Q3</c:v>
                </c:pt>
                <c:pt idx="23">
                  <c:v>2022Q4</c:v>
                </c:pt>
                <c:pt idx="24">
                  <c:v>2023Q1</c:v>
                </c:pt>
                <c:pt idx="25">
                  <c:v>2023Q2</c:v>
                </c:pt>
                <c:pt idx="26">
                  <c:v>2023Q3</c:v>
                </c:pt>
                <c:pt idx="27">
                  <c:v>2023Q4</c:v>
                </c:pt>
                <c:pt idx="28">
                  <c:v>2024Q1</c:v>
                </c:pt>
                <c:pt idx="29">
                  <c:v>2024Q2</c:v>
                </c:pt>
                <c:pt idx="30">
                  <c:v>2024Q3</c:v>
                </c:pt>
                <c:pt idx="31">
                  <c:v>2024Q4</c:v>
                </c:pt>
              </c:strCache>
            </c:strRef>
          </c:cat>
          <c:val>
            <c:numRef>
              <c:f>INFLATION!$B$11:$AG$11</c:f>
              <c:numCache>
                <c:formatCode>0.0%</c:formatCode>
                <c:ptCount val="32"/>
                <c:pt idx="0">
                  <c:v>5.4968032943358759E-2</c:v>
                </c:pt>
                <c:pt idx="1">
                  <c:v>4.5984891791154135E-2</c:v>
                </c:pt>
                <c:pt idx="2">
                  <c:v>3.1447030734740679E-2</c:v>
                </c:pt>
                <c:pt idx="3">
                  <c:v>2.5143211598469328E-2</c:v>
                </c:pt>
                <c:pt idx="4">
                  <c:v>1.6964635630031772E-2</c:v>
                </c:pt>
                <c:pt idx="5">
                  <c:v>1.7997678437070341E-2</c:v>
                </c:pt>
                <c:pt idx="6">
                  <c:v>1.5138100931745724E-2</c:v>
                </c:pt>
                <c:pt idx="7">
                  <c:v>1.3623390708456565E-2</c:v>
                </c:pt>
                <c:pt idx="8">
                  <c:v>1.6311466444983862E-2</c:v>
                </c:pt>
                <c:pt idx="9">
                  <c:v>1.6258902854680974E-2</c:v>
                </c:pt>
                <c:pt idx="10">
                  <c:v>2.6597818316190791E-2</c:v>
                </c:pt>
                <c:pt idx="11">
                  <c:v>3.2953190020601784E-2</c:v>
                </c:pt>
                <c:pt idx="12">
                  <c:v>4.2823968637851172E-2</c:v>
                </c:pt>
                <c:pt idx="13">
                  <c:v>6.6621164584083889E-2</c:v>
                </c:pt>
                <c:pt idx="14">
                  <c:v>7.162754144467505E-2</c:v>
                </c:pt>
                <c:pt idx="15">
                  <c:v>4.1927804995162278E-2</c:v>
                </c:pt>
                <c:pt idx="16">
                  <c:v>3.2485202591970803E-2</c:v>
                </c:pt>
                <c:pt idx="17">
                  <c:v>1.1651983943363309E-2</c:v>
                </c:pt>
                <c:pt idx="18">
                  <c:v>2.8676645144497526E-3</c:v>
                </c:pt>
                <c:pt idx="19">
                  <c:v>3.5192402681253419E-2</c:v>
                </c:pt>
                <c:pt idx="20">
                  <c:v>5.8627877818139273E-2</c:v>
                </c:pt>
                <c:pt idx="21">
                  <c:v>0.10412567392892957</c:v>
                </c:pt>
                <c:pt idx="22">
                  <c:v>0.12939028639356573</c:v>
                </c:pt>
                <c:pt idx="23">
                  <c:v>0.14877323599969694</c:v>
                </c:pt>
                <c:pt idx="24">
                  <c:v>0.13954129908858715</c:v>
                </c:pt>
                <c:pt idx="25">
                  <c:v>9.7184657384882689E-2</c:v>
                </c:pt>
                <c:pt idx="26">
                  <c:v>8.413025001690122E-2</c:v>
                </c:pt>
                <c:pt idx="27">
                  <c:v>6.6618732313654824E-2</c:v>
                </c:pt>
                <c:pt idx="28">
                  <c:v>5.560573985814421E-2</c:v>
                </c:pt>
                <c:pt idx="29">
                  <c:v>6.3491401880510764E-2</c:v>
                </c:pt>
                <c:pt idx="30">
                  <c:v>5.3337539187386117E-2</c:v>
                </c:pt>
                <c:pt idx="31">
                  <c:v>5.4373948511425706E-2</c:v>
                </c:pt>
              </c:numCache>
            </c:numRef>
          </c:val>
          <c:smooth val="1"/>
          <c:extLst>
            <c:ext xmlns:c16="http://schemas.microsoft.com/office/drawing/2014/chart" uri="{C3380CC4-5D6E-409C-BE32-E72D297353CC}">
              <c16:uniqueId val="{00000000-3D08-491C-B942-6A35D2B695C1}"/>
            </c:ext>
          </c:extLst>
        </c:ser>
        <c:ser>
          <c:idx val="1"/>
          <c:order val="1"/>
          <c:tx>
            <c:strRef>
              <c:f>INFLATION!$A$12</c:f>
              <c:strCache>
                <c:ptCount val="1"/>
                <c:pt idx="0">
                  <c:v>Food </c:v>
                </c:pt>
              </c:strCache>
            </c:strRef>
          </c:tx>
          <c:spPr>
            <a:ln w="25400" cap="rnd">
              <a:solidFill>
                <a:srgbClr val="C00000"/>
              </a:solidFill>
              <a:round/>
            </a:ln>
            <a:effectLst/>
          </c:spPr>
          <c:marker>
            <c:symbol val="none"/>
          </c:marker>
          <c:cat>
            <c:strRef>
              <c:f>INFLATION!$B$5:$AG$5</c:f>
              <c:strCache>
                <c:ptCount val="32"/>
                <c:pt idx="0">
                  <c:v>2017Q1</c:v>
                </c:pt>
                <c:pt idx="1">
                  <c:v>2017Q2</c:v>
                </c:pt>
                <c:pt idx="2">
                  <c:v>2017Q3</c:v>
                </c:pt>
                <c:pt idx="3">
                  <c:v>2017Q4</c:v>
                </c:pt>
                <c:pt idx="4">
                  <c:v>2018Q1</c:v>
                </c:pt>
                <c:pt idx="5">
                  <c:v>2018Q2</c:v>
                </c:pt>
                <c:pt idx="6">
                  <c:v>2018Q3</c:v>
                </c:pt>
                <c:pt idx="7">
                  <c:v>2018Q4</c:v>
                </c:pt>
                <c:pt idx="8">
                  <c:v>2019Q1</c:v>
                </c:pt>
                <c:pt idx="9">
                  <c:v>2019Q2</c:v>
                </c:pt>
                <c:pt idx="10">
                  <c:v>2019Q3</c:v>
                </c:pt>
                <c:pt idx="11">
                  <c:v>2019Q4</c:v>
                </c:pt>
                <c:pt idx="12">
                  <c:v>2020Q1</c:v>
                </c:pt>
                <c:pt idx="13">
                  <c:v>2020Q2</c:v>
                </c:pt>
                <c:pt idx="14">
                  <c:v>2020Q3</c:v>
                </c:pt>
                <c:pt idx="15">
                  <c:v>2020Q4</c:v>
                </c:pt>
                <c:pt idx="16">
                  <c:v>2021Q1</c:v>
                </c:pt>
                <c:pt idx="17">
                  <c:v>2021Q2</c:v>
                </c:pt>
                <c:pt idx="18">
                  <c:v>2021Q3</c:v>
                </c:pt>
                <c:pt idx="19">
                  <c:v>2021Q4</c:v>
                </c:pt>
                <c:pt idx="20">
                  <c:v>2022Q1</c:v>
                </c:pt>
                <c:pt idx="21">
                  <c:v>2022Q2</c:v>
                </c:pt>
                <c:pt idx="22">
                  <c:v>2022Q3</c:v>
                </c:pt>
                <c:pt idx="23">
                  <c:v>2022Q4</c:v>
                </c:pt>
                <c:pt idx="24">
                  <c:v>2023Q1</c:v>
                </c:pt>
                <c:pt idx="25">
                  <c:v>2023Q2</c:v>
                </c:pt>
                <c:pt idx="26">
                  <c:v>2023Q3</c:v>
                </c:pt>
                <c:pt idx="27">
                  <c:v>2023Q4</c:v>
                </c:pt>
                <c:pt idx="28">
                  <c:v>2024Q1</c:v>
                </c:pt>
                <c:pt idx="29">
                  <c:v>2024Q2</c:v>
                </c:pt>
                <c:pt idx="30">
                  <c:v>2024Q3</c:v>
                </c:pt>
                <c:pt idx="31">
                  <c:v>2024Q4</c:v>
                </c:pt>
              </c:strCache>
            </c:strRef>
          </c:cat>
          <c:val>
            <c:numRef>
              <c:f>INFLATION!$B$12:$AG$12</c:f>
              <c:numCache>
                <c:formatCode>0.0%</c:formatCode>
                <c:ptCount val="32"/>
                <c:pt idx="0">
                  <c:v>0.18402601997513846</c:v>
                </c:pt>
                <c:pt idx="1">
                  <c:v>0.12764189373458126</c:v>
                </c:pt>
                <c:pt idx="2">
                  <c:v>4.5530238624625907E-2</c:v>
                </c:pt>
                <c:pt idx="3">
                  <c:v>-5.812987977158901E-3</c:v>
                </c:pt>
                <c:pt idx="4">
                  <c:v>-4.4853374713211124E-2</c:v>
                </c:pt>
                <c:pt idx="5">
                  <c:v>2.0647318066311482E-2</c:v>
                </c:pt>
                <c:pt idx="6">
                  <c:v>-4.6486683230128056E-3</c:v>
                </c:pt>
                <c:pt idx="7">
                  <c:v>-7.5215652896104032E-2</c:v>
                </c:pt>
                <c:pt idx="8">
                  <c:v>-2.4433204720028967E-2</c:v>
                </c:pt>
                <c:pt idx="9">
                  <c:v>-3.1541511974766623E-2</c:v>
                </c:pt>
                <c:pt idx="10">
                  <c:v>3.1664028771237751E-2</c:v>
                </c:pt>
                <c:pt idx="11">
                  <c:v>0.2089345553205825</c:v>
                </c:pt>
                <c:pt idx="12">
                  <c:v>0.25840930056364325</c:v>
                </c:pt>
                <c:pt idx="13">
                  <c:v>0.17025763981026834</c:v>
                </c:pt>
                <c:pt idx="14">
                  <c:v>0.18318209889510406</c:v>
                </c:pt>
                <c:pt idx="15">
                  <c:v>8.3496383578880229E-2</c:v>
                </c:pt>
                <c:pt idx="16">
                  <c:v>-1.8811975423822219E-2</c:v>
                </c:pt>
                <c:pt idx="17">
                  <c:v>-3.4221670455307773E-3</c:v>
                </c:pt>
                <c:pt idx="18">
                  <c:v>-5.7814803984867748E-2</c:v>
                </c:pt>
                <c:pt idx="19">
                  <c:v>-8.6424966777665979E-2</c:v>
                </c:pt>
                <c:pt idx="20">
                  <c:v>4.0850612616416315E-2</c:v>
                </c:pt>
                <c:pt idx="21">
                  <c:v>0.16378851164489508</c:v>
                </c:pt>
                <c:pt idx="22">
                  <c:v>0.29673443768508995</c:v>
                </c:pt>
                <c:pt idx="23">
                  <c:v>0.48193041272102427</c:v>
                </c:pt>
                <c:pt idx="24">
                  <c:v>0.48798809935655268</c:v>
                </c:pt>
                <c:pt idx="25">
                  <c:v>0.40541841131771394</c:v>
                </c:pt>
                <c:pt idx="26">
                  <c:v>0.3143760693907367</c:v>
                </c:pt>
                <c:pt idx="27">
                  <c:v>0.18662929933305095</c:v>
                </c:pt>
                <c:pt idx="28">
                  <c:v>2.6308897919596858E-2</c:v>
                </c:pt>
                <c:pt idx="29">
                  <c:v>1.6145050384618997E-2</c:v>
                </c:pt>
                <c:pt idx="30">
                  <c:v>4.2201181031901918E-3</c:v>
                </c:pt>
                <c:pt idx="31">
                  <c:v>5.8473201630255676E-2</c:v>
                </c:pt>
              </c:numCache>
            </c:numRef>
          </c:val>
          <c:smooth val="1"/>
          <c:extLst>
            <c:ext xmlns:c16="http://schemas.microsoft.com/office/drawing/2014/chart" uri="{C3380CC4-5D6E-409C-BE32-E72D297353CC}">
              <c16:uniqueId val="{00000001-3D08-491C-B942-6A35D2B695C1}"/>
            </c:ext>
          </c:extLst>
        </c:ser>
        <c:ser>
          <c:idx val="2"/>
          <c:order val="2"/>
          <c:tx>
            <c:strRef>
              <c:f>INFLATION!$A$13</c:f>
              <c:strCache>
                <c:ptCount val="1"/>
                <c:pt idx="0">
                  <c:v>Energy </c:v>
                </c:pt>
              </c:strCache>
            </c:strRef>
          </c:tx>
          <c:spPr>
            <a:ln w="25400" cap="rnd">
              <a:solidFill>
                <a:srgbClr val="FFC000"/>
              </a:solidFill>
              <a:round/>
            </a:ln>
            <a:effectLst/>
          </c:spPr>
          <c:marker>
            <c:symbol val="none"/>
          </c:marker>
          <c:cat>
            <c:strRef>
              <c:f>INFLATION!$B$5:$AG$5</c:f>
              <c:strCache>
                <c:ptCount val="32"/>
                <c:pt idx="0">
                  <c:v>2017Q1</c:v>
                </c:pt>
                <c:pt idx="1">
                  <c:v>2017Q2</c:v>
                </c:pt>
                <c:pt idx="2">
                  <c:v>2017Q3</c:v>
                </c:pt>
                <c:pt idx="3">
                  <c:v>2017Q4</c:v>
                </c:pt>
                <c:pt idx="4">
                  <c:v>2018Q1</c:v>
                </c:pt>
                <c:pt idx="5">
                  <c:v>2018Q2</c:v>
                </c:pt>
                <c:pt idx="6">
                  <c:v>2018Q3</c:v>
                </c:pt>
                <c:pt idx="7">
                  <c:v>2018Q4</c:v>
                </c:pt>
                <c:pt idx="8">
                  <c:v>2019Q1</c:v>
                </c:pt>
                <c:pt idx="9">
                  <c:v>2019Q2</c:v>
                </c:pt>
                <c:pt idx="10">
                  <c:v>2019Q3</c:v>
                </c:pt>
                <c:pt idx="11">
                  <c:v>2019Q4</c:v>
                </c:pt>
                <c:pt idx="12">
                  <c:v>2020Q1</c:v>
                </c:pt>
                <c:pt idx="13">
                  <c:v>2020Q2</c:v>
                </c:pt>
                <c:pt idx="14">
                  <c:v>2020Q3</c:v>
                </c:pt>
                <c:pt idx="15">
                  <c:v>2020Q4</c:v>
                </c:pt>
                <c:pt idx="16">
                  <c:v>2021Q1</c:v>
                </c:pt>
                <c:pt idx="17">
                  <c:v>2021Q2</c:v>
                </c:pt>
                <c:pt idx="18">
                  <c:v>2021Q3</c:v>
                </c:pt>
                <c:pt idx="19">
                  <c:v>2021Q4</c:v>
                </c:pt>
                <c:pt idx="20">
                  <c:v>2022Q1</c:v>
                </c:pt>
                <c:pt idx="21">
                  <c:v>2022Q2</c:v>
                </c:pt>
                <c:pt idx="22">
                  <c:v>2022Q3</c:v>
                </c:pt>
                <c:pt idx="23">
                  <c:v>2022Q4</c:v>
                </c:pt>
                <c:pt idx="24">
                  <c:v>2023Q1</c:v>
                </c:pt>
                <c:pt idx="25">
                  <c:v>2023Q2</c:v>
                </c:pt>
                <c:pt idx="26">
                  <c:v>2023Q3</c:v>
                </c:pt>
                <c:pt idx="27">
                  <c:v>2023Q4</c:v>
                </c:pt>
                <c:pt idx="28">
                  <c:v>2024Q1</c:v>
                </c:pt>
                <c:pt idx="29">
                  <c:v>2024Q2</c:v>
                </c:pt>
                <c:pt idx="30">
                  <c:v>2024Q3</c:v>
                </c:pt>
                <c:pt idx="31">
                  <c:v>2024Q4</c:v>
                </c:pt>
              </c:strCache>
            </c:strRef>
          </c:cat>
          <c:val>
            <c:numRef>
              <c:f>INFLATION!$B$13:$AG$13</c:f>
              <c:numCache>
                <c:formatCode>0.0%</c:formatCode>
                <c:ptCount val="32"/>
                <c:pt idx="0">
                  <c:v>4.2524522751079687E-2</c:v>
                </c:pt>
                <c:pt idx="1">
                  <c:v>5.2483052347346661E-2</c:v>
                </c:pt>
                <c:pt idx="2">
                  <c:v>3.5495841448293541E-2</c:v>
                </c:pt>
                <c:pt idx="3">
                  <c:v>6.3343311796630442E-2</c:v>
                </c:pt>
                <c:pt idx="4">
                  <c:v>7.2813902351240703E-2</c:v>
                </c:pt>
                <c:pt idx="5">
                  <c:v>0.12672381581779715</c:v>
                </c:pt>
                <c:pt idx="6">
                  <c:v>0.10963392175996141</c:v>
                </c:pt>
                <c:pt idx="7">
                  <c:v>8.3422664871178817E-2</c:v>
                </c:pt>
                <c:pt idx="8">
                  <c:v>1.9936343699621384E-2</c:v>
                </c:pt>
                <c:pt idx="9">
                  <c:v>-4.0627452577450852E-2</c:v>
                </c:pt>
                <c:pt idx="10">
                  <c:v>-1.821427034549335E-2</c:v>
                </c:pt>
                <c:pt idx="11">
                  <c:v>5.7406487121972605E-3</c:v>
                </c:pt>
                <c:pt idx="12">
                  <c:v>9.17236888502444E-2</c:v>
                </c:pt>
                <c:pt idx="13">
                  <c:v>0.11137660491611749</c:v>
                </c:pt>
                <c:pt idx="14">
                  <c:v>5.2475827917090635E-2</c:v>
                </c:pt>
                <c:pt idx="15">
                  <c:v>5.7333253638226278E-2</c:v>
                </c:pt>
                <c:pt idx="16">
                  <c:v>1.2724732045762003E-2</c:v>
                </c:pt>
                <c:pt idx="17">
                  <c:v>-1.4587928024259345E-2</c:v>
                </c:pt>
                <c:pt idx="18">
                  <c:v>3.8872896453478432E-2</c:v>
                </c:pt>
                <c:pt idx="19">
                  <c:v>3.4226775409608022E-2</c:v>
                </c:pt>
                <c:pt idx="20">
                  <c:v>0.10840701906563233</c:v>
                </c:pt>
                <c:pt idx="21">
                  <c:v>0.18710241255922733</c:v>
                </c:pt>
                <c:pt idx="22">
                  <c:v>0.18889503100635796</c:v>
                </c:pt>
                <c:pt idx="23">
                  <c:v>0.21250142606056924</c:v>
                </c:pt>
                <c:pt idx="24">
                  <c:v>0.13644985524273601</c:v>
                </c:pt>
                <c:pt idx="25">
                  <c:v>5.0616823657400799E-2</c:v>
                </c:pt>
                <c:pt idx="26">
                  <c:v>3.3790938643753009E-2</c:v>
                </c:pt>
                <c:pt idx="27">
                  <c:v>2.2684632795945941E-2</c:v>
                </c:pt>
                <c:pt idx="28">
                  <c:v>2.7344781705941495E-2</c:v>
                </c:pt>
                <c:pt idx="29">
                  <c:v>4.4946803953719083E-2</c:v>
                </c:pt>
                <c:pt idx="30">
                  <c:v>4.9886901316238554E-2</c:v>
                </c:pt>
                <c:pt idx="31">
                  <c:v>1.1790715782266536E-2</c:v>
                </c:pt>
              </c:numCache>
            </c:numRef>
          </c:val>
          <c:smooth val="1"/>
          <c:extLst>
            <c:ext xmlns:c16="http://schemas.microsoft.com/office/drawing/2014/chart" uri="{C3380CC4-5D6E-409C-BE32-E72D297353CC}">
              <c16:uniqueId val="{00000002-3D08-491C-B942-6A35D2B695C1}"/>
            </c:ext>
          </c:extLst>
        </c:ser>
        <c:ser>
          <c:idx val="3"/>
          <c:order val="3"/>
          <c:tx>
            <c:strRef>
              <c:f>INFLATION!$A$14</c:f>
              <c:strCache>
                <c:ptCount val="1"/>
                <c:pt idx="0">
                  <c:v>CPI</c:v>
                </c:pt>
              </c:strCache>
            </c:strRef>
          </c:tx>
          <c:spPr>
            <a:ln w="25400" cap="rnd">
              <a:solidFill>
                <a:srgbClr val="12D9EE"/>
              </a:solidFill>
              <a:round/>
            </a:ln>
            <a:effectLst/>
          </c:spPr>
          <c:marker>
            <c:symbol val="none"/>
          </c:marker>
          <c:cat>
            <c:strRef>
              <c:f>INFLATION!$B$5:$AG$5</c:f>
              <c:strCache>
                <c:ptCount val="32"/>
                <c:pt idx="0">
                  <c:v>2017Q1</c:v>
                </c:pt>
                <c:pt idx="1">
                  <c:v>2017Q2</c:v>
                </c:pt>
                <c:pt idx="2">
                  <c:v>2017Q3</c:v>
                </c:pt>
                <c:pt idx="3">
                  <c:v>2017Q4</c:v>
                </c:pt>
                <c:pt idx="4">
                  <c:v>2018Q1</c:v>
                </c:pt>
                <c:pt idx="5">
                  <c:v>2018Q2</c:v>
                </c:pt>
                <c:pt idx="6">
                  <c:v>2018Q3</c:v>
                </c:pt>
                <c:pt idx="7">
                  <c:v>2018Q4</c:v>
                </c:pt>
                <c:pt idx="8">
                  <c:v>2019Q1</c:v>
                </c:pt>
                <c:pt idx="9">
                  <c:v>2019Q2</c:v>
                </c:pt>
                <c:pt idx="10">
                  <c:v>2019Q3</c:v>
                </c:pt>
                <c:pt idx="11">
                  <c:v>2019Q4</c:v>
                </c:pt>
                <c:pt idx="12">
                  <c:v>2020Q1</c:v>
                </c:pt>
                <c:pt idx="13">
                  <c:v>2020Q2</c:v>
                </c:pt>
                <c:pt idx="14">
                  <c:v>2020Q3</c:v>
                </c:pt>
                <c:pt idx="15">
                  <c:v>2020Q4</c:v>
                </c:pt>
                <c:pt idx="16">
                  <c:v>2021Q1</c:v>
                </c:pt>
                <c:pt idx="17">
                  <c:v>2021Q2</c:v>
                </c:pt>
                <c:pt idx="18">
                  <c:v>2021Q3</c:v>
                </c:pt>
                <c:pt idx="19">
                  <c:v>2021Q4</c:v>
                </c:pt>
                <c:pt idx="20">
                  <c:v>2022Q1</c:v>
                </c:pt>
                <c:pt idx="21">
                  <c:v>2022Q2</c:v>
                </c:pt>
                <c:pt idx="22">
                  <c:v>2022Q3</c:v>
                </c:pt>
                <c:pt idx="23">
                  <c:v>2022Q4</c:v>
                </c:pt>
                <c:pt idx="24">
                  <c:v>2023Q1</c:v>
                </c:pt>
                <c:pt idx="25">
                  <c:v>2023Q2</c:v>
                </c:pt>
                <c:pt idx="26">
                  <c:v>2023Q3</c:v>
                </c:pt>
                <c:pt idx="27">
                  <c:v>2023Q4</c:v>
                </c:pt>
                <c:pt idx="28">
                  <c:v>2024Q1</c:v>
                </c:pt>
                <c:pt idx="29">
                  <c:v>2024Q2</c:v>
                </c:pt>
                <c:pt idx="30">
                  <c:v>2024Q3</c:v>
                </c:pt>
                <c:pt idx="31">
                  <c:v>2024Q4</c:v>
                </c:pt>
              </c:strCache>
            </c:strRef>
          </c:cat>
          <c:val>
            <c:numRef>
              <c:f>INFLATION!$B$14:$AG$14</c:f>
              <c:numCache>
                <c:formatCode>0.0%</c:formatCode>
                <c:ptCount val="32"/>
                <c:pt idx="0">
                  <c:v>7.7421799428263174E-2</c:v>
                </c:pt>
                <c:pt idx="1">
                  <c:v>6.1868699621904666E-2</c:v>
                </c:pt>
                <c:pt idx="2">
                  <c:v>3.4797328889464373E-2</c:v>
                </c:pt>
                <c:pt idx="3">
                  <c:v>2.1656076121462437E-2</c:v>
                </c:pt>
                <c:pt idx="4">
                  <c:v>9.4956715699301419E-3</c:v>
                </c:pt>
                <c:pt idx="5">
                  <c:v>2.5396693131338004E-2</c:v>
                </c:pt>
                <c:pt idx="6">
                  <c:v>1.7766952039612132E-2</c:v>
                </c:pt>
                <c:pt idx="7">
                  <c:v>2.0613837701337623E-3</c:v>
                </c:pt>
                <c:pt idx="8">
                  <c:v>9.5955624441343233E-3</c:v>
                </c:pt>
                <c:pt idx="9">
                  <c:v>3.5891501416330427E-3</c:v>
                </c:pt>
                <c:pt idx="10">
                  <c:v>2.4255507183730041E-2</c:v>
                </c:pt>
                <c:pt idx="11">
                  <c:v>5.9878779715926221E-2</c:v>
                </c:pt>
                <c:pt idx="12">
                  <c:v>8.1820021213462921E-2</c:v>
                </c:pt>
                <c:pt idx="13">
                  <c:v>8.7457068278631159E-2</c:v>
                </c:pt>
                <c:pt idx="14">
                  <c:v>8.9757976982825102E-2</c:v>
                </c:pt>
                <c:pt idx="15">
                  <c:v>5.0642488102273488E-2</c:v>
                </c:pt>
                <c:pt idx="16">
                  <c:v>2.119173786884998E-2</c:v>
                </c:pt>
                <c:pt idx="17">
                  <c:v>6.8571736328387018E-3</c:v>
                </c:pt>
                <c:pt idx="18">
                  <c:v>-6.3165534341882807E-3</c:v>
                </c:pt>
                <c:pt idx="19">
                  <c:v>1.1643896460931039E-2</c:v>
                </c:pt>
                <c:pt idx="20">
                  <c:v>5.8825376961593401E-2</c:v>
                </c:pt>
                <c:pt idx="21">
                  <c:v>0.12054700431455349</c:v>
                </c:pt>
                <c:pt idx="22">
                  <c:v>0.16364902582496188</c:v>
                </c:pt>
                <c:pt idx="23">
                  <c:v>0.21135564000172499</c:v>
                </c:pt>
                <c:pt idx="24">
                  <c:v>0.20242019892731525</c:v>
                </c:pt>
                <c:pt idx="25">
                  <c:v>0.15199526359323046</c:v>
                </c:pt>
                <c:pt idx="26">
                  <c:v>0.12681163660151609</c:v>
                </c:pt>
                <c:pt idx="27">
                  <c:v>8.9271464134402567E-2</c:v>
                </c:pt>
                <c:pt idx="28">
                  <c:v>4.6910352244296627E-2</c:v>
                </c:pt>
                <c:pt idx="29">
                  <c:v>5.1242936886985856E-2</c:v>
                </c:pt>
                <c:pt idx="30">
                  <c:v>4.1050426406323837E-2</c:v>
                </c:pt>
                <c:pt idx="31">
                  <c:v>5.1728811253456186E-2</c:v>
                </c:pt>
              </c:numCache>
            </c:numRef>
          </c:val>
          <c:smooth val="1"/>
          <c:extLst>
            <c:ext xmlns:c16="http://schemas.microsoft.com/office/drawing/2014/chart" uri="{C3380CC4-5D6E-409C-BE32-E72D297353CC}">
              <c16:uniqueId val="{00000003-3D08-491C-B942-6A35D2B695C1}"/>
            </c:ext>
          </c:extLst>
        </c:ser>
        <c:dLbls>
          <c:showLegendKey val="0"/>
          <c:showVal val="0"/>
          <c:showCatName val="0"/>
          <c:showSerName val="0"/>
          <c:showPercent val="0"/>
          <c:showBubbleSize val="0"/>
        </c:dLbls>
        <c:smooth val="0"/>
        <c:axId val="2021461296"/>
        <c:axId val="2021445456"/>
      </c:lineChart>
      <c:catAx>
        <c:axId val="2021461296"/>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00" b="0" i="0" u="none" strike="noStrike" kern="1200" baseline="0">
                <a:solidFill>
                  <a:sysClr val="windowText" lastClr="000000"/>
                </a:solidFill>
                <a:latin typeface="+mn-lt"/>
                <a:ea typeface="+mn-ea"/>
                <a:cs typeface="+mn-cs"/>
              </a:defRPr>
            </a:pPr>
            <a:endParaRPr lang="en-US"/>
          </a:p>
        </c:txPr>
        <c:crossAx val="2021445456"/>
        <c:crosses val="autoZero"/>
        <c:auto val="1"/>
        <c:lblAlgn val="ctr"/>
        <c:lblOffset val="100"/>
        <c:noMultiLvlLbl val="0"/>
      </c:catAx>
      <c:valAx>
        <c:axId val="2021445456"/>
        <c:scaling>
          <c:orientation val="minMax"/>
        </c:scaling>
        <c:delete val="0"/>
        <c:axPos val="l"/>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700" b="0" i="0" u="none" strike="noStrike" kern="1200" baseline="0">
                <a:solidFill>
                  <a:sysClr val="windowText" lastClr="000000"/>
                </a:solidFill>
                <a:latin typeface="+mn-lt"/>
                <a:ea typeface="+mn-ea"/>
                <a:cs typeface="+mn-cs"/>
              </a:defRPr>
            </a:pPr>
            <a:endParaRPr lang="en-US"/>
          </a:p>
        </c:txPr>
        <c:crossAx val="202146129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Sar13</b:Tag>
    <b:SourceType>InternetSite</b:SourceType>
    <b:Guid>{A286A389-B5E4-4DB0-8A40-1E7CB6EF2414}</b:Guid>
    <b:Author>
      <b:Author>
        <b:NameList>
          <b:Person>
            <b:Last>Jahan</b:Last>
            <b:First>Sarwat</b:First>
          </b:Person>
        </b:NameList>
      </b:Author>
    </b:Author>
    <b:Title>What Is the Output Gap</b:Title>
    <b:Year>2013</b:Year>
    <b:InternetSiteTitle>https://www.imf.org/external/pubs/ft/fandd/2013/09/pdf/basics.pdf</b:InternetSiteTitle>
    <b:RefOrder>1</b:RefOrder>
  </b:Source>
</b:Sources>
</file>

<file path=customXml/itemProps1.xml><?xml version="1.0" encoding="utf-8"?>
<ds:datastoreItem xmlns:ds="http://schemas.openxmlformats.org/officeDocument/2006/customXml" ds:itemID="{AC8E6953-0CD9-4E01-B0AE-F08FA7C6A5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1006</Words>
  <Characters>5737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Chantal Musabyimana</dc:creator>
  <cp:keywords/>
  <dc:description/>
  <cp:lastModifiedBy>Chantal Musabyimana</cp:lastModifiedBy>
  <cp:revision>2</cp:revision>
  <dcterms:created xsi:type="dcterms:W3CDTF">2025-09-15T13:18:00Z</dcterms:created>
  <dcterms:modified xsi:type="dcterms:W3CDTF">2025-09-15T13:18:00Z</dcterms:modified>
</cp:coreProperties>
</file>