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3129B" w14:textId="11C6DBA4" w:rsidR="00E77DBF" w:rsidRPr="00D975BB" w:rsidRDefault="00B23099" w:rsidP="00AB50B0">
      <w:pPr>
        <w:spacing w:after="120"/>
        <w:jc w:val="center"/>
        <w:rPr>
          <w:b/>
          <w:bCs/>
          <w:sz w:val="32"/>
          <w:szCs w:val="32"/>
        </w:rPr>
      </w:pPr>
      <w:r w:rsidRPr="00D975BB">
        <w:rPr>
          <w:b/>
          <w:bCs/>
          <w:sz w:val="32"/>
          <w:szCs w:val="32"/>
        </w:rPr>
        <w:t>Quarterly Macro-Fiscal Model (QMFM)</w:t>
      </w:r>
    </w:p>
    <w:p w14:paraId="04AE002E" w14:textId="7344ED0E" w:rsidR="00B23099" w:rsidRPr="00006152" w:rsidRDefault="00B23099" w:rsidP="00AB50B0">
      <w:pPr>
        <w:spacing w:after="120"/>
        <w:jc w:val="center"/>
        <w:rPr>
          <w:b/>
          <w:bCs/>
          <w:sz w:val="32"/>
          <w:szCs w:val="32"/>
          <w:u w:val="single"/>
        </w:rPr>
      </w:pPr>
      <w:r w:rsidRPr="00006152">
        <w:rPr>
          <w:b/>
          <w:bCs/>
          <w:sz w:val="32"/>
          <w:szCs w:val="32"/>
          <w:u w:val="single"/>
        </w:rPr>
        <w:t>Model development</w:t>
      </w:r>
      <w:r w:rsidR="00E87D20" w:rsidRPr="00006152">
        <w:rPr>
          <w:b/>
          <w:bCs/>
          <w:sz w:val="32"/>
          <w:szCs w:val="32"/>
          <w:u w:val="single"/>
        </w:rPr>
        <w:t xml:space="preserve">: </w:t>
      </w:r>
      <w:r w:rsidRPr="00006152">
        <w:rPr>
          <w:b/>
          <w:bCs/>
          <w:sz w:val="32"/>
          <w:szCs w:val="32"/>
          <w:u w:val="single"/>
        </w:rPr>
        <w:t xml:space="preserve">Revision Real Interest Rate </w:t>
      </w:r>
      <w:r w:rsidR="00D975BB" w:rsidRPr="00006152">
        <w:rPr>
          <w:b/>
          <w:bCs/>
          <w:sz w:val="32"/>
          <w:szCs w:val="32"/>
          <w:u w:val="single"/>
        </w:rPr>
        <w:t>T</w:t>
      </w:r>
      <w:r w:rsidRPr="00006152">
        <w:rPr>
          <w:b/>
          <w:bCs/>
          <w:sz w:val="32"/>
          <w:szCs w:val="32"/>
          <w:u w:val="single"/>
        </w:rPr>
        <w:t>rend</w:t>
      </w:r>
    </w:p>
    <w:p w14:paraId="44050219" w14:textId="4346EFD8" w:rsidR="00054316" w:rsidRPr="00DD7975" w:rsidRDefault="00054316" w:rsidP="006053B3">
      <w:pPr>
        <w:spacing w:before="240" w:after="120"/>
        <w:rPr>
          <w:b/>
          <w:bCs/>
          <w:color w:val="C00000"/>
        </w:rPr>
      </w:pPr>
      <w:r w:rsidRPr="00DD7975">
        <w:rPr>
          <w:b/>
          <w:bCs/>
          <w:color w:val="C00000"/>
        </w:rPr>
        <w:t xml:space="preserve">Foreign RIR in QMFM model </w:t>
      </w:r>
    </w:p>
    <w:p w14:paraId="5BF390AF" w14:textId="4DB00520" w:rsidR="00E87D20" w:rsidRPr="000A7400" w:rsidRDefault="00E87D20" w:rsidP="000A7400">
      <w:pPr>
        <w:spacing w:before="240" w:after="120" w:line="360" w:lineRule="auto"/>
        <w:jc w:val="both"/>
        <w:rPr>
          <w:sz w:val="24"/>
          <w:szCs w:val="24"/>
        </w:rPr>
      </w:pPr>
      <w:r w:rsidRPr="000A7400">
        <w:rPr>
          <w:sz w:val="24"/>
          <w:szCs w:val="24"/>
        </w:rPr>
        <w:t>The f</w:t>
      </w:r>
      <w:r w:rsidR="003C6F5B" w:rsidRPr="000A7400">
        <w:rPr>
          <w:sz w:val="24"/>
          <w:szCs w:val="24"/>
        </w:rPr>
        <w:t>oreign Real Interest Rate</w:t>
      </w:r>
      <w:r w:rsidR="003D7D02" w:rsidRPr="000A7400">
        <w:rPr>
          <w:sz w:val="24"/>
          <w:szCs w:val="24"/>
        </w:rPr>
        <w:t xml:space="preserve"> </w:t>
      </w:r>
      <w:r w:rsidR="003C6F5B" w:rsidRPr="000A7400">
        <w:rPr>
          <w:sz w:val="24"/>
          <w:szCs w:val="24"/>
        </w:rPr>
        <w:t>(</w:t>
      </w:r>
      <w:r w:rsidR="00D975BB" w:rsidRPr="000A7400">
        <w:rPr>
          <w:sz w:val="24"/>
          <w:szCs w:val="24"/>
        </w:rPr>
        <w:t>RIR</w:t>
      </w:r>
      <w:r w:rsidR="003C6F5B" w:rsidRPr="000A7400">
        <w:rPr>
          <w:sz w:val="24"/>
          <w:szCs w:val="24"/>
        </w:rPr>
        <w:t xml:space="preserve">) </w:t>
      </w:r>
      <w:r w:rsidR="00D975BB" w:rsidRPr="000A7400">
        <w:rPr>
          <w:sz w:val="24"/>
          <w:szCs w:val="24"/>
        </w:rPr>
        <w:t>trend</w:t>
      </w:r>
      <w:r w:rsidR="003C6F5B" w:rsidRPr="000A7400">
        <w:rPr>
          <w:sz w:val="24"/>
          <w:szCs w:val="24"/>
        </w:rPr>
        <w:t xml:space="preserve"> (US RIR </w:t>
      </w:r>
      <w:r w:rsidR="00D975BB" w:rsidRPr="000A7400">
        <w:rPr>
          <w:sz w:val="24"/>
          <w:szCs w:val="24"/>
        </w:rPr>
        <w:t>trend rstar_tnd</w:t>
      </w:r>
      <w:r w:rsidR="009C0F3A" w:rsidRPr="000A7400">
        <w:rPr>
          <w:sz w:val="24"/>
          <w:szCs w:val="24"/>
        </w:rPr>
        <w:t>, %</w:t>
      </w:r>
      <w:r w:rsidR="00D975BB" w:rsidRPr="000A7400">
        <w:rPr>
          <w:sz w:val="24"/>
          <w:szCs w:val="24"/>
        </w:rPr>
        <w:t>)</w:t>
      </w:r>
      <w:r w:rsidRPr="000A7400">
        <w:rPr>
          <w:sz w:val="24"/>
          <w:szCs w:val="24"/>
        </w:rPr>
        <w:t xml:space="preserve">–typically projected exogenously outside the model for 16-20 quarters ahead—enters the model through transmission </w:t>
      </w:r>
      <w:r w:rsidR="009C0F3A" w:rsidRPr="000A7400">
        <w:rPr>
          <w:sz w:val="24"/>
          <w:szCs w:val="24"/>
        </w:rPr>
        <w:t xml:space="preserve">(UIP) </w:t>
      </w:r>
      <w:r w:rsidRPr="000A7400">
        <w:rPr>
          <w:sz w:val="24"/>
          <w:szCs w:val="24"/>
        </w:rPr>
        <w:t xml:space="preserve">to the domestic RIR trend, r_tnd  (eq. 1), which </w:t>
      </w:r>
      <w:r w:rsidR="00A66349" w:rsidRPr="000A7400">
        <w:rPr>
          <w:sz w:val="24"/>
          <w:szCs w:val="24"/>
        </w:rPr>
        <w:t>co-</w:t>
      </w:r>
      <w:r w:rsidRPr="000A7400">
        <w:rPr>
          <w:sz w:val="24"/>
          <w:szCs w:val="24"/>
        </w:rPr>
        <w:t>determines the domestic interest rate trend (eq.2</w:t>
      </w:r>
      <w:r w:rsidR="00A66349" w:rsidRPr="000A7400">
        <w:rPr>
          <w:sz w:val="24"/>
          <w:szCs w:val="24"/>
        </w:rPr>
        <w:t>a</w:t>
      </w:r>
      <w:r w:rsidRPr="000A7400">
        <w:rPr>
          <w:sz w:val="24"/>
          <w:szCs w:val="24"/>
        </w:rPr>
        <w:t>)</w:t>
      </w:r>
      <w:r w:rsidR="00A66349" w:rsidRPr="000A7400">
        <w:rPr>
          <w:sz w:val="24"/>
          <w:szCs w:val="24"/>
        </w:rPr>
        <w:t>, which in turn co-determines the domestic interest rate in the Taylor r</w:t>
      </w:r>
      <w:r w:rsidR="009C0F3A" w:rsidRPr="000A7400">
        <w:rPr>
          <w:sz w:val="24"/>
          <w:szCs w:val="24"/>
        </w:rPr>
        <w:t>u</w:t>
      </w:r>
      <w:r w:rsidR="00A66349" w:rsidRPr="000A7400">
        <w:rPr>
          <w:sz w:val="24"/>
          <w:szCs w:val="24"/>
        </w:rPr>
        <w:t xml:space="preserve">le (eq. 2b). Even if exogenous, the </w:t>
      </w:r>
      <w:proofErr w:type="spellStart"/>
      <w:r w:rsidR="00A66349" w:rsidRPr="000A7400">
        <w:rPr>
          <w:sz w:val="24"/>
          <w:szCs w:val="24"/>
        </w:rPr>
        <w:t>rstar_tnd</w:t>
      </w:r>
      <w:proofErr w:type="spellEnd"/>
      <w:r w:rsidR="00A66349" w:rsidRPr="000A7400">
        <w:rPr>
          <w:sz w:val="24"/>
          <w:szCs w:val="24"/>
        </w:rPr>
        <w:t xml:space="preserve"> needs its equation (eq.</w:t>
      </w:r>
      <w:r w:rsidR="009C0F3A" w:rsidRPr="000A7400">
        <w:rPr>
          <w:sz w:val="24"/>
          <w:szCs w:val="24"/>
        </w:rPr>
        <w:t xml:space="preserve"> 3</w:t>
      </w:r>
      <w:r w:rsidR="00A66349" w:rsidRPr="000A7400">
        <w:rPr>
          <w:sz w:val="24"/>
          <w:szCs w:val="24"/>
        </w:rPr>
        <w:t xml:space="preserve">), </w:t>
      </w:r>
      <w:r w:rsidR="009C0F3A" w:rsidRPr="000A7400">
        <w:rPr>
          <w:sz w:val="24"/>
          <w:szCs w:val="24"/>
        </w:rPr>
        <w:t xml:space="preserve">i.e., </w:t>
      </w:r>
      <w:r w:rsidR="00A66349" w:rsidRPr="000A7400">
        <w:rPr>
          <w:sz w:val="24"/>
          <w:szCs w:val="24"/>
        </w:rPr>
        <w:t>an AR(1) process toward its steady state trend</w:t>
      </w:r>
      <w:r w:rsidR="009C0F3A" w:rsidRPr="000A7400">
        <w:rPr>
          <w:sz w:val="24"/>
          <w:szCs w:val="24"/>
        </w:rPr>
        <w:t xml:space="preserve"> (0% in our </w:t>
      </w:r>
      <w:r w:rsidR="006540F7" w:rsidRPr="000A7400">
        <w:rPr>
          <w:sz w:val="24"/>
          <w:szCs w:val="24"/>
        </w:rPr>
        <w:t xml:space="preserve">current </w:t>
      </w:r>
      <w:r w:rsidR="009C0F3A" w:rsidRPr="000A7400">
        <w:rPr>
          <w:sz w:val="24"/>
          <w:szCs w:val="24"/>
        </w:rPr>
        <w:t>parameter choice)</w:t>
      </w:r>
      <w:r w:rsidR="00A66349" w:rsidRPr="000A7400">
        <w:rPr>
          <w:sz w:val="24"/>
          <w:szCs w:val="24"/>
        </w:rPr>
        <w:t>.</w:t>
      </w:r>
    </w:p>
    <w:p w14:paraId="1BB160E1" w14:textId="6741E7C7" w:rsidR="00450F8F" w:rsidRPr="009C0F3A" w:rsidRDefault="00450F8F" w:rsidP="003D7D02">
      <w:pPr>
        <w:spacing w:after="0" w:line="240" w:lineRule="auto"/>
        <w:ind w:left="720"/>
        <w:rPr>
          <w:rFonts w:ascii="Consolas" w:eastAsia="Times New Roman" w:hAnsi="Consolas" w:cs="Times New Roman"/>
          <w:kern w:val="0"/>
          <w14:ligatures w14:val="none"/>
        </w:rPr>
      </w:pPr>
      <w:r w:rsidRPr="009C0F3A">
        <w:rPr>
          <w:rFonts w:ascii="Consolas" w:eastAsia="Times New Roman" w:hAnsi="Consolas" w:cs="Times New Roman"/>
          <w:b/>
          <w:bCs/>
          <w:kern w:val="0"/>
          <w14:ligatures w14:val="none"/>
        </w:rPr>
        <w:t>r_tnd</w:t>
      </w:r>
      <w:r w:rsidRPr="009C0F3A">
        <w:rPr>
          <w:rFonts w:ascii="Consolas" w:eastAsia="Times New Roman" w:hAnsi="Consolas" w:cs="Times New Roman"/>
          <w:kern w:val="0"/>
          <w14:ligatures w14:val="none"/>
        </w:rPr>
        <w:t xml:space="preserve"> =</w:t>
      </w:r>
      <w:r w:rsidRPr="009C0F3A">
        <w:rPr>
          <w:rFonts w:ascii="Consolas" w:eastAsia="Times New Roman" w:hAnsi="Consolas" w:cs="Times New Roman"/>
          <w:color w:val="C00000"/>
          <w:kern w:val="0"/>
          <w14:ligatures w14:val="none"/>
        </w:rPr>
        <w:t xml:space="preserve"> </w:t>
      </w:r>
      <w:r w:rsidRPr="009C0F3A">
        <w:rPr>
          <w:rFonts w:ascii="Consolas" w:eastAsia="Times New Roman" w:hAnsi="Consolas" w:cs="Times New Roman"/>
          <w:b/>
          <w:bCs/>
          <w:color w:val="C00000"/>
          <w:kern w:val="0"/>
          <w14:ligatures w14:val="none"/>
        </w:rPr>
        <w:t>rstar_tnd</w:t>
      </w:r>
      <w:r w:rsidRPr="009C0F3A">
        <w:rPr>
          <w:rFonts w:ascii="Consolas" w:eastAsia="Times New Roman" w:hAnsi="Consolas" w:cs="Times New Roman"/>
          <w:color w:val="C00000"/>
          <w:kern w:val="0"/>
          <w14:ligatures w14:val="none"/>
        </w:rPr>
        <w:t xml:space="preserve"> </w:t>
      </w:r>
      <w:r w:rsidRPr="009C0F3A">
        <w:rPr>
          <w:rFonts w:ascii="Consolas" w:eastAsia="Times New Roman" w:hAnsi="Consolas" w:cs="Times New Roman"/>
          <w:kern w:val="0"/>
          <w14:ligatures w14:val="none"/>
        </w:rPr>
        <w:t>+ prem + e_dl_z_tnd</w:t>
      </w:r>
      <w:r w:rsidR="00FA72B0" w:rsidRPr="009C0F3A">
        <w:rPr>
          <w:rFonts w:ascii="Consolas" w:eastAsia="Times New Roman" w:hAnsi="Consolas" w:cs="Times New Roman"/>
          <w:kern w:val="0"/>
          <w14:ligatures w14:val="none"/>
        </w:rPr>
        <w:t xml:space="preserve">                      (</w:t>
      </w:r>
      <w:r w:rsidR="00E87D20" w:rsidRPr="009C0F3A">
        <w:rPr>
          <w:rFonts w:ascii="Consolas" w:eastAsia="Times New Roman" w:hAnsi="Consolas" w:cs="Times New Roman"/>
          <w:kern w:val="0"/>
          <w14:ligatures w14:val="none"/>
        </w:rPr>
        <w:t>1</w:t>
      </w:r>
      <w:r w:rsidR="00FA72B0" w:rsidRPr="009C0F3A">
        <w:rPr>
          <w:rFonts w:ascii="Consolas" w:eastAsia="Times New Roman" w:hAnsi="Consolas" w:cs="Times New Roman"/>
          <w:kern w:val="0"/>
          <w14:ligatures w14:val="none"/>
        </w:rPr>
        <w:t>)</w:t>
      </w:r>
    </w:p>
    <w:p w14:paraId="549C3D81" w14:textId="77777777" w:rsidR="00E87D20" w:rsidRPr="009C0F3A" w:rsidRDefault="00E87D20" w:rsidP="003D7D02">
      <w:pPr>
        <w:spacing w:after="0" w:line="240" w:lineRule="auto"/>
        <w:ind w:left="720"/>
        <w:rPr>
          <w:rFonts w:ascii="Consolas" w:eastAsia="Times New Roman" w:hAnsi="Consolas" w:cs="Times New Roman"/>
          <w:kern w:val="0"/>
          <w14:ligatures w14:val="none"/>
        </w:rPr>
      </w:pPr>
    </w:p>
    <w:p w14:paraId="3B7C530E" w14:textId="0DA94016" w:rsidR="00E87D20" w:rsidRPr="009C0F3A" w:rsidRDefault="00E87D20" w:rsidP="00E87D20">
      <w:pPr>
        <w:spacing w:after="0" w:line="240" w:lineRule="auto"/>
        <w:ind w:left="720"/>
        <w:rPr>
          <w:rFonts w:ascii="Consolas" w:eastAsia="Times New Roman" w:hAnsi="Consolas" w:cs="Times New Roman"/>
          <w:kern w:val="0"/>
          <w14:ligatures w14:val="none"/>
        </w:rPr>
      </w:pPr>
      <w:r w:rsidRPr="009C0F3A">
        <w:rPr>
          <w:rFonts w:ascii="Consolas" w:eastAsia="Times New Roman" w:hAnsi="Consolas" w:cs="Times New Roman"/>
          <w:b/>
          <w:bCs/>
          <w:kern w:val="0"/>
          <w14:ligatures w14:val="none"/>
        </w:rPr>
        <w:t>i_tnd</w:t>
      </w:r>
      <w:r w:rsidRPr="009C0F3A">
        <w:rPr>
          <w:rFonts w:ascii="Consolas" w:eastAsia="Times New Roman" w:hAnsi="Consolas" w:cs="Times New Roman"/>
          <w:kern w:val="0"/>
          <w14:ligatures w14:val="none"/>
        </w:rPr>
        <w:t xml:space="preserve"> = r_tnd + d4l_cpi_tar + dl_rp_cpi_core_tnd          (2</w:t>
      </w:r>
      <w:r w:rsidR="00A66349" w:rsidRPr="009C0F3A">
        <w:rPr>
          <w:rFonts w:ascii="Consolas" w:eastAsia="Times New Roman" w:hAnsi="Consolas" w:cs="Times New Roman"/>
          <w:kern w:val="0"/>
          <w14:ligatures w14:val="none"/>
        </w:rPr>
        <w:t>a</w:t>
      </w:r>
      <w:r w:rsidR="009C0F3A" w:rsidRPr="009C0F3A">
        <w:rPr>
          <w:rFonts w:ascii="Consolas" w:eastAsia="Times New Roman" w:hAnsi="Consolas" w:cs="Times New Roman"/>
          <w:kern w:val="0"/>
          <w14:ligatures w14:val="none"/>
        </w:rPr>
        <w:t>)</w:t>
      </w:r>
    </w:p>
    <w:p w14:paraId="3B758B1C" w14:textId="77777777" w:rsidR="00E87D20" w:rsidRPr="009C0F3A" w:rsidRDefault="00E87D20" w:rsidP="00E87D20">
      <w:pPr>
        <w:spacing w:after="0" w:line="240" w:lineRule="auto"/>
        <w:ind w:left="720"/>
        <w:rPr>
          <w:rFonts w:ascii="Consolas" w:eastAsia="Times New Roman" w:hAnsi="Consolas" w:cs="Times New Roman"/>
          <w:kern w:val="0"/>
          <w14:ligatures w14:val="none"/>
        </w:rPr>
      </w:pPr>
    </w:p>
    <w:p w14:paraId="500DC5EF" w14:textId="310C4E01" w:rsidR="00A66349" w:rsidRPr="009C0F3A" w:rsidRDefault="00E87D20" w:rsidP="00A66349">
      <w:pPr>
        <w:ind w:firstLine="720"/>
        <w:rPr>
          <w:rFonts w:ascii="Consolas" w:eastAsia="Times New Roman" w:hAnsi="Consolas" w:cs="Times New Roman"/>
          <w:kern w:val="0"/>
          <w14:ligatures w14:val="none"/>
        </w:rPr>
      </w:pPr>
      <w:r w:rsidRPr="009C0F3A">
        <w:rPr>
          <w:rFonts w:ascii="Consolas" w:eastAsia="Times New Roman" w:hAnsi="Consolas" w:cs="Times New Roman"/>
          <w:b/>
          <w:bCs/>
          <w:kern w:val="0"/>
          <w14:ligatures w14:val="none"/>
        </w:rPr>
        <w:t xml:space="preserve">i </w:t>
      </w:r>
      <w:r w:rsidRPr="009C0F3A">
        <w:rPr>
          <w:rFonts w:ascii="Consolas" w:eastAsia="Times New Roman" w:hAnsi="Consolas" w:cs="Times New Roman"/>
          <w:kern w:val="0"/>
          <w14:ligatures w14:val="none"/>
        </w:rPr>
        <w:t>= c1 * i{-1} + (1 - c1) * (i_tnd</w:t>
      </w:r>
      <w:r w:rsidR="00A66349" w:rsidRPr="009C0F3A">
        <w:rPr>
          <w:rFonts w:ascii="Consolas" w:eastAsia="Times New Roman" w:hAnsi="Consolas" w:cs="Times New Roman"/>
          <w:kern w:val="0"/>
          <w14:ligatures w14:val="none"/>
        </w:rPr>
        <w:t xml:space="preserve"> + c2 * d4l_cpi_dev..) </w:t>
      </w:r>
      <w:r w:rsidR="009C0F3A" w:rsidRPr="009C0F3A">
        <w:rPr>
          <w:rFonts w:ascii="Consolas" w:eastAsia="Times New Roman" w:hAnsi="Consolas" w:cs="Times New Roman"/>
          <w:kern w:val="0"/>
          <w14:ligatures w14:val="none"/>
        </w:rPr>
        <w:t xml:space="preserve"> </w:t>
      </w:r>
      <w:r w:rsidR="00A66349" w:rsidRPr="009C0F3A">
        <w:rPr>
          <w:rFonts w:ascii="Consolas" w:eastAsia="Times New Roman" w:hAnsi="Consolas" w:cs="Times New Roman"/>
          <w:kern w:val="0"/>
          <w14:ligatures w14:val="none"/>
        </w:rPr>
        <w:t>(2b)</w:t>
      </w:r>
    </w:p>
    <w:p w14:paraId="2F5D6796" w14:textId="77777777" w:rsidR="006648BC" w:rsidRPr="009C0F3A" w:rsidRDefault="00E87D20" w:rsidP="00E87D20">
      <w:pPr>
        <w:rPr>
          <w:rFonts w:ascii="Consolas" w:eastAsia="Times New Roman" w:hAnsi="Consolas" w:cs="Times New Roman"/>
          <w:kern w:val="0"/>
          <w14:ligatures w14:val="none"/>
        </w:rPr>
      </w:pPr>
      <w:r w:rsidRPr="009C0F3A">
        <w:tab/>
      </w:r>
      <w:r w:rsidRPr="007E161C">
        <w:rPr>
          <w:rFonts w:ascii="Consolas" w:eastAsia="Times New Roman" w:hAnsi="Consolas" w:cs="Times New Roman"/>
          <w:b/>
          <w:bCs/>
          <w:color w:val="C00000"/>
          <w:kern w:val="0"/>
          <w14:ligatures w14:val="none"/>
        </w:rPr>
        <w:t xml:space="preserve">rstar_tnd </w:t>
      </w:r>
      <w:r w:rsidRPr="009C0F3A">
        <w:rPr>
          <w:rFonts w:ascii="Consolas" w:eastAsia="Times New Roman" w:hAnsi="Consolas" w:cs="Times New Roman"/>
          <w:kern w:val="0"/>
          <w14:ligatures w14:val="none"/>
        </w:rPr>
        <w:t xml:space="preserve">= r_rstar_tnd * rstar_tnd{-1} + (1 - r_rstar_tnd) * </w:t>
      </w:r>
    </w:p>
    <w:p w14:paraId="400BAE0E" w14:textId="6C992D71" w:rsidR="00E87D20" w:rsidRPr="009C0F3A" w:rsidRDefault="00E87D20" w:rsidP="006648BC">
      <w:pPr>
        <w:ind w:left="2160" w:firstLine="720"/>
        <w:rPr>
          <w:rFonts w:ascii="Consolas" w:eastAsia="Times New Roman" w:hAnsi="Consolas" w:cs="Times New Roman"/>
          <w:kern w:val="0"/>
          <w14:ligatures w14:val="none"/>
        </w:rPr>
      </w:pPr>
      <w:r w:rsidRPr="009C0F3A">
        <w:rPr>
          <w:rFonts w:ascii="Consolas" w:eastAsia="Times New Roman" w:hAnsi="Consolas" w:cs="Times New Roman"/>
          <w:kern w:val="0"/>
          <w14:ligatures w14:val="none"/>
        </w:rPr>
        <w:t>ss_rstar_tnd + shock_rstar_tnd</w:t>
      </w:r>
      <w:r w:rsidRPr="009C0F3A">
        <w:rPr>
          <w:rFonts w:ascii="Consolas" w:eastAsia="Times New Roman" w:hAnsi="Consolas" w:cs="Times New Roman"/>
          <w:kern w:val="0"/>
          <w14:ligatures w14:val="none"/>
        </w:rPr>
        <w:tab/>
      </w:r>
      <w:r w:rsidR="00F201A0">
        <w:rPr>
          <w:rFonts w:ascii="Consolas" w:eastAsia="Times New Roman" w:hAnsi="Consolas" w:cs="Times New Roman"/>
          <w:kern w:val="0"/>
          <w14:ligatures w14:val="none"/>
        </w:rPr>
        <w:t xml:space="preserve">     </w:t>
      </w:r>
      <w:r w:rsidRPr="009C0F3A">
        <w:rPr>
          <w:rFonts w:ascii="Consolas" w:eastAsia="Times New Roman" w:hAnsi="Consolas" w:cs="Times New Roman"/>
          <w:kern w:val="0"/>
          <w14:ligatures w14:val="none"/>
        </w:rPr>
        <w:t>(3)</w:t>
      </w:r>
    </w:p>
    <w:p w14:paraId="6DFD9955" w14:textId="77CA673D" w:rsidR="00AB50B0" w:rsidRPr="000A7400" w:rsidRDefault="00F201A0" w:rsidP="000A7400">
      <w:pPr>
        <w:spacing w:before="240" w:after="120" w:line="360" w:lineRule="auto"/>
        <w:jc w:val="both"/>
        <w:rPr>
          <w:sz w:val="24"/>
          <w:szCs w:val="24"/>
        </w:rPr>
      </w:pPr>
      <w:r w:rsidRPr="000A7400">
        <w:rPr>
          <w:sz w:val="24"/>
          <w:szCs w:val="24"/>
        </w:rPr>
        <w:t>So far</w:t>
      </w:r>
      <w:r w:rsidR="006648BC" w:rsidRPr="000A7400">
        <w:rPr>
          <w:sz w:val="24"/>
          <w:szCs w:val="24"/>
        </w:rPr>
        <w:t xml:space="preserve">, we have used </w:t>
      </w:r>
      <w:r w:rsidR="006053B3" w:rsidRPr="000A7400">
        <w:rPr>
          <w:sz w:val="24"/>
          <w:szCs w:val="24"/>
        </w:rPr>
        <w:t xml:space="preserve">an </w:t>
      </w:r>
      <w:r w:rsidR="006648BC" w:rsidRPr="000A7400">
        <w:rPr>
          <w:sz w:val="24"/>
          <w:szCs w:val="24"/>
        </w:rPr>
        <w:t xml:space="preserve">independent GPM forecast for the US RIR trend, which is </w:t>
      </w:r>
      <w:proofErr w:type="spellStart"/>
      <w:r w:rsidR="006648BC" w:rsidRPr="000A7400">
        <w:rPr>
          <w:sz w:val="24"/>
          <w:szCs w:val="24"/>
        </w:rPr>
        <w:t>rstar_tnd</w:t>
      </w:r>
      <w:proofErr w:type="spellEnd"/>
      <w:r w:rsidR="006648BC" w:rsidRPr="000A7400">
        <w:rPr>
          <w:sz w:val="24"/>
          <w:szCs w:val="24"/>
        </w:rPr>
        <w:t xml:space="preserve"> in the model. </w:t>
      </w:r>
      <w:r w:rsidR="003C6F5B" w:rsidRPr="000A7400">
        <w:rPr>
          <w:sz w:val="24"/>
          <w:szCs w:val="24"/>
        </w:rPr>
        <w:t>The latest</w:t>
      </w:r>
      <w:r w:rsidR="00450F8F" w:rsidRPr="000A7400">
        <w:rPr>
          <w:sz w:val="24"/>
          <w:szCs w:val="24"/>
        </w:rPr>
        <w:t xml:space="preserve"> updated </w:t>
      </w:r>
      <w:r w:rsidR="003C6F5B" w:rsidRPr="000A7400">
        <w:rPr>
          <w:sz w:val="24"/>
          <w:szCs w:val="24"/>
        </w:rPr>
        <w:t xml:space="preserve">version of </w:t>
      </w:r>
      <w:r w:rsidR="00450F8F" w:rsidRPr="000A7400">
        <w:rPr>
          <w:sz w:val="24"/>
          <w:szCs w:val="24"/>
        </w:rPr>
        <w:t xml:space="preserve">GMP data </w:t>
      </w:r>
      <w:r w:rsidR="003A2B69" w:rsidRPr="000A7400">
        <w:rPr>
          <w:sz w:val="24"/>
          <w:szCs w:val="24"/>
        </w:rPr>
        <w:t xml:space="preserve">forecasts </w:t>
      </w:r>
      <w:r w:rsidR="003C6F5B" w:rsidRPr="000A7400">
        <w:rPr>
          <w:sz w:val="24"/>
          <w:szCs w:val="24"/>
        </w:rPr>
        <w:t>was</w:t>
      </w:r>
      <w:r w:rsidR="00450F8F" w:rsidRPr="000A7400">
        <w:rPr>
          <w:sz w:val="24"/>
          <w:szCs w:val="24"/>
        </w:rPr>
        <w:t xml:space="preserve"> observed</w:t>
      </w:r>
      <w:r w:rsidR="003A2B69" w:rsidRPr="000A7400">
        <w:rPr>
          <w:sz w:val="24"/>
          <w:szCs w:val="24"/>
        </w:rPr>
        <w:t xml:space="preserve"> in 2022 with the help of OGR/ZR</w:t>
      </w:r>
      <w:r w:rsidR="006648BC" w:rsidRPr="000A7400">
        <w:rPr>
          <w:sz w:val="24"/>
          <w:szCs w:val="24"/>
        </w:rPr>
        <w:t xml:space="preserve">, but this won’t be accessible henceforth. </w:t>
      </w:r>
      <w:r w:rsidR="006053B3" w:rsidRPr="000A7400">
        <w:rPr>
          <w:sz w:val="24"/>
          <w:szCs w:val="24"/>
        </w:rPr>
        <w:t>MINECOFIN may obtain</w:t>
      </w:r>
      <w:r w:rsidR="006648BC" w:rsidRPr="000A7400">
        <w:rPr>
          <w:sz w:val="24"/>
          <w:szCs w:val="24"/>
        </w:rPr>
        <w:t xml:space="preserve"> the</w:t>
      </w:r>
      <w:r w:rsidR="003C6F5B" w:rsidRPr="000A7400">
        <w:rPr>
          <w:sz w:val="24"/>
          <w:szCs w:val="24"/>
        </w:rPr>
        <w:t xml:space="preserve"> </w:t>
      </w:r>
      <w:r w:rsidR="006648BC" w:rsidRPr="000A7400">
        <w:rPr>
          <w:sz w:val="24"/>
          <w:szCs w:val="24"/>
        </w:rPr>
        <w:t>GPM forecast in another way (via BNR, IMF, other</w:t>
      </w:r>
      <w:r w:rsidR="009C0F3A" w:rsidRPr="000A7400">
        <w:rPr>
          <w:sz w:val="24"/>
          <w:szCs w:val="24"/>
        </w:rPr>
        <w:t>..</w:t>
      </w:r>
      <w:r w:rsidR="006648BC" w:rsidRPr="000A7400">
        <w:rPr>
          <w:sz w:val="24"/>
          <w:szCs w:val="24"/>
        </w:rPr>
        <w:t xml:space="preserve">). </w:t>
      </w:r>
      <w:r w:rsidR="003F11F6" w:rsidRPr="000A7400">
        <w:rPr>
          <w:sz w:val="24"/>
          <w:szCs w:val="24"/>
        </w:rPr>
        <w:t>Meanwhile, we have looked for alternatives</w:t>
      </w:r>
      <w:r w:rsidR="00AB50B0" w:rsidRPr="000A7400">
        <w:rPr>
          <w:sz w:val="24"/>
          <w:szCs w:val="24"/>
        </w:rPr>
        <w:t>.</w:t>
      </w:r>
    </w:p>
    <w:p w14:paraId="7A255F98" w14:textId="06D82DFD" w:rsidR="00AB50B0" w:rsidRPr="00AB50B0" w:rsidRDefault="00AB50B0" w:rsidP="006053B3">
      <w:pPr>
        <w:spacing w:before="240"/>
      </w:pPr>
      <w:r w:rsidRPr="00680559">
        <w:rPr>
          <w:b/>
          <w:bCs/>
        </w:rPr>
        <w:t>Methodology for the derivation of foreign RIR trend (rstar_tnd)</w:t>
      </w:r>
    </w:p>
    <w:p w14:paraId="5BBC576F" w14:textId="3FDE62B1" w:rsidR="00054316" w:rsidRPr="000A7400" w:rsidRDefault="003F11F6" w:rsidP="000A7400">
      <w:pPr>
        <w:spacing w:before="240" w:after="120" w:line="360" w:lineRule="auto"/>
        <w:jc w:val="both"/>
        <w:rPr>
          <w:sz w:val="24"/>
          <w:szCs w:val="24"/>
        </w:rPr>
      </w:pPr>
      <w:r w:rsidRPr="000A7400">
        <w:rPr>
          <w:sz w:val="24"/>
          <w:szCs w:val="24"/>
        </w:rPr>
        <w:t xml:space="preserve">The alternative—first used in the March 2024 round—is a calculated US RIR trend </w:t>
      </w:r>
      <w:proofErr w:type="spellStart"/>
      <w:r w:rsidRPr="000A7400">
        <w:rPr>
          <w:sz w:val="24"/>
          <w:szCs w:val="24"/>
        </w:rPr>
        <w:t>rstar_tnd</w:t>
      </w:r>
      <w:proofErr w:type="spellEnd"/>
      <w:r w:rsidRPr="000A7400">
        <w:rPr>
          <w:sz w:val="24"/>
          <w:szCs w:val="24"/>
        </w:rPr>
        <w:t xml:space="preserve">, using </w:t>
      </w:r>
      <w:r w:rsidR="006053B3" w:rsidRPr="000A7400">
        <w:rPr>
          <w:sz w:val="24"/>
          <w:szCs w:val="24"/>
        </w:rPr>
        <w:t xml:space="preserve">the </w:t>
      </w:r>
      <w:r w:rsidRPr="000A7400">
        <w:rPr>
          <w:sz w:val="24"/>
          <w:szCs w:val="24"/>
        </w:rPr>
        <w:t xml:space="preserve">US </w:t>
      </w:r>
      <w:r w:rsidR="003C6F5B" w:rsidRPr="000A7400">
        <w:rPr>
          <w:sz w:val="24"/>
          <w:szCs w:val="24"/>
        </w:rPr>
        <w:t>Central Budgetary Office (CBO)</w:t>
      </w:r>
      <w:r w:rsidR="00F62A8A" w:rsidRPr="000A7400">
        <w:rPr>
          <w:sz w:val="24"/>
          <w:szCs w:val="24"/>
        </w:rPr>
        <w:footnoteReference w:id="1"/>
      </w:r>
      <w:r w:rsidR="003C6F5B" w:rsidRPr="000A7400">
        <w:rPr>
          <w:sz w:val="24"/>
          <w:szCs w:val="24"/>
        </w:rPr>
        <w:t xml:space="preserve"> </w:t>
      </w:r>
      <w:r w:rsidR="003D7D02" w:rsidRPr="000A7400">
        <w:rPr>
          <w:sz w:val="24"/>
          <w:szCs w:val="24"/>
        </w:rPr>
        <w:t xml:space="preserve">quarterly forecasts </w:t>
      </w:r>
      <w:r w:rsidRPr="000A7400">
        <w:rPr>
          <w:sz w:val="24"/>
          <w:szCs w:val="24"/>
        </w:rPr>
        <w:t>of</w:t>
      </w:r>
      <w:r w:rsidR="00054316" w:rsidRPr="000A7400">
        <w:rPr>
          <w:sz w:val="24"/>
          <w:szCs w:val="24"/>
        </w:rPr>
        <w:t>:</w:t>
      </w:r>
    </w:p>
    <w:p w14:paraId="20A5E01D" w14:textId="45567B57" w:rsidR="00054316" w:rsidRPr="000A7400" w:rsidRDefault="00BE5E9B" w:rsidP="00054316">
      <w:pPr>
        <w:pStyle w:val="ListParagraph"/>
        <w:numPr>
          <w:ilvl w:val="0"/>
          <w:numId w:val="2"/>
        </w:numPr>
        <w:rPr>
          <w:rFonts w:ascii="Arial" w:eastAsia="Times New Roman" w:hAnsi="Arial" w:cs="Arial"/>
          <w:kern w:val="0"/>
          <w:sz w:val="24"/>
          <w:szCs w:val="24"/>
          <w14:ligatures w14:val="none"/>
        </w:rPr>
      </w:pPr>
      <w:r w:rsidRPr="000A7400">
        <w:rPr>
          <w:sz w:val="24"/>
          <w:szCs w:val="24"/>
        </w:rPr>
        <w:t>3</w:t>
      </w:r>
      <w:r w:rsidR="003D7D02" w:rsidRPr="000A7400">
        <w:rPr>
          <w:sz w:val="24"/>
          <w:szCs w:val="24"/>
        </w:rPr>
        <w:t>-month US Treasury bills rate</w:t>
      </w:r>
      <w:r w:rsidR="00BD1E64" w:rsidRPr="000A7400">
        <w:rPr>
          <w:sz w:val="24"/>
          <w:szCs w:val="24"/>
        </w:rPr>
        <w:t xml:space="preserve"> in</w:t>
      </w:r>
      <w:r w:rsidR="00054316" w:rsidRPr="000A7400">
        <w:rPr>
          <w:sz w:val="24"/>
          <w:szCs w:val="24"/>
        </w:rPr>
        <w:t xml:space="preserve"> % (which is also in WEO</w:t>
      </w:r>
      <w:r w:rsidR="00994FA0" w:rsidRPr="000A7400">
        <w:rPr>
          <w:sz w:val="24"/>
          <w:szCs w:val="24"/>
        </w:rPr>
        <w:t>-GAS</w:t>
      </w:r>
      <w:r w:rsidR="00054316" w:rsidRPr="000A7400">
        <w:rPr>
          <w:sz w:val="24"/>
          <w:szCs w:val="24"/>
        </w:rPr>
        <w:t xml:space="preserve"> projection, used by intMF)</w:t>
      </w:r>
    </w:p>
    <w:p w14:paraId="3391BF02" w14:textId="09C09D41" w:rsidR="00054316" w:rsidRPr="000A7400" w:rsidRDefault="003D7D02" w:rsidP="00054316">
      <w:pPr>
        <w:pStyle w:val="ListParagraph"/>
        <w:numPr>
          <w:ilvl w:val="0"/>
          <w:numId w:val="2"/>
        </w:numPr>
        <w:rPr>
          <w:rFonts w:ascii="Arial" w:eastAsia="Times New Roman" w:hAnsi="Arial" w:cs="Arial"/>
          <w:kern w:val="0"/>
          <w:sz w:val="24"/>
          <w:szCs w:val="24"/>
          <w14:ligatures w14:val="none"/>
        </w:rPr>
      </w:pPr>
      <w:r w:rsidRPr="000A7400">
        <w:rPr>
          <w:sz w:val="24"/>
          <w:szCs w:val="24"/>
        </w:rPr>
        <w:t>inflation (</w:t>
      </w:r>
      <w:r w:rsidR="00BD1E64" w:rsidRPr="000A7400">
        <w:rPr>
          <w:sz w:val="24"/>
          <w:szCs w:val="24"/>
        </w:rPr>
        <w:t xml:space="preserve">measured by the </w:t>
      </w:r>
      <w:r w:rsidR="00733881" w:rsidRPr="000A7400">
        <w:rPr>
          <w:sz w:val="24"/>
          <w:szCs w:val="24"/>
        </w:rPr>
        <w:t>Personal Consumption Expenditure (PCE)</w:t>
      </w:r>
      <w:r w:rsidR="00BD1E64" w:rsidRPr="000A7400">
        <w:rPr>
          <w:sz w:val="24"/>
          <w:szCs w:val="24"/>
        </w:rPr>
        <w:t xml:space="preserve"> index</w:t>
      </w:r>
      <w:r w:rsidR="00054316" w:rsidRPr="000A7400">
        <w:rPr>
          <w:sz w:val="24"/>
          <w:szCs w:val="24"/>
        </w:rPr>
        <w:t xml:space="preserve"> (2017=100)</w:t>
      </w:r>
      <w:r w:rsidR="00BD1E64" w:rsidRPr="000A7400">
        <w:rPr>
          <w:sz w:val="24"/>
          <w:szCs w:val="24"/>
        </w:rPr>
        <w:t xml:space="preserve">, </w:t>
      </w:r>
      <w:r w:rsidR="00054316" w:rsidRPr="000A7400">
        <w:rPr>
          <w:sz w:val="24"/>
          <w:szCs w:val="24"/>
        </w:rPr>
        <w:t xml:space="preserve">excluding food and energy, </w:t>
      </w:r>
      <w:r w:rsidR="00F62A8A" w:rsidRPr="000A7400">
        <w:rPr>
          <w:sz w:val="24"/>
          <w:szCs w:val="24"/>
        </w:rPr>
        <w:t xml:space="preserve">in % </w:t>
      </w:r>
      <w:r w:rsidR="00BD1E64" w:rsidRPr="000A7400">
        <w:rPr>
          <w:sz w:val="24"/>
          <w:szCs w:val="24"/>
        </w:rPr>
        <w:t>annualized change</w:t>
      </w:r>
    </w:p>
    <w:p w14:paraId="3C578BA5" w14:textId="48A858EE" w:rsidR="00733881" w:rsidRPr="000A7400" w:rsidRDefault="00054316" w:rsidP="00054316">
      <w:pPr>
        <w:pStyle w:val="ListParagraph"/>
        <w:numPr>
          <w:ilvl w:val="0"/>
          <w:numId w:val="2"/>
        </w:numPr>
        <w:rPr>
          <w:rFonts w:ascii="Arial" w:eastAsia="Times New Roman" w:hAnsi="Arial" w:cs="Arial"/>
          <w:kern w:val="0"/>
          <w:sz w:val="24"/>
          <w:szCs w:val="24"/>
          <w14:ligatures w14:val="none"/>
        </w:rPr>
      </w:pPr>
      <w:r w:rsidRPr="000A7400">
        <w:rPr>
          <w:sz w:val="24"/>
          <w:szCs w:val="24"/>
        </w:rPr>
        <w:t>“implicit” CBO</w:t>
      </w:r>
      <w:r w:rsidR="00BD1E64" w:rsidRPr="000A7400">
        <w:rPr>
          <w:sz w:val="24"/>
          <w:szCs w:val="24"/>
        </w:rPr>
        <w:t xml:space="preserve"> RIR is calculated as the interest rate minus one</w:t>
      </w:r>
      <w:r w:rsidR="009C0F3A" w:rsidRPr="000A7400">
        <w:rPr>
          <w:sz w:val="24"/>
          <w:szCs w:val="24"/>
        </w:rPr>
        <w:t>-</w:t>
      </w:r>
      <w:r w:rsidR="00BD1E64" w:rsidRPr="000A7400">
        <w:rPr>
          <w:sz w:val="24"/>
          <w:szCs w:val="24"/>
        </w:rPr>
        <w:t>quarter ahead inflation rate.</w:t>
      </w:r>
      <w:r w:rsidR="00BD1E64" w:rsidRPr="000A7400">
        <w:rPr>
          <w:rStyle w:val="FootnoteReference"/>
          <w:sz w:val="24"/>
          <w:szCs w:val="24"/>
        </w:rPr>
        <w:footnoteReference w:id="2"/>
      </w:r>
      <w:r w:rsidR="00BD1E64" w:rsidRPr="000A7400">
        <w:rPr>
          <w:sz w:val="24"/>
          <w:szCs w:val="24"/>
        </w:rPr>
        <w:t xml:space="preserve"> </w:t>
      </w:r>
      <w:r w:rsidR="00F62A8A" w:rsidRPr="000A7400">
        <w:rPr>
          <w:rFonts w:ascii="Arial" w:eastAsia="Times New Roman" w:hAnsi="Arial" w:cs="Arial"/>
          <w:kern w:val="0"/>
          <w:sz w:val="24"/>
          <w:szCs w:val="24"/>
          <w14:ligatures w14:val="none"/>
        </w:rPr>
        <w:t xml:space="preserve"> </w:t>
      </w:r>
    </w:p>
    <w:p w14:paraId="6E8526E5" w14:textId="49F01787" w:rsidR="00450F8F" w:rsidRPr="000A7400" w:rsidRDefault="00054316" w:rsidP="000A7400">
      <w:pPr>
        <w:spacing w:after="120" w:line="360" w:lineRule="auto"/>
        <w:rPr>
          <w:sz w:val="24"/>
          <w:szCs w:val="24"/>
        </w:rPr>
      </w:pPr>
      <w:r w:rsidRPr="000A7400">
        <w:rPr>
          <w:sz w:val="24"/>
          <w:szCs w:val="24"/>
        </w:rPr>
        <w:lastRenderedPageBreak/>
        <w:t>The CBO forecast</w:t>
      </w:r>
      <w:r w:rsidR="009C0F3A" w:rsidRPr="000A7400">
        <w:rPr>
          <w:sz w:val="24"/>
          <w:szCs w:val="24"/>
        </w:rPr>
        <w:t>s</w:t>
      </w:r>
      <w:r w:rsidRPr="000A7400">
        <w:rPr>
          <w:sz w:val="24"/>
          <w:szCs w:val="24"/>
        </w:rPr>
        <w:t xml:space="preserve"> are inserted in the addData_2024_  .csv file, </w:t>
      </w:r>
      <w:r w:rsidR="00AB50B0" w:rsidRPr="000A7400">
        <w:rPr>
          <w:sz w:val="24"/>
          <w:szCs w:val="24"/>
        </w:rPr>
        <w:t>used by QMFM,</w:t>
      </w:r>
      <w:r w:rsidRPr="000A7400">
        <w:rPr>
          <w:sz w:val="24"/>
          <w:szCs w:val="24"/>
        </w:rPr>
        <w:t xml:space="preserve"> readData</w:t>
      </w:r>
      <w:r w:rsidR="00AB50B0" w:rsidRPr="000A7400">
        <w:rPr>
          <w:sz w:val="24"/>
          <w:szCs w:val="24"/>
        </w:rPr>
        <w:t>:</w:t>
      </w:r>
    </w:p>
    <w:p w14:paraId="0EA3C467" w14:textId="380EE8D5" w:rsidR="00AB50B0" w:rsidRPr="000A7400" w:rsidRDefault="00AB50B0" w:rsidP="000A7400">
      <w:pPr>
        <w:pStyle w:val="ListParagraph"/>
        <w:numPr>
          <w:ilvl w:val="0"/>
          <w:numId w:val="2"/>
        </w:numPr>
        <w:spacing w:line="360" w:lineRule="auto"/>
        <w:rPr>
          <w:sz w:val="24"/>
          <w:szCs w:val="24"/>
        </w:rPr>
      </w:pPr>
      <w:r w:rsidRPr="000A7400">
        <w:rPr>
          <w:sz w:val="24"/>
          <w:szCs w:val="24"/>
        </w:rPr>
        <w:t>readData reads from addData_2024_  .csv both rstar_tnd from GPM and rstar_US_CBO</w:t>
      </w:r>
    </w:p>
    <w:p w14:paraId="4252E535" w14:textId="0633A37E" w:rsidR="00AB50B0" w:rsidRPr="000A7400" w:rsidRDefault="00AB50B0" w:rsidP="000A7400">
      <w:pPr>
        <w:pStyle w:val="ListParagraph"/>
        <w:numPr>
          <w:ilvl w:val="0"/>
          <w:numId w:val="2"/>
        </w:numPr>
        <w:spacing w:after="120" w:line="360" w:lineRule="auto"/>
        <w:rPr>
          <w:sz w:val="24"/>
          <w:szCs w:val="24"/>
        </w:rPr>
      </w:pPr>
      <w:r w:rsidRPr="000A7400">
        <w:rPr>
          <w:sz w:val="24"/>
          <w:szCs w:val="24"/>
        </w:rPr>
        <w:t xml:space="preserve">if rstar_US_CBO is used, readData calculates the trend using the </w:t>
      </w:r>
      <w:r w:rsidR="006540F7" w:rsidRPr="000A7400">
        <w:rPr>
          <w:sz w:val="24"/>
          <w:szCs w:val="24"/>
        </w:rPr>
        <w:t>HP f</w:t>
      </w:r>
      <w:r w:rsidRPr="000A7400">
        <w:rPr>
          <w:sz w:val="24"/>
          <w:szCs w:val="24"/>
        </w:rPr>
        <w:t>ilter</w:t>
      </w:r>
      <w:r w:rsidR="009C0F3A" w:rsidRPr="000A7400">
        <w:rPr>
          <w:sz w:val="24"/>
          <w:szCs w:val="24"/>
        </w:rPr>
        <w:t>, which becomes the new measurement variable:</w:t>
      </w:r>
    </w:p>
    <w:p w14:paraId="176396C9" w14:textId="77777777" w:rsidR="006053B3" w:rsidRDefault="006053B3" w:rsidP="006053B3">
      <w:pPr>
        <w:pStyle w:val="ListParagraph"/>
        <w:spacing w:after="120"/>
      </w:pPr>
    </w:p>
    <w:p w14:paraId="6F115EAD" w14:textId="4A5CFA2B" w:rsidR="00166B7B" w:rsidRPr="009C0F3A" w:rsidRDefault="00166B7B" w:rsidP="00166B7B">
      <w:pPr>
        <w:rPr>
          <w:rFonts w:ascii="Consolas" w:hAnsi="Consolas"/>
        </w:rPr>
      </w:pPr>
      <w:r w:rsidRPr="009C0F3A">
        <w:rPr>
          <w:rFonts w:ascii="Consolas" w:hAnsi="Consolas"/>
          <w:b/>
          <w:bCs/>
        </w:rPr>
        <w:t>dbObs.obs_rstar_US_cbo</w:t>
      </w:r>
      <w:r w:rsidRPr="009C0F3A">
        <w:rPr>
          <w:rFonts w:ascii="Consolas" w:hAnsi="Consolas"/>
        </w:rPr>
        <w:t xml:space="preserve">  = 100 * log (1 + db.rstar_US_cbo/100)</w:t>
      </w:r>
      <w:r w:rsidR="00AB50B0" w:rsidRPr="009C0F3A">
        <w:rPr>
          <w:rFonts w:ascii="Consolas" w:hAnsi="Consolas"/>
        </w:rPr>
        <w:t xml:space="preserve"> </w:t>
      </w:r>
      <w:r w:rsidR="00AB50B0" w:rsidRPr="009C0F3A">
        <w:rPr>
          <w:rFonts w:ascii="Consolas" w:eastAsia="Times New Roman" w:hAnsi="Consolas" w:cs="Times New Roman"/>
          <w:kern w:val="0"/>
          <w14:ligatures w14:val="none"/>
        </w:rPr>
        <w:t xml:space="preserve">      (4a)</w:t>
      </w:r>
    </w:p>
    <w:p w14:paraId="7F921555" w14:textId="5334C829" w:rsidR="001037CE" w:rsidRPr="009C0F3A" w:rsidRDefault="00166B7B" w:rsidP="009C0F3A">
      <w:pPr>
        <w:spacing w:after="240"/>
        <w:rPr>
          <w:rFonts w:ascii="Consolas" w:hAnsi="Consolas"/>
        </w:rPr>
      </w:pPr>
      <w:r w:rsidRPr="007E161C">
        <w:rPr>
          <w:rFonts w:ascii="Consolas" w:hAnsi="Consolas"/>
          <w:b/>
          <w:bCs/>
          <w:color w:val="C00000"/>
        </w:rPr>
        <w:t xml:space="preserve">dbObs.obs_rstar_tnd    </w:t>
      </w:r>
      <w:r w:rsidR="007153EF" w:rsidRPr="007E161C">
        <w:rPr>
          <w:rFonts w:ascii="Consolas" w:hAnsi="Consolas"/>
          <w:b/>
          <w:bCs/>
          <w:color w:val="C00000"/>
        </w:rPr>
        <w:t xml:space="preserve"> </w:t>
      </w:r>
      <w:r w:rsidRPr="009C0F3A">
        <w:rPr>
          <w:rFonts w:ascii="Consolas" w:hAnsi="Consolas"/>
        </w:rPr>
        <w:t>= hpf</w:t>
      </w:r>
      <w:r w:rsidR="007153EF" w:rsidRPr="009C0F3A">
        <w:rPr>
          <w:rFonts w:ascii="Consolas" w:hAnsi="Consolas"/>
        </w:rPr>
        <w:t xml:space="preserve">2 </w:t>
      </w:r>
      <w:r w:rsidRPr="009C0F3A">
        <w:rPr>
          <w:rFonts w:ascii="Consolas" w:hAnsi="Consolas"/>
        </w:rPr>
        <w:t>(dbObs.obs_rstar_US_cbo)</w:t>
      </w:r>
      <w:r w:rsidR="00AB50B0" w:rsidRPr="009C0F3A">
        <w:rPr>
          <w:rFonts w:ascii="Consolas" w:hAnsi="Consolas"/>
        </w:rPr>
        <w:t xml:space="preserve">  </w:t>
      </w:r>
      <w:r w:rsidR="00AB50B0" w:rsidRPr="009C0F3A">
        <w:rPr>
          <w:rFonts w:ascii="Consolas" w:eastAsia="Times New Roman" w:hAnsi="Consolas" w:cs="Times New Roman"/>
          <w:kern w:val="0"/>
          <w14:ligatures w14:val="none"/>
        </w:rPr>
        <w:t xml:space="preserve">      </w:t>
      </w:r>
      <w:r w:rsidR="00F201A0">
        <w:rPr>
          <w:rFonts w:ascii="Consolas" w:eastAsia="Times New Roman" w:hAnsi="Consolas" w:cs="Times New Roman"/>
          <w:kern w:val="0"/>
          <w14:ligatures w14:val="none"/>
        </w:rPr>
        <w:t xml:space="preserve">   </w:t>
      </w:r>
      <w:r w:rsidR="00AB50B0" w:rsidRPr="009C0F3A">
        <w:rPr>
          <w:rFonts w:ascii="Consolas" w:eastAsia="Times New Roman" w:hAnsi="Consolas" w:cs="Times New Roman"/>
          <w:kern w:val="0"/>
          <w14:ligatures w14:val="none"/>
        </w:rPr>
        <w:t xml:space="preserve">  (4b)</w:t>
      </w:r>
    </w:p>
    <w:p w14:paraId="203532DC" w14:textId="2ECE637B" w:rsidR="00BB6991" w:rsidRDefault="00FA72B0">
      <w:r>
        <w:t>The</w:t>
      </w:r>
      <w:r w:rsidR="00BA4E58">
        <w:t xml:space="preserve"> </w:t>
      </w:r>
      <w:proofErr w:type="spellStart"/>
      <w:r w:rsidRPr="00166B7B">
        <w:t>dbObs.obs_rstar_tnd</w:t>
      </w:r>
      <w:proofErr w:type="spellEnd"/>
      <w:r>
        <w:t xml:space="preserve"> is the </w:t>
      </w:r>
      <w:proofErr w:type="spellStart"/>
      <w:r w:rsidRPr="009C0F3A">
        <w:t>rstar_tnd</w:t>
      </w:r>
      <w:proofErr w:type="spellEnd"/>
      <w:r w:rsidRPr="009C0F3A">
        <w:t xml:space="preserve"> in equation (2</w:t>
      </w:r>
      <w:r w:rsidR="00AB50B0" w:rsidRPr="009C0F3A">
        <w:t>a</w:t>
      </w:r>
      <w:r w:rsidR="009C0F3A" w:rsidRPr="009C0F3A">
        <w:t>)</w:t>
      </w:r>
      <w:r w:rsidR="00AB50B0" w:rsidRPr="009C0F3A">
        <w:t>.</w:t>
      </w:r>
    </w:p>
    <w:p w14:paraId="29117E29" w14:textId="77777777" w:rsidR="000A7400" w:rsidRDefault="000A7400"/>
    <w:p w14:paraId="2DBF73DA" w14:textId="36A2B69F" w:rsidR="006053B3" w:rsidRPr="006053B3" w:rsidRDefault="006053B3">
      <w:pPr>
        <w:rPr>
          <w:b/>
          <w:bCs/>
        </w:rPr>
      </w:pPr>
      <w:r w:rsidRPr="006053B3">
        <w:rPr>
          <w:b/>
          <w:bCs/>
        </w:rPr>
        <w:t>Literature review</w:t>
      </w:r>
    </w:p>
    <w:p w14:paraId="159C2619" w14:textId="679995D7" w:rsidR="00DB0EF2" w:rsidRDefault="00DB0EF2" w:rsidP="000A7400">
      <w:pPr>
        <w:spacing w:line="360" w:lineRule="auto"/>
      </w:pPr>
      <w:r w:rsidRPr="00F249BD">
        <w:rPr>
          <w:i/>
          <w:iCs/>
        </w:rPr>
        <w:t>BNR QPM</w:t>
      </w:r>
      <w:r>
        <w:t>-</w:t>
      </w:r>
      <w:r w:rsidR="00F249BD">
        <w:t xml:space="preserve"> the foreign real interest rate is derived from </w:t>
      </w:r>
      <w:r w:rsidR="002A06F6">
        <w:t xml:space="preserve">the </w:t>
      </w:r>
      <w:r w:rsidR="00F249BD">
        <w:t>nominal interest rate</w:t>
      </w:r>
      <w:r w:rsidR="002A06F6">
        <w:t xml:space="preserve"> i.e., </w:t>
      </w:r>
      <w:r w:rsidR="00006152">
        <w:t>proxied by the US federal funds rate</w:t>
      </w:r>
      <w:r w:rsidR="00006152">
        <w:rPr>
          <w:rStyle w:val="FootnoteReference"/>
        </w:rPr>
        <w:t xml:space="preserve"> </w:t>
      </w:r>
      <w:r w:rsidR="002A06F6">
        <w:rPr>
          <w:rStyle w:val="FootnoteReference"/>
        </w:rPr>
        <w:footnoteReference w:id="3"/>
      </w:r>
      <w:r w:rsidR="002A06F6">
        <w:t xml:space="preserve"> </w:t>
      </w:r>
      <w:r w:rsidR="00F249BD">
        <w:t xml:space="preserve">and </w:t>
      </w:r>
      <w:r w:rsidR="002A06F6">
        <w:t xml:space="preserve">expected </w:t>
      </w:r>
      <w:r w:rsidR="00F249BD">
        <w:t xml:space="preserve">inflation (PCE or CPI?) </w:t>
      </w:r>
      <w:r w:rsidR="00A26A04">
        <w:t xml:space="preserve">observed from </w:t>
      </w:r>
      <w:r w:rsidR="00305AE4">
        <w:t xml:space="preserve">the </w:t>
      </w:r>
      <w:r w:rsidR="00A26A04">
        <w:t xml:space="preserve">Central Budgetary Office </w:t>
      </w:r>
      <w:r w:rsidR="00305AE4">
        <w:t xml:space="preserve">(CBO) and </w:t>
      </w:r>
      <w:r w:rsidR="00F249BD">
        <w:t>the foreign real interest rate trend is obtained by applying the Kalman Filter (KF)</w:t>
      </w:r>
      <w:r w:rsidR="00356926">
        <w:t xml:space="preserve"> on </w:t>
      </w:r>
      <w:r w:rsidR="00006152">
        <w:t xml:space="preserve">the </w:t>
      </w:r>
      <w:r w:rsidR="00A26A04">
        <w:t xml:space="preserve">calculated </w:t>
      </w:r>
      <w:r w:rsidR="00356926">
        <w:t xml:space="preserve">real </w:t>
      </w:r>
      <w:r w:rsidR="00A26A04">
        <w:t xml:space="preserve">interest rate. </w:t>
      </w:r>
    </w:p>
    <w:p w14:paraId="41391D4B" w14:textId="60B50B21" w:rsidR="006540F7" w:rsidRPr="00994FA0" w:rsidRDefault="00FB5A3A" w:rsidP="000A7400">
      <w:pPr>
        <w:spacing w:line="360" w:lineRule="auto"/>
        <w:rPr>
          <w:b/>
          <w:bCs/>
        </w:rPr>
      </w:pPr>
      <w:r w:rsidRPr="00994FA0">
        <w:rPr>
          <w:b/>
          <w:bCs/>
        </w:rPr>
        <w:t>Issues:</w:t>
      </w:r>
    </w:p>
    <w:p w14:paraId="0778B4D1" w14:textId="409BF6A8" w:rsidR="006540F7" w:rsidRDefault="006540F7" w:rsidP="000A7400">
      <w:pPr>
        <w:pStyle w:val="ListParagraph"/>
        <w:numPr>
          <w:ilvl w:val="0"/>
          <w:numId w:val="3"/>
        </w:numPr>
        <w:spacing w:line="360" w:lineRule="auto"/>
      </w:pPr>
      <w:r>
        <w:t xml:space="preserve">Should we use the KF instead of </w:t>
      </w:r>
      <w:r w:rsidR="006053B3">
        <w:t xml:space="preserve">the </w:t>
      </w:r>
      <w:r>
        <w:t>HP filter</w:t>
      </w:r>
      <w:r w:rsidR="00994FA0">
        <w:t xml:space="preserve"> to calculate </w:t>
      </w:r>
      <w:proofErr w:type="spellStart"/>
      <w:r w:rsidR="00994FA0">
        <w:t>rstar_tnd</w:t>
      </w:r>
      <w:proofErr w:type="spellEnd"/>
      <w:r w:rsidR="00994FA0">
        <w:t>? Or can we change</w:t>
      </w:r>
      <w:r w:rsidR="009272D5">
        <w:t xml:space="preserve"> </w:t>
      </w:r>
      <w:r w:rsidR="00994FA0">
        <w:t>th</w:t>
      </w:r>
      <w:r w:rsidR="009272D5">
        <w:t>e</w:t>
      </w:r>
      <w:r w:rsidR="00994FA0">
        <w:t xml:space="preserve"> HP smoothing parameters (instead of default I=1600)</w:t>
      </w:r>
      <w:r w:rsidR="009272D5">
        <w:t xml:space="preserve"> (suggestion ZR)</w:t>
      </w:r>
    </w:p>
    <w:p w14:paraId="2E9DBC82" w14:textId="6F561D63" w:rsidR="00994FA0" w:rsidRDefault="00994FA0" w:rsidP="000A7400">
      <w:pPr>
        <w:pStyle w:val="ListParagraph"/>
        <w:numPr>
          <w:ilvl w:val="0"/>
          <w:numId w:val="3"/>
        </w:numPr>
        <w:spacing w:after="0" w:line="360" w:lineRule="auto"/>
      </w:pPr>
      <w:r>
        <w:t xml:space="preserve">The model uses: </w:t>
      </w:r>
      <w:proofErr w:type="spellStart"/>
      <w:r>
        <w:t>cpistar</w:t>
      </w:r>
      <w:proofErr w:type="spellEnd"/>
      <w:r>
        <w:t xml:space="preserve"> which is trading partner CPI (from WEO_GEE) in RER equations; and </w:t>
      </w:r>
    </w:p>
    <w:p w14:paraId="5522DB3E" w14:textId="2757AD7E" w:rsidR="00994FA0" w:rsidRDefault="00994FA0" w:rsidP="000A7400">
      <w:pPr>
        <w:spacing w:after="0" w:line="360" w:lineRule="auto"/>
        <w:ind w:left="1440" w:firstLine="720"/>
      </w:pPr>
      <w:r>
        <w:t xml:space="preserve"> istar which cis US interest rate on 3-mos T-bills (from WEO)</w:t>
      </w:r>
    </w:p>
    <w:p w14:paraId="5513F31A" w14:textId="19C48AE9" w:rsidR="00994FA0" w:rsidRDefault="00994FA0" w:rsidP="000A7400">
      <w:pPr>
        <w:pStyle w:val="ListParagraph"/>
        <w:spacing w:line="360" w:lineRule="auto"/>
        <w:ind w:left="1440" w:firstLine="720"/>
      </w:pPr>
      <w:r>
        <w:t xml:space="preserve"> </w:t>
      </w:r>
      <w:r w:rsidRPr="007E161C">
        <w:rPr>
          <w:b/>
          <w:bCs/>
          <w:color w:val="C00000"/>
        </w:rPr>
        <w:t>rstar</w:t>
      </w:r>
      <w:r w:rsidRPr="007E161C">
        <w:rPr>
          <w:color w:val="C00000"/>
        </w:rPr>
        <w:t xml:space="preserve"> </w:t>
      </w:r>
      <w:r>
        <w:t>= istar – dl_cpistar {+1}  in the capital inflow equation’ yet</w:t>
      </w:r>
    </w:p>
    <w:p w14:paraId="596B86C4" w14:textId="6579CAA8" w:rsidR="00994FA0" w:rsidRDefault="00994FA0" w:rsidP="000A7400">
      <w:pPr>
        <w:spacing w:line="360" w:lineRule="auto"/>
      </w:pPr>
      <w:r>
        <w:t xml:space="preserve">             the RIR is based on US projected inflation</w:t>
      </w:r>
    </w:p>
    <w:p w14:paraId="259F1567" w14:textId="173278FD" w:rsidR="00994FA0" w:rsidRDefault="00994FA0" w:rsidP="000A7400">
      <w:pPr>
        <w:pStyle w:val="ListParagraph"/>
        <w:numPr>
          <w:ilvl w:val="0"/>
          <w:numId w:val="3"/>
        </w:numPr>
        <w:spacing w:line="360" w:lineRule="auto"/>
      </w:pPr>
      <w:r>
        <w:t xml:space="preserve">With new rstar_tnd (CBO-based), we must recalibrate the rstar_tnd eq., esp. std of shocks </w:t>
      </w:r>
      <w:r w:rsidR="009272D5">
        <w:t>(ZR)</w:t>
      </w:r>
    </w:p>
    <w:p w14:paraId="6C6444FF" w14:textId="77777777" w:rsidR="00994FA0" w:rsidRDefault="00994FA0" w:rsidP="00994FA0"/>
    <w:p w14:paraId="55812F58" w14:textId="77777777" w:rsidR="000A7400" w:rsidRDefault="000A7400" w:rsidP="00994FA0"/>
    <w:p w14:paraId="2C6961E0" w14:textId="6F14B2AA" w:rsidR="00A34384" w:rsidRPr="00E24ED8" w:rsidRDefault="00DD7975">
      <w:pPr>
        <w:rPr>
          <w:b/>
          <w:bCs/>
          <w:color w:val="C00000"/>
        </w:rPr>
      </w:pPr>
      <w:r>
        <w:rPr>
          <w:b/>
          <w:bCs/>
          <w:color w:val="C00000"/>
        </w:rPr>
        <w:lastRenderedPageBreak/>
        <w:t xml:space="preserve">External block for </w:t>
      </w:r>
      <w:r w:rsidR="00A34384" w:rsidRPr="00DD7975">
        <w:rPr>
          <w:b/>
          <w:bCs/>
          <w:color w:val="C00000"/>
        </w:rPr>
        <w:t xml:space="preserve">BNR QPM </w:t>
      </w:r>
    </w:p>
    <w:tbl>
      <w:tblPr>
        <w:tblStyle w:val="TableGrid"/>
        <w:tblW w:w="9776" w:type="dxa"/>
        <w:tblLayout w:type="fixed"/>
        <w:tblLook w:val="04A0" w:firstRow="1" w:lastRow="0" w:firstColumn="1" w:lastColumn="0" w:noHBand="0" w:noVBand="1"/>
      </w:tblPr>
      <w:tblGrid>
        <w:gridCol w:w="2689"/>
        <w:gridCol w:w="4394"/>
        <w:gridCol w:w="2693"/>
      </w:tblGrid>
      <w:tr w:rsidR="001B5517" w14:paraId="4ADF8B3F" w14:textId="29FC1935" w:rsidTr="004D0DAF">
        <w:tc>
          <w:tcPr>
            <w:tcW w:w="2689" w:type="dxa"/>
          </w:tcPr>
          <w:p w14:paraId="65AA23CA" w14:textId="11757EB5" w:rsidR="001B5517" w:rsidRDefault="001B5517">
            <w:pPr>
              <w:rPr>
                <w:b/>
                <w:bCs/>
              </w:rPr>
            </w:pPr>
            <w:r>
              <w:rPr>
                <w:b/>
                <w:bCs/>
              </w:rPr>
              <w:t>Data sources</w:t>
            </w:r>
            <w:r w:rsidR="006D3AA4">
              <w:rPr>
                <w:b/>
                <w:bCs/>
              </w:rPr>
              <w:t>/links</w:t>
            </w:r>
          </w:p>
        </w:tc>
        <w:tc>
          <w:tcPr>
            <w:tcW w:w="4394" w:type="dxa"/>
          </w:tcPr>
          <w:p w14:paraId="4B2BEBBA" w14:textId="12172F50" w:rsidR="001B5517" w:rsidRDefault="001B5517">
            <w:pPr>
              <w:rPr>
                <w:b/>
                <w:bCs/>
              </w:rPr>
            </w:pPr>
            <w:r>
              <w:rPr>
                <w:b/>
                <w:bCs/>
              </w:rPr>
              <w:t>Variables/indicators</w:t>
            </w:r>
          </w:p>
        </w:tc>
        <w:tc>
          <w:tcPr>
            <w:tcW w:w="2693" w:type="dxa"/>
          </w:tcPr>
          <w:p w14:paraId="475FC053" w14:textId="7A85E801" w:rsidR="001B5517" w:rsidRDefault="001B5517">
            <w:pPr>
              <w:rPr>
                <w:b/>
                <w:bCs/>
              </w:rPr>
            </w:pPr>
            <w:r>
              <w:rPr>
                <w:b/>
                <w:bCs/>
              </w:rPr>
              <w:t>Description</w:t>
            </w:r>
          </w:p>
        </w:tc>
      </w:tr>
      <w:tr w:rsidR="00501ADD" w14:paraId="550F6FE2" w14:textId="3F62013A" w:rsidTr="00DD7975">
        <w:tc>
          <w:tcPr>
            <w:tcW w:w="2689" w:type="dxa"/>
            <w:vMerge w:val="restart"/>
            <w:vAlign w:val="center"/>
          </w:tcPr>
          <w:p w14:paraId="7CEDDCE7" w14:textId="0DBC6E79" w:rsidR="00501ADD" w:rsidRDefault="00501ADD" w:rsidP="00DD7975">
            <w:pPr>
              <w:jc w:val="center"/>
              <w:rPr>
                <w:b/>
                <w:bCs/>
              </w:rPr>
            </w:pPr>
            <w:r>
              <w:rPr>
                <w:b/>
                <w:bCs/>
              </w:rPr>
              <w:t xml:space="preserve">Eurozone-ECB </w:t>
            </w:r>
            <w:r w:rsidRPr="00021339">
              <w:rPr>
                <w:sz w:val="18"/>
                <w:szCs w:val="18"/>
              </w:rPr>
              <w:t>(</w:t>
            </w:r>
            <w:hyperlink r:id="rId8" w:history="1">
              <w:r w:rsidR="00354560" w:rsidRPr="0081031C">
                <w:rPr>
                  <w:rStyle w:val="Hyperlink"/>
                  <w:sz w:val="18"/>
                  <w:szCs w:val="18"/>
                </w:rPr>
                <w:t>https://ec.europa.eu/eurostat/databrowser/view/prc_hicp_midx__custom_12131781/default/table?lang=en</w:t>
              </w:r>
            </w:hyperlink>
            <w:r w:rsidRPr="00021339">
              <w:rPr>
                <w:sz w:val="18"/>
                <w:szCs w:val="18"/>
              </w:rPr>
              <w:t>)</w:t>
            </w:r>
            <w:r w:rsidR="00354560">
              <w:rPr>
                <w:sz w:val="18"/>
                <w:szCs w:val="18"/>
              </w:rPr>
              <w:t xml:space="preserve"> </w:t>
            </w:r>
          </w:p>
        </w:tc>
        <w:tc>
          <w:tcPr>
            <w:tcW w:w="4394" w:type="dxa"/>
          </w:tcPr>
          <w:p w14:paraId="37C047DC" w14:textId="2CF4DA32" w:rsidR="00F14238" w:rsidRDefault="00501ADD">
            <w:r w:rsidRPr="00F14238">
              <w:rPr>
                <w:b/>
                <w:bCs/>
              </w:rPr>
              <w:t>Harmonized Index of Consumer Prices (HICP):</w:t>
            </w:r>
            <w:r>
              <w:t xml:space="preserve"> </w:t>
            </w:r>
            <w:r w:rsidR="00F14238">
              <w:t>-</w:t>
            </w:r>
            <w:r>
              <w:t>actual</w:t>
            </w:r>
            <w:r w:rsidRPr="00021339">
              <w:t xml:space="preserve"> (mo. index)—observed in levels</w:t>
            </w:r>
          </w:p>
          <w:p w14:paraId="4C409522" w14:textId="779FDFE5" w:rsidR="00501ADD" w:rsidRPr="00021339" w:rsidRDefault="00F14238">
            <w:r>
              <w:t>-</w:t>
            </w:r>
            <w:proofErr w:type="spellStart"/>
            <w:r w:rsidR="00501ADD" w:rsidRPr="00021339">
              <w:t>proj</w:t>
            </w:r>
            <w:proofErr w:type="spellEnd"/>
            <w:r w:rsidR="00501ADD" w:rsidRPr="00021339">
              <w:t>. ann. % change.</w:t>
            </w:r>
          </w:p>
        </w:tc>
        <w:tc>
          <w:tcPr>
            <w:tcW w:w="2693" w:type="dxa"/>
          </w:tcPr>
          <w:p w14:paraId="2DD5D614" w14:textId="7CB59A4E" w:rsidR="00501ADD" w:rsidRPr="00021339" w:rsidRDefault="00501ADD">
            <w:pPr>
              <w:rPr>
                <w:sz w:val="20"/>
                <w:szCs w:val="20"/>
              </w:rPr>
            </w:pPr>
            <w:r>
              <w:rPr>
                <w:sz w:val="20"/>
                <w:szCs w:val="20"/>
              </w:rPr>
              <w:t>-</w:t>
            </w:r>
            <w:r w:rsidRPr="00021339">
              <w:rPr>
                <w:sz w:val="20"/>
                <w:szCs w:val="20"/>
              </w:rPr>
              <w:t>foreign cpi for the</w:t>
            </w:r>
            <w:r>
              <w:rPr>
                <w:sz w:val="20"/>
                <w:szCs w:val="20"/>
              </w:rPr>
              <w:t xml:space="preserve"> BNR QPM</w:t>
            </w:r>
            <w:r w:rsidRPr="00021339">
              <w:rPr>
                <w:sz w:val="20"/>
                <w:szCs w:val="20"/>
              </w:rPr>
              <w:t xml:space="preserve"> model is a weighted variable of eurozone &amp; US-CBO, Weights of US--0.6, Euro is 0.4</w:t>
            </w:r>
          </w:p>
        </w:tc>
      </w:tr>
      <w:tr w:rsidR="00501ADD" w14:paraId="422B91CB" w14:textId="7F828618" w:rsidTr="004D0DAF">
        <w:tc>
          <w:tcPr>
            <w:tcW w:w="2689" w:type="dxa"/>
            <w:vMerge/>
          </w:tcPr>
          <w:p w14:paraId="4C4407CB" w14:textId="77777777" w:rsidR="00501ADD" w:rsidRDefault="00501ADD">
            <w:pPr>
              <w:rPr>
                <w:b/>
                <w:bCs/>
              </w:rPr>
            </w:pPr>
          </w:p>
        </w:tc>
        <w:tc>
          <w:tcPr>
            <w:tcW w:w="4394" w:type="dxa"/>
          </w:tcPr>
          <w:p w14:paraId="68EBD6A7" w14:textId="3FAEB2A9" w:rsidR="00501ADD" w:rsidRDefault="00501ADD">
            <w:pPr>
              <w:rPr>
                <w:b/>
                <w:bCs/>
              </w:rPr>
            </w:pPr>
            <w:r>
              <w:rPr>
                <w:b/>
                <w:bCs/>
              </w:rPr>
              <w:t xml:space="preserve">-Real GDP: actual (levels), </w:t>
            </w:r>
            <w:proofErr w:type="spellStart"/>
            <w:r>
              <w:rPr>
                <w:b/>
                <w:bCs/>
              </w:rPr>
              <w:t>proj</w:t>
            </w:r>
            <w:proofErr w:type="spellEnd"/>
            <w:r>
              <w:rPr>
                <w:b/>
                <w:bCs/>
              </w:rPr>
              <w:t>. (ann.% change)</w:t>
            </w:r>
          </w:p>
        </w:tc>
        <w:tc>
          <w:tcPr>
            <w:tcW w:w="2693" w:type="dxa"/>
          </w:tcPr>
          <w:p w14:paraId="14BF03E5" w14:textId="77777777" w:rsidR="00501ADD" w:rsidRPr="008976A9" w:rsidRDefault="00501ADD">
            <w:r w:rsidRPr="008976A9">
              <w:t>- foreign real GDP for the model is a weighted variable of eurozone &amp; US-CBO</w:t>
            </w:r>
          </w:p>
          <w:p w14:paraId="4D5F35D6" w14:textId="3DC473B8" w:rsidR="00501ADD" w:rsidRPr="008976A9" w:rsidRDefault="00501ADD">
            <w:r w:rsidRPr="008976A9">
              <w:t>- weight: --US-</w:t>
            </w:r>
            <w:r w:rsidR="0036344D">
              <w:t>CBO</w:t>
            </w:r>
            <w:r w:rsidRPr="008976A9">
              <w:t xml:space="preserve"> output gap has 75%</w:t>
            </w:r>
          </w:p>
        </w:tc>
      </w:tr>
      <w:tr w:rsidR="00501ADD" w14:paraId="5BD31367" w14:textId="58A13AF7" w:rsidTr="004D0DAF">
        <w:tc>
          <w:tcPr>
            <w:tcW w:w="2689" w:type="dxa"/>
            <w:vMerge/>
          </w:tcPr>
          <w:p w14:paraId="1C84DEF5" w14:textId="629B338F" w:rsidR="00501ADD" w:rsidRDefault="00501ADD">
            <w:pPr>
              <w:rPr>
                <w:b/>
                <w:bCs/>
              </w:rPr>
            </w:pPr>
          </w:p>
        </w:tc>
        <w:tc>
          <w:tcPr>
            <w:tcW w:w="4394" w:type="dxa"/>
          </w:tcPr>
          <w:p w14:paraId="306A180C" w14:textId="04B32B94" w:rsidR="00501ADD" w:rsidRDefault="00501ADD">
            <w:pPr>
              <w:rPr>
                <w:b/>
                <w:bCs/>
              </w:rPr>
            </w:pPr>
            <w:r w:rsidRPr="008976A9">
              <w:rPr>
                <w:b/>
                <w:bCs/>
              </w:rPr>
              <w:t xml:space="preserve">Exchange rate </w:t>
            </w:r>
            <w:r>
              <w:rPr>
                <w:b/>
                <w:bCs/>
              </w:rPr>
              <w:t>USD</w:t>
            </w:r>
            <w:r w:rsidRPr="008976A9">
              <w:rPr>
                <w:b/>
                <w:bCs/>
              </w:rPr>
              <w:t xml:space="preserve"> vs. </w:t>
            </w:r>
            <w:r>
              <w:rPr>
                <w:b/>
                <w:bCs/>
              </w:rPr>
              <w:t xml:space="preserve">EURO: Actual &amp; </w:t>
            </w:r>
            <w:proofErr w:type="spellStart"/>
            <w:r>
              <w:rPr>
                <w:b/>
                <w:bCs/>
              </w:rPr>
              <w:t>proj</w:t>
            </w:r>
            <w:proofErr w:type="spellEnd"/>
            <w:r>
              <w:rPr>
                <w:b/>
                <w:bCs/>
              </w:rPr>
              <w:t>. (levels)</w:t>
            </w:r>
          </w:p>
        </w:tc>
        <w:tc>
          <w:tcPr>
            <w:tcW w:w="2693" w:type="dxa"/>
          </w:tcPr>
          <w:p w14:paraId="3C6008F9" w14:textId="77777777" w:rsidR="00501ADD" w:rsidRDefault="00501ADD">
            <w:pPr>
              <w:rPr>
                <w:b/>
                <w:bCs/>
              </w:rPr>
            </w:pPr>
          </w:p>
        </w:tc>
      </w:tr>
      <w:tr w:rsidR="00DD7975" w14:paraId="3D420443" w14:textId="4B44F9DE" w:rsidTr="00DD7975">
        <w:trPr>
          <w:trHeight w:val="1691"/>
        </w:trPr>
        <w:tc>
          <w:tcPr>
            <w:tcW w:w="2689" w:type="dxa"/>
            <w:vMerge w:val="restart"/>
            <w:vAlign w:val="center"/>
          </w:tcPr>
          <w:p w14:paraId="08E3D082" w14:textId="6BF33DE9" w:rsidR="00DD7975" w:rsidRDefault="00DD7975" w:rsidP="00DD7975">
            <w:pPr>
              <w:jc w:val="center"/>
              <w:rPr>
                <w:b/>
                <w:bCs/>
              </w:rPr>
            </w:pPr>
            <w:r>
              <w:rPr>
                <w:b/>
                <w:bCs/>
              </w:rPr>
              <w:t>US CBO—</w:t>
            </w:r>
            <w:r w:rsidR="00354560">
              <w:rPr>
                <w:b/>
                <w:bCs/>
              </w:rPr>
              <w:t>Central Budgetary Office</w:t>
            </w:r>
          </w:p>
          <w:p w14:paraId="67FA0AE6" w14:textId="77777777" w:rsidR="00354560" w:rsidRDefault="00354560" w:rsidP="00DD7975">
            <w:pPr>
              <w:jc w:val="center"/>
              <w:rPr>
                <w:b/>
                <w:bCs/>
              </w:rPr>
            </w:pPr>
          </w:p>
          <w:p w14:paraId="4B9C4AA2" w14:textId="73F4018C" w:rsidR="00DD7975" w:rsidRDefault="00354560" w:rsidP="00DD7975">
            <w:pPr>
              <w:jc w:val="center"/>
              <w:rPr>
                <w:b/>
                <w:bCs/>
              </w:rPr>
            </w:pPr>
            <w:r>
              <w:rPr>
                <w:b/>
                <w:bCs/>
              </w:rPr>
              <w:t>-</w:t>
            </w:r>
            <w:r w:rsidR="00DD7975" w:rsidRPr="00CD1470">
              <w:rPr>
                <w:b/>
                <w:bCs/>
              </w:rPr>
              <w:t>f</w:t>
            </w:r>
            <w:r w:rsidR="00DD7975">
              <w:rPr>
                <w:b/>
                <w:bCs/>
              </w:rPr>
              <w:t>r</w:t>
            </w:r>
            <w:r w:rsidR="00DD7975" w:rsidRPr="00CD1470">
              <w:rPr>
                <w:b/>
                <w:bCs/>
              </w:rPr>
              <w:t>ed.stlouisfed.org</w:t>
            </w:r>
            <w:r>
              <w:rPr>
                <w:b/>
                <w:bCs/>
              </w:rPr>
              <w:t xml:space="preserve"> </w:t>
            </w:r>
          </w:p>
        </w:tc>
        <w:tc>
          <w:tcPr>
            <w:tcW w:w="4394" w:type="dxa"/>
          </w:tcPr>
          <w:p w14:paraId="74C40524" w14:textId="77777777" w:rsidR="0036344D" w:rsidRDefault="00DD7975">
            <w:pPr>
              <w:rPr>
                <w:b/>
                <w:bCs/>
              </w:rPr>
            </w:pPr>
            <w:r w:rsidRPr="00CD1470">
              <w:rPr>
                <w:b/>
                <w:bCs/>
              </w:rPr>
              <w:t xml:space="preserve">inflation </w:t>
            </w:r>
            <w:r>
              <w:rPr>
                <w:b/>
                <w:bCs/>
              </w:rPr>
              <w:t>Personal Consumption Expenditure</w:t>
            </w:r>
            <w:r w:rsidR="0036344D">
              <w:rPr>
                <w:b/>
                <w:bCs/>
              </w:rPr>
              <w:t>:</w:t>
            </w:r>
          </w:p>
          <w:p w14:paraId="4B7FE3F0" w14:textId="77777777" w:rsidR="0036344D" w:rsidRDefault="0036344D">
            <w:pPr>
              <w:rPr>
                <w:b/>
                <w:bCs/>
              </w:rPr>
            </w:pPr>
          </w:p>
          <w:p w14:paraId="7EE05509" w14:textId="1968A49B" w:rsidR="00DD7975" w:rsidRPr="00CD1470" w:rsidRDefault="00DD7975">
            <w:r w:rsidRPr="00CD1470">
              <w:t>-actual (monthly index, level</w:t>
            </w:r>
            <w:r>
              <w:t>s</w:t>
            </w:r>
            <w:r w:rsidRPr="00CD1470">
              <w:t xml:space="preserve">)..from fred.stlouisfed.org </w:t>
            </w:r>
          </w:p>
          <w:p w14:paraId="45E7F820" w14:textId="55825280" w:rsidR="00DD7975" w:rsidRDefault="00DD7975">
            <w:pPr>
              <w:rPr>
                <w:b/>
                <w:bCs/>
              </w:rPr>
            </w:pPr>
            <w:r w:rsidRPr="00CD1470">
              <w:t>-</w:t>
            </w:r>
            <w:proofErr w:type="spellStart"/>
            <w:r w:rsidRPr="00CD1470">
              <w:t>proj</w:t>
            </w:r>
            <w:proofErr w:type="spellEnd"/>
            <w:r w:rsidRPr="00CD1470">
              <w:t>. (ann. % change) from CBO</w:t>
            </w:r>
          </w:p>
        </w:tc>
        <w:tc>
          <w:tcPr>
            <w:tcW w:w="2693" w:type="dxa"/>
          </w:tcPr>
          <w:p w14:paraId="07A0694B" w14:textId="77777777" w:rsidR="00DD7975" w:rsidRDefault="00DD7975">
            <w:pPr>
              <w:rPr>
                <w:b/>
                <w:bCs/>
              </w:rPr>
            </w:pPr>
            <w:r w:rsidRPr="004D0DAF">
              <w:rPr>
                <w:b/>
                <w:bCs/>
              </w:rPr>
              <w:t>---transformation</w:t>
            </w:r>
          </w:p>
          <w:p w14:paraId="3AA214EA" w14:textId="7C7F0135" w:rsidR="00DD7975" w:rsidRDefault="00DD7975">
            <w:pPr>
              <w:rPr>
                <w:b/>
                <w:bCs/>
              </w:rPr>
            </w:pPr>
            <w:r w:rsidRPr="004D0DAF">
              <w:rPr>
                <w:b/>
                <w:bCs/>
              </w:rPr>
              <w:t>1.</w:t>
            </w:r>
            <w:r>
              <w:rPr>
                <w:b/>
                <w:bCs/>
              </w:rPr>
              <w:t xml:space="preserve"> convert --</w:t>
            </w:r>
            <w:r w:rsidRPr="004D0DAF">
              <w:t>actual index from Mo to Qo</w:t>
            </w:r>
          </w:p>
          <w:p w14:paraId="06186E41" w14:textId="0ADD226E" w:rsidR="00DD7975" w:rsidRPr="004D0DAF" w:rsidRDefault="00DD7975">
            <w:r w:rsidRPr="004D0DAF">
              <w:rPr>
                <w:b/>
                <w:bCs/>
              </w:rPr>
              <w:t xml:space="preserve">2. </w:t>
            </w:r>
            <w:r w:rsidRPr="004D0DAF">
              <w:t>Log trans of Qo</w:t>
            </w:r>
            <w:r>
              <w:t xml:space="preserve"> index</w:t>
            </w:r>
          </w:p>
          <w:p w14:paraId="74D46C7E" w14:textId="77777777" w:rsidR="00A04407" w:rsidRDefault="00DD7975">
            <w:pPr>
              <w:rPr>
                <w:b/>
                <w:bCs/>
                <w:sz w:val="24"/>
                <w:szCs w:val="24"/>
              </w:rPr>
            </w:pPr>
            <w:r w:rsidRPr="004D0DAF">
              <w:rPr>
                <w:b/>
                <w:bCs/>
              </w:rPr>
              <w:t>3</w:t>
            </w:r>
            <w:r w:rsidRPr="00A04407">
              <w:rPr>
                <w:b/>
                <w:bCs/>
                <w:sz w:val="20"/>
                <w:szCs w:val="20"/>
              </w:rPr>
              <w:t xml:space="preserve">. Ann. % change of Qo (d4l/y-o-y) </w:t>
            </w:r>
          </w:p>
          <w:p w14:paraId="747896B3" w14:textId="3BEFAD34" w:rsidR="00DD7975" w:rsidRPr="004D0DAF" w:rsidRDefault="00DD7975">
            <w:r w:rsidRPr="004D0DAF">
              <w:t>d4l_cpi_us = (</w:t>
            </w:r>
            <w:proofErr w:type="spellStart"/>
            <w:r w:rsidRPr="004D0DAF">
              <w:t>lcpi_us</w:t>
            </w:r>
            <w:proofErr w:type="spellEnd"/>
            <w:r w:rsidRPr="004D0DAF">
              <w:t xml:space="preserve"> - </w:t>
            </w:r>
            <w:proofErr w:type="spellStart"/>
            <w:r w:rsidRPr="004D0DAF">
              <w:t>lcpi_us</w:t>
            </w:r>
            <w:proofErr w:type="spellEnd"/>
            <w:r w:rsidRPr="004D0DAF">
              <w:t>(-4))</w:t>
            </w:r>
          </w:p>
          <w:p w14:paraId="0C92AF51" w14:textId="77777777" w:rsidR="00DD7975" w:rsidRPr="00A04407" w:rsidRDefault="00DD7975">
            <w:pPr>
              <w:rPr>
                <w:b/>
                <w:bCs/>
                <w:sz w:val="20"/>
                <w:szCs w:val="20"/>
              </w:rPr>
            </w:pPr>
            <w:r w:rsidRPr="00A04407">
              <w:rPr>
                <w:b/>
                <w:bCs/>
                <w:sz w:val="20"/>
                <w:szCs w:val="20"/>
              </w:rPr>
              <w:t>4. %change, Mo-to-Mo or dl</w:t>
            </w:r>
          </w:p>
          <w:p w14:paraId="4196A834" w14:textId="22F2D37A" w:rsidR="00DD7975" w:rsidRPr="004D0DAF" w:rsidRDefault="00DD7975">
            <w:r w:rsidRPr="004D0DAF">
              <w:t xml:space="preserve">--merge: act (d4l) with </w:t>
            </w:r>
            <w:proofErr w:type="spellStart"/>
            <w:r w:rsidRPr="004D0DAF">
              <w:t>proj</w:t>
            </w:r>
            <w:proofErr w:type="spellEnd"/>
            <w:r w:rsidRPr="004D0DAF">
              <w:t>.</w:t>
            </w:r>
          </w:p>
          <w:p w14:paraId="4F23F911" w14:textId="18FC7D58" w:rsidR="00DD7975" w:rsidRPr="004D0DAF" w:rsidRDefault="00DD7975" w:rsidP="004D0DAF">
            <w:r w:rsidRPr="004D0DAF">
              <w:t>--re-compute/replicate org data from trans(</w:t>
            </w:r>
            <w:proofErr w:type="spellStart"/>
            <w:r w:rsidRPr="004D0DAF">
              <w:t>l_cpi_us</w:t>
            </w:r>
            <w:proofErr w:type="spellEnd"/>
            <w:r w:rsidRPr="004D0DAF">
              <w:t>)</w:t>
            </w:r>
            <w:r>
              <w:t>:</w:t>
            </w:r>
          </w:p>
          <w:p w14:paraId="3216F2C5" w14:textId="6AC531FE" w:rsidR="00DD7975" w:rsidRPr="004D0DAF" w:rsidRDefault="00DD7975" w:rsidP="004D0DAF">
            <w:pPr>
              <w:rPr>
                <w:sz w:val="18"/>
                <w:szCs w:val="18"/>
              </w:rPr>
            </w:pPr>
            <w:proofErr w:type="spellStart"/>
            <w:r w:rsidRPr="004D0DAF">
              <w:rPr>
                <w:sz w:val="18"/>
                <w:szCs w:val="18"/>
              </w:rPr>
              <w:t>lcpi_us</w:t>
            </w:r>
            <w:proofErr w:type="spellEnd"/>
            <w:r w:rsidRPr="004D0DAF">
              <w:rPr>
                <w:sz w:val="18"/>
                <w:szCs w:val="18"/>
              </w:rPr>
              <w:t xml:space="preserve"> = </w:t>
            </w:r>
            <w:proofErr w:type="spellStart"/>
            <w:r w:rsidRPr="004D0DAF">
              <w:rPr>
                <w:sz w:val="18"/>
                <w:szCs w:val="18"/>
              </w:rPr>
              <w:t>lcpi_us</w:t>
            </w:r>
            <w:proofErr w:type="spellEnd"/>
            <w:r w:rsidRPr="004D0DAF">
              <w:rPr>
                <w:sz w:val="18"/>
                <w:szCs w:val="18"/>
              </w:rPr>
              <w:t>(-4) + d4l_cpi_us</w:t>
            </w:r>
          </w:p>
          <w:p w14:paraId="3032A971" w14:textId="5D42E7D8" w:rsidR="00DD7975" w:rsidRDefault="00DD7975" w:rsidP="004D0DAF">
            <w:pPr>
              <w:rPr>
                <w:b/>
                <w:bCs/>
              </w:rPr>
            </w:pPr>
            <w:proofErr w:type="spellStart"/>
            <w:r w:rsidRPr="004D0DAF">
              <w:rPr>
                <w:sz w:val="18"/>
                <w:szCs w:val="18"/>
              </w:rPr>
              <w:t>cpi_us</w:t>
            </w:r>
            <w:proofErr w:type="spellEnd"/>
            <w:r w:rsidRPr="004D0DAF">
              <w:rPr>
                <w:sz w:val="18"/>
                <w:szCs w:val="18"/>
              </w:rPr>
              <w:t xml:space="preserve"> = exp(</w:t>
            </w:r>
            <w:proofErr w:type="spellStart"/>
            <w:r w:rsidRPr="004D0DAF">
              <w:rPr>
                <w:sz w:val="18"/>
                <w:szCs w:val="18"/>
              </w:rPr>
              <w:t>lcpi_us</w:t>
            </w:r>
            <w:proofErr w:type="spellEnd"/>
            <w:r w:rsidRPr="004D0DAF">
              <w:rPr>
                <w:sz w:val="18"/>
                <w:szCs w:val="18"/>
              </w:rPr>
              <w:t>)</w:t>
            </w:r>
          </w:p>
        </w:tc>
      </w:tr>
      <w:tr w:rsidR="00DD7975" w14:paraId="293245C1" w14:textId="229B2E31" w:rsidTr="004D0DAF">
        <w:tc>
          <w:tcPr>
            <w:tcW w:w="2689" w:type="dxa"/>
            <w:vMerge/>
          </w:tcPr>
          <w:p w14:paraId="28AA6478" w14:textId="77777777" w:rsidR="00DD7975" w:rsidRDefault="00DD7975">
            <w:pPr>
              <w:rPr>
                <w:b/>
                <w:bCs/>
              </w:rPr>
            </w:pPr>
          </w:p>
        </w:tc>
        <w:tc>
          <w:tcPr>
            <w:tcW w:w="4394" w:type="dxa"/>
          </w:tcPr>
          <w:p w14:paraId="6BA533B0" w14:textId="43DED0AB" w:rsidR="00DD7975" w:rsidRPr="00D90320" w:rsidRDefault="00DD7975" w:rsidP="00D90320">
            <w:pPr>
              <w:rPr>
                <w:b/>
                <w:bCs/>
              </w:rPr>
            </w:pPr>
            <w:r w:rsidRPr="00D90320">
              <w:rPr>
                <w:b/>
                <w:bCs/>
              </w:rPr>
              <w:t>Real GDP</w:t>
            </w:r>
            <w:r>
              <w:rPr>
                <w:b/>
                <w:bCs/>
              </w:rPr>
              <w:t>: --</w:t>
            </w:r>
            <w:r w:rsidRPr="008269F4">
              <w:rPr>
                <w:sz w:val="18"/>
                <w:szCs w:val="18"/>
              </w:rPr>
              <w:t xml:space="preserve">actual </w:t>
            </w:r>
            <w:r>
              <w:rPr>
                <w:sz w:val="18"/>
                <w:szCs w:val="18"/>
              </w:rPr>
              <w:t xml:space="preserve">observed in </w:t>
            </w:r>
            <w:r w:rsidRPr="008269F4">
              <w:rPr>
                <w:sz w:val="18"/>
                <w:szCs w:val="18"/>
              </w:rPr>
              <w:t>levels</w:t>
            </w:r>
          </w:p>
          <w:p w14:paraId="2BDD192D" w14:textId="682C4092" w:rsidR="00DD7975" w:rsidRDefault="00DD7975" w:rsidP="00D90320">
            <w:pPr>
              <w:rPr>
                <w:b/>
                <w:bCs/>
              </w:rPr>
            </w:pPr>
            <w:r w:rsidRPr="00D90320">
              <w:rPr>
                <w:b/>
                <w:bCs/>
              </w:rPr>
              <w:t xml:space="preserve">              </w:t>
            </w:r>
            <w:r w:rsidR="005F5A14">
              <w:rPr>
                <w:b/>
                <w:bCs/>
              </w:rPr>
              <w:t xml:space="preserve">   </w:t>
            </w:r>
            <w:r w:rsidRPr="00D90320">
              <w:rPr>
                <w:b/>
                <w:bCs/>
              </w:rPr>
              <w:t>--</w:t>
            </w:r>
            <w:proofErr w:type="spellStart"/>
            <w:r w:rsidRPr="008269F4">
              <w:t>Proj</w:t>
            </w:r>
            <w:proofErr w:type="spellEnd"/>
            <w:r w:rsidRPr="008269F4">
              <w:t xml:space="preserve">. </w:t>
            </w:r>
            <w:r>
              <w:t xml:space="preserve">observed as </w:t>
            </w:r>
            <w:r w:rsidRPr="008269F4">
              <w:t>ann. % change.</w:t>
            </w:r>
          </w:p>
        </w:tc>
        <w:tc>
          <w:tcPr>
            <w:tcW w:w="2693" w:type="dxa"/>
          </w:tcPr>
          <w:p w14:paraId="30E0C140" w14:textId="64C95A4A" w:rsidR="00DD7975" w:rsidRPr="006D3AA4" w:rsidRDefault="00A04407">
            <w:pPr>
              <w:rPr>
                <w:sz w:val="18"/>
                <w:szCs w:val="18"/>
              </w:rPr>
            </w:pPr>
            <w:r>
              <w:rPr>
                <w:sz w:val="20"/>
                <w:szCs w:val="20"/>
              </w:rPr>
              <w:t>-</w:t>
            </w:r>
            <w:r w:rsidR="00DD7975" w:rsidRPr="00A04407">
              <w:rPr>
                <w:sz w:val="20"/>
                <w:szCs w:val="20"/>
              </w:rPr>
              <w:t xml:space="preserve">Actual observed from </w:t>
            </w:r>
            <w:r w:rsidR="00DD7975" w:rsidRPr="006D3AA4">
              <w:rPr>
                <w:sz w:val="18"/>
                <w:szCs w:val="18"/>
              </w:rPr>
              <w:t>fred.stlouisfed.org</w:t>
            </w:r>
          </w:p>
          <w:p w14:paraId="0E192DC3" w14:textId="1B99B89A" w:rsidR="00DD7975" w:rsidRDefault="00A04407">
            <w:pPr>
              <w:rPr>
                <w:sz w:val="18"/>
                <w:szCs w:val="18"/>
              </w:rPr>
            </w:pPr>
            <w:r>
              <w:rPr>
                <w:sz w:val="18"/>
                <w:szCs w:val="18"/>
              </w:rPr>
              <w:t>-</w:t>
            </w:r>
            <w:r w:rsidR="00DD7975" w:rsidRPr="006D3AA4">
              <w:rPr>
                <w:sz w:val="18"/>
                <w:szCs w:val="18"/>
              </w:rPr>
              <w:t xml:space="preserve">And </w:t>
            </w:r>
            <w:proofErr w:type="spellStart"/>
            <w:r w:rsidR="00DD7975" w:rsidRPr="006D3AA4">
              <w:rPr>
                <w:sz w:val="18"/>
                <w:szCs w:val="18"/>
              </w:rPr>
              <w:t>proj</w:t>
            </w:r>
            <w:proofErr w:type="spellEnd"/>
            <w:r w:rsidR="00DD7975" w:rsidRPr="006D3AA4">
              <w:rPr>
                <w:sz w:val="18"/>
                <w:szCs w:val="18"/>
              </w:rPr>
              <w:t>. from CBO</w:t>
            </w:r>
          </w:p>
          <w:p w14:paraId="3647D4FC" w14:textId="45D52E2B" w:rsidR="00DD7975" w:rsidRDefault="00DD7975">
            <w:pPr>
              <w:rPr>
                <w:b/>
                <w:bCs/>
              </w:rPr>
            </w:pPr>
            <w:proofErr w:type="gramStart"/>
            <w:r>
              <w:rPr>
                <w:sz w:val="18"/>
                <w:szCs w:val="18"/>
              </w:rPr>
              <w:t>So</w:t>
            </w:r>
            <w:proofErr w:type="gramEnd"/>
            <w:r>
              <w:rPr>
                <w:sz w:val="18"/>
                <w:szCs w:val="18"/>
              </w:rPr>
              <w:t xml:space="preserve"> data merge is applied</w:t>
            </w:r>
          </w:p>
        </w:tc>
      </w:tr>
      <w:tr w:rsidR="00DD7975" w14:paraId="4C2A6291" w14:textId="7CC29073" w:rsidTr="004D0DAF">
        <w:tc>
          <w:tcPr>
            <w:tcW w:w="2689" w:type="dxa"/>
            <w:vMerge/>
          </w:tcPr>
          <w:p w14:paraId="08AAC6C6" w14:textId="77777777" w:rsidR="00DD7975" w:rsidRDefault="00DD7975">
            <w:pPr>
              <w:rPr>
                <w:b/>
                <w:bCs/>
              </w:rPr>
            </w:pPr>
          </w:p>
        </w:tc>
        <w:tc>
          <w:tcPr>
            <w:tcW w:w="4394" w:type="dxa"/>
          </w:tcPr>
          <w:p w14:paraId="6D6C5B5E" w14:textId="1A760121" w:rsidR="00DD7975" w:rsidRDefault="00DD7975">
            <w:pPr>
              <w:rPr>
                <w:b/>
                <w:bCs/>
              </w:rPr>
            </w:pPr>
            <w:r>
              <w:rPr>
                <w:b/>
                <w:bCs/>
              </w:rPr>
              <w:t xml:space="preserve">nominal </w:t>
            </w:r>
            <w:r w:rsidRPr="008269F4">
              <w:rPr>
                <w:b/>
                <w:bCs/>
              </w:rPr>
              <w:t>interest rate</w:t>
            </w:r>
            <w:r>
              <w:rPr>
                <w:b/>
                <w:bCs/>
              </w:rPr>
              <w:t xml:space="preserve"> (</w:t>
            </w:r>
            <w:r w:rsidRPr="008269F4">
              <w:rPr>
                <w:b/>
                <w:bCs/>
              </w:rPr>
              <w:t>Federal funds rate</w:t>
            </w:r>
            <w:r>
              <w:rPr>
                <w:b/>
                <w:bCs/>
              </w:rPr>
              <w:t>)</w:t>
            </w:r>
            <w:r w:rsidR="00292374">
              <w:rPr>
                <w:b/>
                <w:bCs/>
              </w:rPr>
              <w:t>—istar:</w:t>
            </w:r>
          </w:p>
          <w:p w14:paraId="632693DB" w14:textId="77777777" w:rsidR="00B9652D" w:rsidRDefault="00B9652D">
            <w:pPr>
              <w:rPr>
                <w:b/>
                <w:bCs/>
              </w:rPr>
            </w:pPr>
          </w:p>
          <w:p w14:paraId="09370951" w14:textId="77777777" w:rsidR="00DD7975" w:rsidRDefault="00DD7975">
            <w:r>
              <w:rPr>
                <w:b/>
                <w:bCs/>
              </w:rPr>
              <w:t>--</w:t>
            </w:r>
            <w:r w:rsidRPr="008269F4">
              <w:t xml:space="preserve">actual &amp; </w:t>
            </w:r>
            <w:proofErr w:type="spellStart"/>
            <w:r w:rsidRPr="008269F4">
              <w:t>proj</w:t>
            </w:r>
            <w:proofErr w:type="spellEnd"/>
            <w:r w:rsidRPr="008269F4">
              <w:t>. (%) observed from CBO and act but also at fred.stlouisfed.org</w:t>
            </w:r>
          </w:p>
          <w:p w14:paraId="1F6D11B7" w14:textId="6DA279C7" w:rsidR="00DD7975" w:rsidRDefault="00DD7975" w:rsidP="00C26F01">
            <w:pPr>
              <w:rPr>
                <w:b/>
                <w:bCs/>
              </w:rPr>
            </w:pPr>
            <w:r w:rsidRPr="00C26F01">
              <w:rPr>
                <w:b/>
                <w:bCs/>
              </w:rPr>
              <w:t>---</w:t>
            </w:r>
            <w:proofErr w:type="spellStart"/>
            <w:r w:rsidRPr="00C26F01">
              <w:rPr>
                <w:b/>
                <w:bCs/>
              </w:rPr>
              <w:t>i_us</w:t>
            </w:r>
            <w:proofErr w:type="spellEnd"/>
            <w:r w:rsidR="00292374">
              <w:rPr>
                <w:b/>
                <w:bCs/>
              </w:rPr>
              <w:t xml:space="preserve"> (istar)</w:t>
            </w:r>
            <w:r>
              <w:rPr>
                <w:b/>
                <w:bCs/>
              </w:rPr>
              <w:t xml:space="preserve"> </w:t>
            </w:r>
            <w:r w:rsidRPr="00C26F01">
              <w:rPr>
                <w:b/>
                <w:bCs/>
              </w:rPr>
              <w:t xml:space="preserve">= </w:t>
            </w:r>
            <w:r w:rsidRPr="00B9652D">
              <w:t xml:space="preserve">lag + d4l_cpi_us + </w:t>
            </w:r>
            <w:proofErr w:type="spellStart"/>
            <w:r w:rsidRPr="00B9652D">
              <w:t>r_us_tnd</w:t>
            </w:r>
            <w:proofErr w:type="spellEnd"/>
          </w:p>
          <w:p w14:paraId="364D502E" w14:textId="77777777" w:rsidR="00DD7975" w:rsidRDefault="00DD7975" w:rsidP="00C26F01">
            <w:pPr>
              <w:ind w:left="720"/>
            </w:pPr>
            <w:r w:rsidRPr="00C26F01">
              <w:rPr>
                <w:b/>
                <w:bCs/>
              </w:rPr>
              <w:t>--</w:t>
            </w:r>
            <w:proofErr w:type="spellStart"/>
            <w:r w:rsidRPr="00C26F01">
              <w:rPr>
                <w:b/>
                <w:bCs/>
              </w:rPr>
              <w:t>i_us</w:t>
            </w:r>
            <w:proofErr w:type="spellEnd"/>
            <w:r w:rsidRPr="00C26F01">
              <w:rPr>
                <w:b/>
                <w:bCs/>
              </w:rPr>
              <w:t xml:space="preserve">: </w:t>
            </w:r>
            <w:r w:rsidRPr="00C26F01">
              <w:t>nominal federal funds rate from CBO</w:t>
            </w:r>
          </w:p>
          <w:p w14:paraId="1A983C40" w14:textId="4F09BF1D" w:rsidR="00DD7975" w:rsidRPr="008269F4" w:rsidRDefault="00DD7975" w:rsidP="00C26F01">
            <w:pPr>
              <w:ind w:left="720"/>
            </w:pPr>
            <w:r>
              <w:rPr>
                <w:b/>
                <w:bCs/>
              </w:rPr>
              <w:t>--</w:t>
            </w:r>
            <w:proofErr w:type="spellStart"/>
            <w:r w:rsidRPr="00C26F01">
              <w:rPr>
                <w:b/>
                <w:bCs/>
              </w:rPr>
              <w:t>cpi_us</w:t>
            </w:r>
            <w:proofErr w:type="spellEnd"/>
            <w:r w:rsidRPr="00C26F01">
              <w:rPr>
                <w:b/>
                <w:bCs/>
              </w:rPr>
              <w:t xml:space="preserve"> : </w:t>
            </w:r>
            <w:proofErr w:type="spellStart"/>
            <w:r w:rsidRPr="00C26F01">
              <w:t>pce</w:t>
            </w:r>
            <w:proofErr w:type="spellEnd"/>
            <w:r w:rsidRPr="00C26F01">
              <w:t xml:space="preserve"> from CBO</w:t>
            </w:r>
          </w:p>
        </w:tc>
        <w:tc>
          <w:tcPr>
            <w:tcW w:w="2693" w:type="dxa"/>
          </w:tcPr>
          <w:p w14:paraId="7F474316" w14:textId="6BE5AA76" w:rsidR="00A04407" w:rsidRPr="00A04407" w:rsidRDefault="00DD7975" w:rsidP="00C26F01">
            <w:pPr>
              <w:rPr>
                <w:b/>
                <w:bCs/>
                <w:color w:val="C00000"/>
              </w:rPr>
            </w:pPr>
            <w:r w:rsidRPr="00A04407">
              <w:rPr>
                <w:b/>
                <w:bCs/>
                <w:color w:val="C00000"/>
              </w:rPr>
              <w:t>Derivation of Real interest rate</w:t>
            </w:r>
            <w:r w:rsidR="00B9652D" w:rsidRPr="00A04407">
              <w:rPr>
                <w:b/>
                <w:bCs/>
                <w:color w:val="C00000"/>
              </w:rPr>
              <w:t xml:space="preserve"> (RIR, level &amp; trend)</w:t>
            </w:r>
            <w:r w:rsidR="00A04407">
              <w:rPr>
                <w:b/>
                <w:bCs/>
                <w:color w:val="C00000"/>
              </w:rPr>
              <w:t>:</w:t>
            </w:r>
          </w:p>
          <w:p w14:paraId="76B5DAFC" w14:textId="5E2F7277" w:rsidR="00DD7975" w:rsidRDefault="00DD7975" w:rsidP="00C26F01">
            <w:pPr>
              <w:rPr>
                <w:b/>
                <w:bCs/>
              </w:rPr>
            </w:pPr>
            <w:r w:rsidRPr="00C26F01">
              <w:rPr>
                <w:b/>
                <w:bCs/>
              </w:rPr>
              <w:t>--</w:t>
            </w:r>
            <w:r w:rsidRPr="00BF0A04">
              <w:rPr>
                <w:b/>
                <w:bCs/>
                <w:color w:val="C00000"/>
              </w:rPr>
              <w:t>real (unobserved)</w:t>
            </w:r>
            <w:r w:rsidR="00567A23" w:rsidRPr="00BF0A04">
              <w:rPr>
                <w:b/>
                <w:bCs/>
                <w:color w:val="C00000"/>
              </w:rPr>
              <w:t xml:space="preserve"> (</w:t>
            </w:r>
            <w:proofErr w:type="spellStart"/>
            <w:r w:rsidR="00567A23" w:rsidRPr="00BF0A04">
              <w:rPr>
                <w:b/>
                <w:bCs/>
                <w:color w:val="C00000"/>
              </w:rPr>
              <w:t>rstar</w:t>
            </w:r>
            <w:proofErr w:type="spellEnd"/>
            <w:r w:rsidR="00567A23" w:rsidRPr="00BF0A04">
              <w:rPr>
                <w:b/>
                <w:bCs/>
                <w:color w:val="C00000"/>
              </w:rPr>
              <w:t>)</w:t>
            </w:r>
          </w:p>
          <w:p w14:paraId="0CAC92C7" w14:textId="67A41E2F" w:rsidR="00DD7975" w:rsidRDefault="00DD7975" w:rsidP="00C26F01">
            <w:pPr>
              <w:rPr>
                <w:sz w:val="20"/>
                <w:szCs w:val="20"/>
              </w:rPr>
            </w:pPr>
            <w:proofErr w:type="spellStart"/>
            <w:r w:rsidRPr="00C26F01">
              <w:t>r_us</w:t>
            </w:r>
            <w:proofErr w:type="spellEnd"/>
            <w:r w:rsidRPr="00C26F01">
              <w:t xml:space="preserve"> = </w:t>
            </w:r>
            <w:proofErr w:type="spellStart"/>
            <w:r w:rsidRPr="00C26F01">
              <w:t>i_us</w:t>
            </w:r>
            <w:proofErr w:type="spellEnd"/>
            <w:r w:rsidRPr="00C26F01">
              <w:t xml:space="preserve"> - </w:t>
            </w:r>
            <w:r w:rsidRPr="00C26F01">
              <w:rPr>
                <w:sz w:val="20"/>
                <w:szCs w:val="20"/>
              </w:rPr>
              <w:t>d4l_cpi_us (+1)</w:t>
            </w:r>
          </w:p>
          <w:p w14:paraId="48F23E1C" w14:textId="77777777" w:rsidR="00B9652D" w:rsidRDefault="00B9652D" w:rsidP="00C26F01"/>
          <w:p w14:paraId="51EC208D" w14:textId="228E10E4" w:rsidR="00DD7975" w:rsidRPr="00C26F01" w:rsidRDefault="00DD7975" w:rsidP="00C26F01">
            <w:pPr>
              <w:rPr>
                <w:b/>
                <w:bCs/>
              </w:rPr>
            </w:pPr>
            <w:r w:rsidRPr="00C26F01">
              <w:rPr>
                <w:b/>
                <w:bCs/>
              </w:rPr>
              <w:t>--</w:t>
            </w:r>
            <w:r w:rsidRPr="00BF0A04">
              <w:rPr>
                <w:b/>
                <w:bCs/>
                <w:color w:val="C00000"/>
              </w:rPr>
              <w:t>Trend, gap</w:t>
            </w:r>
            <w:r w:rsidR="00567A23" w:rsidRPr="00BF0A04">
              <w:rPr>
                <w:b/>
                <w:bCs/>
                <w:color w:val="C00000"/>
              </w:rPr>
              <w:t xml:space="preserve"> (</w:t>
            </w:r>
            <w:proofErr w:type="spellStart"/>
            <w:r w:rsidR="00567A23" w:rsidRPr="00BF0A04">
              <w:rPr>
                <w:b/>
                <w:bCs/>
                <w:color w:val="C00000"/>
              </w:rPr>
              <w:t>rstar_tnd</w:t>
            </w:r>
            <w:proofErr w:type="spellEnd"/>
            <w:r w:rsidR="00567A23" w:rsidRPr="00BF0A04">
              <w:rPr>
                <w:b/>
                <w:bCs/>
                <w:color w:val="C00000"/>
              </w:rPr>
              <w:t>):</w:t>
            </w:r>
          </w:p>
          <w:p w14:paraId="538797EF" w14:textId="2AB31155" w:rsidR="00DD7975" w:rsidRPr="00C26F01" w:rsidRDefault="00DD7975" w:rsidP="00C26F01">
            <w:r w:rsidRPr="00C26F01">
              <w:t>[</w:t>
            </w:r>
            <w:proofErr w:type="spellStart"/>
            <w:r w:rsidRPr="00C26F01">
              <w:t>r_us_tnd</w:t>
            </w:r>
            <w:proofErr w:type="spellEnd"/>
            <w:r w:rsidRPr="00C26F01">
              <w:t xml:space="preserve"> , </w:t>
            </w:r>
            <w:proofErr w:type="spellStart"/>
            <w:r w:rsidRPr="00C26F01">
              <w:t>r_us_gap</w:t>
            </w:r>
            <w:proofErr w:type="spellEnd"/>
            <w:r w:rsidRPr="00C26F01">
              <w:t xml:space="preserve">] = </w:t>
            </w:r>
            <w:proofErr w:type="spellStart"/>
            <w:r w:rsidRPr="00C26F01">
              <w:t>hpf</w:t>
            </w:r>
            <w:proofErr w:type="spellEnd"/>
            <w:r w:rsidRPr="00C26F01">
              <w:t>(</w:t>
            </w:r>
            <w:proofErr w:type="spellStart"/>
            <w:r w:rsidRPr="00C26F01">
              <w:t>r_us</w:t>
            </w:r>
            <w:proofErr w:type="spellEnd"/>
            <w:r w:rsidRPr="00C26F01">
              <w:t>)</w:t>
            </w:r>
          </w:p>
          <w:p w14:paraId="115EF5A3" w14:textId="58432FC9" w:rsidR="00DD7975" w:rsidRPr="00C26F01" w:rsidRDefault="00DD7975" w:rsidP="00C26F01">
            <w:pPr>
              <w:rPr>
                <w:b/>
                <w:bCs/>
              </w:rPr>
            </w:pPr>
            <w:r w:rsidRPr="00C26F01">
              <w:rPr>
                <w:b/>
                <w:bCs/>
              </w:rPr>
              <w:t>--</w:t>
            </w:r>
            <w:proofErr w:type="spellStart"/>
            <w:r w:rsidRPr="00B9652D">
              <w:t>r_us_tnd</w:t>
            </w:r>
            <w:proofErr w:type="spellEnd"/>
            <w:r w:rsidRPr="00B9652D">
              <w:t xml:space="preserve"> = lag + </w:t>
            </w:r>
            <w:proofErr w:type="spellStart"/>
            <w:r w:rsidRPr="00B9652D">
              <w:t>ss_r_us</w:t>
            </w:r>
            <w:proofErr w:type="spellEnd"/>
          </w:p>
          <w:p w14:paraId="4F2C81DD" w14:textId="170790B7" w:rsidR="00DD7975" w:rsidRDefault="00DD7975">
            <w:pPr>
              <w:rPr>
                <w:b/>
                <w:bCs/>
              </w:rPr>
            </w:pPr>
          </w:p>
        </w:tc>
      </w:tr>
      <w:tr w:rsidR="00DD7975" w14:paraId="010F3409" w14:textId="797EDF50" w:rsidTr="00DD7975">
        <w:tc>
          <w:tcPr>
            <w:tcW w:w="2689" w:type="dxa"/>
            <w:vMerge w:val="restart"/>
            <w:vAlign w:val="center"/>
          </w:tcPr>
          <w:p w14:paraId="3DA34770" w14:textId="2FF2FA6C" w:rsidR="00DD7975" w:rsidRDefault="00DD7975" w:rsidP="00DD7975">
            <w:pPr>
              <w:jc w:val="center"/>
              <w:rPr>
                <w:b/>
                <w:bCs/>
              </w:rPr>
            </w:pPr>
            <w:r>
              <w:rPr>
                <w:b/>
                <w:bCs/>
              </w:rPr>
              <w:t>-</w:t>
            </w:r>
            <w:r w:rsidRPr="006D3AA4">
              <w:rPr>
                <w:b/>
                <w:bCs/>
              </w:rPr>
              <w:t>W</w:t>
            </w:r>
            <w:r>
              <w:rPr>
                <w:b/>
                <w:bCs/>
              </w:rPr>
              <w:t xml:space="preserve">orld Bank </w:t>
            </w:r>
            <w:r w:rsidRPr="006D3AA4">
              <w:rPr>
                <w:b/>
                <w:bCs/>
              </w:rPr>
              <w:t>C</w:t>
            </w:r>
            <w:r>
              <w:rPr>
                <w:b/>
                <w:bCs/>
              </w:rPr>
              <w:t>ommodity</w:t>
            </w:r>
            <w:r w:rsidRPr="006D3AA4">
              <w:rPr>
                <w:b/>
                <w:bCs/>
              </w:rPr>
              <w:t xml:space="preserve"> prices</w:t>
            </w:r>
            <w:r>
              <w:rPr>
                <w:b/>
                <w:bCs/>
              </w:rPr>
              <w:t xml:space="preserve"> from data/</w:t>
            </w:r>
            <w:r w:rsidRPr="006D3AA4">
              <w:rPr>
                <w:b/>
                <w:bCs/>
              </w:rPr>
              <w:t>pink sheet</w:t>
            </w:r>
          </w:p>
          <w:p w14:paraId="4515BFA3" w14:textId="6E6B6B62" w:rsidR="00DD7975" w:rsidRPr="00DD7975" w:rsidRDefault="00000000" w:rsidP="00DD7975">
            <w:pPr>
              <w:jc w:val="center"/>
              <w:rPr>
                <w:b/>
                <w:bCs/>
                <w:sz w:val="18"/>
                <w:szCs w:val="18"/>
              </w:rPr>
            </w:pPr>
            <w:hyperlink r:id="rId9" w:history="1">
              <w:r w:rsidR="00DD7975" w:rsidRPr="00DD7975">
                <w:rPr>
                  <w:rStyle w:val="Hyperlink"/>
                  <w:b/>
                  <w:bCs/>
                  <w:sz w:val="18"/>
                  <w:szCs w:val="18"/>
                </w:rPr>
                <w:t>https://www.worldbank.org/en/research/commodity-markets</w:t>
              </w:r>
            </w:hyperlink>
          </w:p>
          <w:p w14:paraId="4DB84E36" w14:textId="77777777" w:rsidR="00DD7975" w:rsidRDefault="00DD7975" w:rsidP="00DD7975">
            <w:pPr>
              <w:jc w:val="center"/>
              <w:rPr>
                <w:b/>
                <w:bCs/>
              </w:rPr>
            </w:pPr>
          </w:p>
          <w:p w14:paraId="551ED872" w14:textId="2A037EEC" w:rsidR="00DD7975" w:rsidRDefault="00DD7975" w:rsidP="00DD7975">
            <w:pPr>
              <w:jc w:val="center"/>
              <w:rPr>
                <w:b/>
                <w:bCs/>
              </w:rPr>
            </w:pPr>
            <w:r>
              <w:rPr>
                <w:b/>
                <w:bCs/>
              </w:rPr>
              <w:t>-IMF/World Economic Outlook</w:t>
            </w:r>
          </w:p>
          <w:p w14:paraId="11144033" w14:textId="4A7ABC89" w:rsidR="00DD7975" w:rsidRDefault="00DD7975" w:rsidP="00DD7975">
            <w:pPr>
              <w:jc w:val="center"/>
              <w:rPr>
                <w:b/>
                <w:bCs/>
              </w:rPr>
            </w:pPr>
          </w:p>
        </w:tc>
        <w:tc>
          <w:tcPr>
            <w:tcW w:w="4394" w:type="dxa"/>
          </w:tcPr>
          <w:p w14:paraId="5CC55524" w14:textId="0C2E5844" w:rsidR="00DD7975" w:rsidRDefault="00DD7975">
            <w:pPr>
              <w:rPr>
                <w:b/>
                <w:bCs/>
              </w:rPr>
            </w:pPr>
            <w:r>
              <w:rPr>
                <w:b/>
                <w:bCs/>
              </w:rPr>
              <w:t>Food inflation—</w:t>
            </w:r>
            <w:r w:rsidRPr="006D3AA4">
              <w:rPr>
                <w:b/>
                <w:bCs/>
              </w:rPr>
              <w:t>foreign food</w:t>
            </w:r>
            <w:r>
              <w:rPr>
                <w:b/>
                <w:bCs/>
              </w:rPr>
              <w:t xml:space="preserve"> prices:</w:t>
            </w:r>
          </w:p>
          <w:p w14:paraId="5880D652" w14:textId="1BB124FB" w:rsidR="00DD7975" w:rsidRDefault="00DD7975">
            <w:r>
              <w:t>-a</w:t>
            </w:r>
            <w:r w:rsidRPr="006D3AA4">
              <w:t xml:space="preserve">ctual index (monthly indices based on nominal US dollars, 2010=100, 1960 to present) </w:t>
            </w:r>
          </w:p>
          <w:p w14:paraId="0331A512" w14:textId="576B989F" w:rsidR="00DD7975" w:rsidRDefault="00DD7975">
            <w:r>
              <w:t>-</w:t>
            </w:r>
            <w:proofErr w:type="spellStart"/>
            <w:r w:rsidRPr="006D3AA4">
              <w:t>proj</w:t>
            </w:r>
            <w:proofErr w:type="spellEnd"/>
            <w:r w:rsidRPr="006D3AA4">
              <w:t xml:space="preserve">. </w:t>
            </w:r>
            <w:r>
              <w:t xml:space="preserve">observed as </w:t>
            </w:r>
            <w:r w:rsidRPr="006D3AA4">
              <w:t xml:space="preserve">ann. </w:t>
            </w:r>
            <w:r w:rsidR="005F5A14">
              <w:t>i</w:t>
            </w:r>
            <w:r w:rsidRPr="006D3AA4">
              <w:t>ndex</w:t>
            </w:r>
          </w:p>
          <w:p w14:paraId="64E2676F" w14:textId="77777777" w:rsidR="00DD7975" w:rsidRDefault="00DD7975"/>
          <w:p w14:paraId="50EFB11A" w14:textId="1C75F4C1" w:rsidR="00DD7975" w:rsidRPr="006D3AA4" w:rsidRDefault="00DD7975"/>
        </w:tc>
        <w:tc>
          <w:tcPr>
            <w:tcW w:w="2693" w:type="dxa"/>
          </w:tcPr>
          <w:p w14:paraId="3AFD4D1D" w14:textId="77777777" w:rsidR="00DD7975" w:rsidRDefault="00DD7975">
            <w:pPr>
              <w:rPr>
                <w:b/>
                <w:bCs/>
              </w:rPr>
            </w:pPr>
            <w:r>
              <w:rPr>
                <w:b/>
                <w:bCs/>
              </w:rPr>
              <w:t>-</w:t>
            </w:r>
            <w:r w:rsidRPr="00EB1DCC">
              <w:t>Actual observed as commodity prices from WB Pink Sheet</w:t>
            </w:r>
            <w:r>
              <w:rPr>
                <w:b/>
                <w:bCs/>
              </w:rPr>
              <w:t xml:space="preserve"> </w:t>
            </w:r>
          </w:p>
          <w:p w14:paraId="437833EF" w14:textId="77777777" w:rsidR="00DD7975" w:rsidRDefault="00DD7975">
            <w:pPr>
              <w:rPr>
                <w:b/>
                <w:bCs/>
              </w:rPr>
            </w:pPr>
          </w:p>
          <w:p w14:paraId="1349ECB6" w14:textId="5F066474" w:rsidR="00DD7975" w:rsidRDefault="00DD7975">
            <w:pPr>
              <w:rPr>
                <w:b/>
                <w:bCs/>
              </w:rPr>
            </w:pPr>
            <w:r>
              <w:rPr>
                <w:b/>
                <w:bCs/>
              </w:rPr>
              <w:t>-</w:t>
            </w:r>
            <w:r w:rsidRPr="00EB1DCC">
              <w:t xml:space="preserve">Projection observed as </w:t>
            </w:r>
            <w:r>
              <w:t xml:space="preserve"> </w:t>
            </w:r>
            <w:r w:rsidRPr="00EB1DCC">
              <w:t>annual index from WEO</w:t>
            </w:r>
          </w:p>
        </w:tc>
      </w:tr>
      <w:tr w:rsidR="00DD7975" w14:paraId="55F533E7" w14:textId="77777777" w:rsidTr="004D0DAF">
        <w:tc>
          <w:tcPr>
            <w:tcW w:w="2689" w:type="dxa"/>
            <w:vMerge/>
          </w:tcPr>
          <w:p w14:paraId="20520243" w14:textId="77777777" w:rsidR="00DD7975" w:rsidRDefault="00DD7975">
            <w:pPr>
              <w:rPr>
                <w:b/>
                <w:bCs/>
              </w:rPr>
            </w:pPr>
          </w:p>
        </w:tc>
        <w:tc>
          <w:tcPr>
            <w:tcW w:w="4394" w:type="dxa"/>
          </w:tcPr>
          <w:p w14:paraId="3544E334" w14:textId="352CA122" w:rsidR="00DD7975" w:rsidRDefault="00DD7975">
            <w:pPr>
              <w:rPr>
                <w:b/>
                <w:bCs/>
              </w:rPr>
            </w:pPr>
            <w:r>
              <w:rPr>
                <w:b/>
                <w:bCs/>
              </w:rPr>
              <w:t>Energy inflation—f</w:t>
            </w:r>
            <w:r w:rsidRPr="00EB1DCC">
              <w:rPr>
                <w:b/>
                <w:bCs/>
              </w:rPr>
              <w:t>oreign energy (Crude oil, average)</w:t>
            </w:r>
            <w:r>
              <w:rPr>
                <w:b/>
                <w:bCs/>
              </w:rPr>
              <w:t>:</w:t>
            </w:r>
          </w:p>
          <w:p w14:paraId="6596E9F8" w14:textId="68FCE40B" w:rsidR="00DD7975" w:rsidRPr="00EB1DCC" w:rsidRDefault="00DD7975">
            <w:r>
              <w:t>-</w:t>
            </w:r>
            <w:r w:rsidRPr="00EB1DCC">
              <w:t>actual (monthly prices in nominal US dollars, 1960 to present) levels or index</w:t>
            </w:r>
          </w:p>
          <w:p w14:paraId="052D87A1" w14:textId="48C574CE" w:rsidR="00DD7975" w:rsidRDefault="00DD7975">
            <w:pPr>
              <w:rPr>
                <w:b/>
                <w:bCs/>
              </w:rPr>
            </w:pPr>
            <w:r>
              <w:t>-</w:t>
            </w:r>
            <w:proofErr w:type="spellStart"/>
            <w:r w:rsidRPr="006D3AA4">
              <w:t>proj</w:t>
            </w:r>
            <w:proofErr w:type="spellEnd"/>
            <w:r w:rsidRPr="006D3AA4">
              <w:t xml:space="preserve">. </w:t>
            </w:r>
            <w:r>
              <w:t xml:space="preserve">observed as </w:t>
            </w:r>
            <w:r w:rsidRPr="006D3AA4">
              <w:t>ann. Index</w:t>
            </w:r>
          </w:p>
        </w:tc>
        <w:tc>
          <w:tcPr>
            <w:tcW w:w="2693" w:type="dxa"/>
          </w:tcPr>
          <w:p w14:paraId="479F5B1D" w14:textId="76EAB3C5" w:rsidR="00DD7975" w:rsidRDefault="00DD7975" w:rsidP="00DD7975">
            <w:pPr>
              <w:rPr>
                <w:b/>
                <w:bCs/>
              </w:rPr>
            </w:pPr>
            <w:r>
              <w:t>-</w:t>
            </w:r>
            <w:r w:rsidRPr="00EB1DCC">
              <w:t>Actual observed as commodity prices from WB Pink Sheet</w:t>
            </w:r>
            <w:r>
              <w:rPr>
                <w:b/>
                <w:bCs/>
              </w:rPr>
              <w:t xml:space="preserve"> </w:t>
            </w:r>
          </w:p>
          <w:p w14:paraId="47773384" w14:textId="77777777" w:rsidR="00DD7975" w:rsidRDefault="00DD7975" w:rsidP="00DD7975">
            <w:pPr>
              <w:rPr>
                <w:b/>
                <w:bCs/>
              </w:rPr>
            </w:pPr>
          </w:p>
          <w:p w14:paraId="3EB8E34F" w14:textId="4300207A" w:rsidR="00DD7975" w:rsidRDefault="00DD7975" w:rsidP="00DD7975">
            <w:pPr>
              <w:rPr>
                <w:b/>
                <w:bCs/>
              </w:rPr>
            </w:pPr>
            <w:r>
              <w:rPr>
                <w:b/>
                <w:bCs/>
              </w:rPr>
              <w:t>-</w:t>
            </w:r>
            <w:r w:rsidRPr="00EB1DCC">
              <w:t xml:space="preserve">Projection observed as </w:t>
            </w:r>
            <w:r>
              <w:t xml:space="preserve"> </w:t>
            </w:r>
            <w:r w:rsidRPr="00EB1DCC">
              <w:t>annual index from WEO</w:t>
            </w:r>
          </w:p>
        </w:tc>
      </w:tr>
    </w:tbl>
    <w:p w14:paraId="5D5DA561" w14:textId="77777777" w:rsidR="000A7400" w:rsidRPr="00A34384" w:rsidRDefault="000A7400" w:rsidP="00E24ED8">
      <w:pPr>
        <w:rPr>
          <w:b/>
          <w:bCs/>
        </w:rPr>
      </w:pPr>
    </w:p>
    <w:sectPr w:rsidR="000A7400" w:rsidRPr="00A34384" w:rsidSect="009272D5">
      <w:pgSz w:w="11906" w:h="16838"/>
      <w:pgMar w:top="720" w:right="1196" w:bottom="12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4856C" w14:textId="77777777" w:rsidR="00D11590" w:rsidRDefault="00D11590" w:rsidP="00F62A8A">
      <w:pPr>
        <w:spacing w:after="0" w:line="240" w:lineRule="auto"/>
      </w:pPr>
      <w:r>
        <w:separator/>
      </w:r>
    </w:p>
  </w:endnote>
  <w:endnote w:type="continuationSeparator" w:id="0">
    <w:p w14:paraId="3D02EEBD" w14:textId="77777777" w:rsidR="00D11590" w:rsidRDefault="00D11590" w:rsidP="00F6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FF5C7" w14:textId="77777777" w:rsidR="00D11590" w:rsidRDefault="00D11590" w:rsidP="00F62A8A">
      <w:pPr>
        <w:spacing w:after="0" w:line="240" w:lineRule="auto"/>
      </w:pPr>
      <w:r>
        <w:separator/>
      </w:r>
    </w:p>
  </w:footnote>
  <w:footnote w:type="continuationSeparator" w:id="0">
    <w:p w14:paraId="4B08512E" w14:textId="77777777" w:rsidR="00D11590" w:rsidRDefault="00D11590" w:rsidP="00F62A8A">
      <w:pPr>
        <w:spacing w:after="0" w:line="240" w:lineRule="auto"/>
      </w:pPr>
      <w:r>
        <w:continuationSeparator/>
      </w:r>
    </w:p>
  </w:footnote>
  <w:footnote w:id="1">
    <w:p w14:paraId="1B9047C2" w14:textId="6A5980D5" w:rsidR="00F62A8A" w:rsidRPr="00054316" w:rsidRDefault="00F62A8A" w:rsidP="002A06F6">
      <w:pPr>
        <w:pStyle w:val="FootnoteText"/>
        <w:jc w:val="both"/>
        <w:rPr>
          <w:sz w:val="18"/>
          <w:szCs w:val="18"/>
        </w:rPr>
      </w:pPr>
      <w:r w:rsidRPr="00054316">
        <w:rPr>
          <w:rStyle w:val="FootnoteReference"/>
          <w:sz w:val="18"/>
          <w:szCs w:val="18"/>
        </w:rPr>
        <w:footnoteRef/>
      </w:r>
      <w:r w:rsidRPr="00054316">
        <w:rPr>
          <w:sz w:val="18"/>
          <w:szCs w:val="18"/>
        </w:rPr>
        <w:t xml:space="preserve"> February 2024 Baseline Forecast—Data Release (Quarterly)</w:t>
      </w:r>
      <w:r w:rsidR="00BA4E58" w:rsidRPr="00054316">
        <w:rPr>
          <w:sz w:val="18"/>
          <w:szCs w:val="18"/>
        </w:rPr>
        <w:t xml:space="preserve">--CBO's February 2024 report </w:t>
      </w:r>
      <w:r w:rsidR="00BA4E58" w:rsidRPr="00054316">
        <w:rPr>
          <w:i/>
          <w:iCs/>
          <w:sz w:val="18"/>
          <w:szCs w:val="18"/>
        </w:rPr>
        <w:t>The Budget and Economic Outlook: 2024 to 2034</w:t>
      </w:r>
      <w:r w:rsidR="0042451A" w:rsidRPr="00054316">
        <w:rPr>
          <w:sz w:val="18"/>
          <w:szCs w:val="18"/>
        </w:rPr>
        <w:t>,</w:t>
      </w:r>
      <w:r w:rsidR="00BD1E64" w:rsidRPr="00054316">
        <w:rPr>
          <w:sz w:val="18"/>
          <w:szCs w:val="18"/>
        </w:rPr>
        <w:t xml:space="preserve"> </w:t>
      </w:r>
      <w:hyperlink r:id="rId1" w:history="1">
        <w:r w:rsidR="00BD1E64" w:rsidRPr="00054316">
          <w:rPr>
            <w:rStyle w:val="Hyperlink"/>
            <w:sz w:val="18"/>
            <w:szCs w:val="18"/>
          </w:rPr>
          <w:t>Budget and Economic Data | Congressional Budget Office (cbo.gov)</w:t>
        </w:r>
      </w:hyperlink>
      <w:r w:rsidR="0042451A" w:rsidRPr="00054316">
        <w:rPr>
          <w:sz w:val="18"/>
          <w:szCs w:val="18"/>
        </w:rPr>
        <w:t>, ECONOMIC Economic projections (Febr 2024), quarterly sheet</w:t>
      </w:r>
      <w:r w:rsidR="00BD1E64" w:rsidRPr="00054316">
        <w:rPr>
          <w:sz w:val="18"/>
          <w:szCs w:val="18"/>
        </w:rPr>
        <w:t xml:space="preserve"> in</w:t>
      </w:r>
      <w:r w:rsidR="0042451A" w:rsidRPr="00054316">
        <w:rPr>
          <w:sz w:val="18"/>
          <w:szCs w:val="18"/>
        </w:rPr>
        <w:t xml:space="preserve">: </w:t>
      </w:r>
      <w:hyperlink r:id="rId2" w:history="1">
        <w:r w:rsidR="0042451A" w:rsidRPr="00054316">
          <w:rPr>
            <w:rStyle w:val="Hyperlink"/>
            <w:sz w:val="18"/>
            <w:szCs w:val="18"/>
          </w:rPr>
          <w:t>https://www.cbo.gov/system/files/2024-02/51135-2024-02-Economic-Projections.xlsx</w:t>
        </w:r>
      </w:hyperlink>
      <w:r w:rsidR="0042451A" w:rsidRPr="00054316">
        <w:rPr>
          <w:sz w:val="18"/>
          <w:szCs w:val="18"/>
        </w:rPr>
        <w:t xml:space="preserve">. </w:t>
      </w:r>
    </w:p>
  </w:footnote>
  <w:footnote w:id="2">
    <w:p w14:paraId="73BBFC9C" w14:textId="65858BFE" w:rsidR="00054316" w:rsidRPr="00054316" w:rsidRDefault="00BD1E64" w:rsidP="002A06F6">
      <w:pPr>
        <w:pStyle w:val="FootnoteText"/>
        <w:jc w:val="both"/>
        <w:rPr>
          <w:u w:val="single"/>
        </w:rPr>
      </w:pPr>
      <w:r w:rsidRPr="00054316">
        <w:rPr>
          <w:rStyle w:val="FootnoteReference"/>
          <w:sz w:val="18"/>
          <w:szCs w:val="18"/>
        </w:rPr>
        <w:footnoteRef/>
      </w:r>
      <w:r w:rsidRPr="00054316">
        <w:rPr>
          <w:sz w:val="18"/>
          <w:szCs w:val="18"/>
        </w:rPr>
        <w:t xml:space="preserve"> The two series are </w:t>
      </w:r>
      <w:r w:rsidR="009C0F3A">
        <w:rPr>
          <w:sz w:val="18"/>
          <w:szCs w:val="18"/>
        </w:rPr>
        <w:t xml:space="preserve">found </w:t>
      </w:r>
      <w:r w:rsidRPr="00054316">
        <w:rPr>
          <w:sz w:val="18"/>
          <w:szCs w:val="18"/>
        </w:rPr>
        <w:t xml:space="preserve">in </w:t>
      </w:r>
      <w:hyperlink r:id="rId3" w:history="1">
        <w:r w:rsidRPr="00054316">
          <w:rPr>
            <w:rStyle w:val="Hyperlink"/>
            <w:sz w:val="18"/>
            <w:szCs w:val="18"/>
          </w:rPr>
          <w:t>https://www.cbo.gov/system/files/2024-02/51135-2024-02-Economic-Projections.xlsx</w:t>
        </w:r>
      </w:hyperlink>
      <w:r w:rsidRPr="00054316">
        <w:rPr>
          <w:rStyle w:val="Hyperlink"/>
          <w:color w:val="auto"/>
          <w:sz w:val="18"/>
          <w:szCs w:val="18"/>
          <w:u w:val="none"/>
        </w:rPr>
        <w:t xml:space="preserve">. The annualized inflation rate for each Q is calculated </w:t>
      </w:r>
      <w:r w:rsidR="00A920DB" w:rsidRPr="00054316">
        <w:rPr>
          <w:rStyle w:val="Hyperlink"/>
          <w:color w:val="auto"/>
          <w:sz w:val="18"/>
          <w:szCs w:val="18"/>
          <w:u w:val="none"/>
        </w:rPr>
        <w:t xml:space="preserve">by CBO </w:t>
      </w:r>
      <w:r w:rsidRPr="00054316">
        <w:rPr>
          <w:rStyle w:val="Hyperlink"/>
          <w:color w:val="auto"/>
          <w:sz w:val="18"/>
          <w:szCs w:val="18"/>
          <w:u w:val="none"/>
        </w:rPr>
        <w:t xml:space="preserve">as </w:t>
      </w:r>
      <w:r w:rsidR="00A920DB" w:rsidRPr="00054316">
        <w:rPr>
          <w:rStyle w:val="Hyperlink"/>
          <w:color w:val="auto"/>
          <w:sz w:val="18"/>
          <w:szCs w:val="18"/>
          <w:u w:val="none"/>
        </w:rPr>
        <w:t>(</w:t>
      </w:r>
      <w:r w:rsidRPr="00054316">
        <w:rPr>
          <w:rStyle w:val="Hyperlink"/>
          <w:color w:val="auto"/>
          <w:sz w:val="18"/>
          <w:szCs w:val="18"/>
          <w:u w:val="none"/>
        </w:rPr>
        <w:t>PCE/PC</w:t>
      </w:r>
      <w:r w:rsidR="00A920DB" w:rsidRPr="00054316">
        <w:rPr>
          <w:rStyle w:val="Hyperlink"/>
          <w:color w:val="auto"/>
          <w:sz w:val="18"/>
          <w:szCs w:val="18"/>
          <w:u w:val="none"/>
        </w:rPr>
        <w:t>E</w:t>
      </w:r>
      <w:r w:rsidRPr="00054316">
        <w:rPr>
          <w:rStyle w:val="Hyperlink"/>
          <w:color w:val="auto"/>
          <w:sz w:val="18"/>
          <w:szCs w:val="18"/>
          <w:u w:val="none"/>
        </w:rPr>
        <w:t>{-1}</w:t>
      </w:r>
      <w:r w:rsidR="00A920DB" w:rsidRPr="00054316">
        <w:rPr>
          <w:rStyle w:val="Hyperlink"/>
          <w:color w:val="auto"/>
          <w:sz w:val="18"/>
          <w:szCs w:val="18"/>
          <w:u w:val="none"/>
        </w:rPr>
        <w:t>)^4-1. The calculated US RIR forecast can be added in the CBO sheet. The 3-mos T-bill interest rate and PCE inflation indexes are also imported into the addData_</w:t>
      </w:r>
      <w:r w:rsidR="009C0F3A">
        <w:rPr>
          <w:rStyle w:val="Hyperlink"/>
          <w:color w:val="auto"/>
          <w:sz w:val="18"/>
          <w:szCs w:val="18"/>
          <w:u w:val="none"/>
        </w:rPr>
        <w:t>2024_</w:t>
      </w:r>
      <w:r w:rsidR="00A920DB" w:rsidRPr="00054316">
        <w:rPr>
          <w:rStyle w:val="Hyperlink"/>
          <w:color w:val="auto"/>
          <w:sz w:val="18"/>
          <w:szCs w:val="18"/>
          <w:u w:val="none"/>
        </w:rPr>
        <w:t xml:space="preserve"> file (in </w:t>
      </w:r>
      <w:r w:rsidR="002A06F6">
        <w:rPr>
          <w:rStyle w:val="Hyperlink"/>
          <w:color w:val="auto"/>
          <w:sz w:val="18"/>
          <w:szCs w:val="18"/>
          <w:u w:val="none"/>
        </w:rPr>
        <w:t xml:space="preserve">the </w:t>
      </w:r>
      <w:r w:rsidR="00A920DB" w:rsidRPr="00054316">
        <w:rPr>
          <w:rStyle w:val="Hyperlink"/>
          <w:color w:val="auto"/>
          <w:sz w:val="18"/>
          <w:szCs w:val="18"/>
          <w:u w:val="none"/>
        </w:rPr>
        <w:t xml:space="preserve">QMFM directory) and the RIR </w:t>
      </w:r>
      <w:r w:rsidR="009C0F3A">
        <w:rPr>
          <w:rStyle w:val="Hyperlink"/>
          <w:color w:val="auto"/>
          <w:sz w:val="18"/>
          <w:szCs w:val="18"/>
          <w:u w:val="none"/>
        </w:rPr>
        <w:t xml:space="preserve">is </w:t>
      </w:r>
      <w:r w:rsidR="00A920DB" w:rsidRPr="00054316">
        <w:rPr>
          <w:rStyle w:val="Hyperlink"/>
          <w:color w:val="auto"/>
          <w:sz w:val="18"/>
          <w:szCs w:val="18"/>
          <w:u w:val="none"/>
        </w:rPr>
        <w:t>calculated there.</w:t>
      </w:r>
      <w:r w:rsidR="00054316">
        <w:rPr>
          <w:rStyle w:val="Hyperlink"/>
          <w:color w:val="auto"/>
          <w:sz w:val="18"/>
          <w:szCs w:val="18"/>
          <w:u w:val="none"/>
        </w:rPr>
        <w:t xml:space="preserve"> </w:t>
      </w:r>
      <w:r w:rsidR="00054316" w:rsidRPr="00054316">
        <w:rPr>
          <w:rStyle w:val="Hyperlink"/>
          <w:color w:val="auto"/>
          <w:sz w:val="18"/>
          <w:szCs w:val="18"/>
          <w:u w:val="none"/>
        </w:rPr>
        <w:t xml:space="preserve">Historic data are found in </w:t>
      </w:r>
      <w:r w:rsidR="00054316" w:rsidRPr="009C0F3A">
        <w:rPr>
          <w:rStyle w:val="Hyperlink"/>
          <w:i/>
          <w:iCs/>
          <w:color w:val="auto"/>
          <w:sz w:val="18"/>
          <w:szCs w:val="18"/>
          <w:u w:val="none"/>
        </w:rPr>
        <w:t>selected historical economic data</w:t>
      </w:r>
      <w:r w:rsidR="00054316" w:rsidRPr="00054316">
        <w:rPr>
          <w:rStyle w:val="Hyperlink"/>
          <w:color w:val="auto"/>
          <w:sz w:val="18"/>
          <w:szCs w:val="18"/>
          <w:u w:val="none"/>
        </w:rPr>
        <w:t xml:space="preserve"> </w:t>
      </w:r>
      <w:hyperlink r:id="rId4" w:anchor="11" w:history="1">
        <w:r w:rsidR="00054316" w:rsidRPr="00054316">
          <w:rPr>
            <w:rStyle w:val="Hyperlink"/>
            <w:sz w:val="18"/>
            <w:szCs w:val="18"/>
          </w:rPr>
          <w:t>Budget and Economic Data | Congressional Budget Office (cbo.gov)</w:t>
        </w:r>
      </w:hyperlink>
      <w:r w:rsidR="00054316" w:rsidRPr="00054316">
        <w:rPr>
          <w:sz w:val="18"/>
          <w:szCs w:val="18"/>
        </w:rPr>
        <w:t>.</w:t>
      </w:r>
    </w:p>
  </w:footnote>
  <w:footnote w:id="3">
    <w:p w14:paraId="5273A669" w14:textId="12882B10" w:rsidR="002A06F6" w:rsidRPr="00006152" w:rsidRDefault="002A06F6" w:rsidP="002A06F6">
      <w:pPr>
        <w:pStyle w:val="FootnoteText"/>
        <w:jc w:val="both"/>
        <w:rPr>
          <w:sz w:val="16"/>
          <w:szCs w:val="16"/>
        </w:rPr>
      </w:pPr>
      <w:r w:rsidRPr="00006152">
        <w:rPr>
          <w:rStyle w:val="FootnoteReference"/>
          <w:sz w:val="18"/>
          <w:szCs w:val="18"/>
        </w:rPr>
        <w:footnoteRef/>
      </w:r>
      <w:r w:rsidRPr="00006152">
        <w:rPr>
          <w:sz w:val="18"/>
          <w:szCs w:val="18"/>
        </w:rPr>
        <w:t xml:space="preserve"> </w:t>
      </w:r>
      <w:r w:rsidRPr="00006152">
        <w:rPr>
          <w:sz w:val="14"/>
          <w:szCs w:val="14"/>
        </w:rPr>
        <w:t xml:space="preserve">The </w:t>
      </w:r>
      <w:r w:rsidRPr="00006152">
        <w:rPr>
          <w:sz w:val="16"/>
          <w:szCs w:val="16"/>
        </w:rPr>
        <w:t>federal funds rate is the interest rate at which depository institutions trade federal funds (balances held at Federal Reserve Banks) with each other overnight. When a depository institution has surplus balances in its reserve account, it lends to other banks in need of larger balances. In simpler terms, a bank with excess cash, which is often referred to as liquidity, will lend to another bank that needs to quickly raise liquidity. The rate that the borrowing institution pays to the lending institution is determined between the two banks; the weighted average rate for all of these types of negotiations is called the effective federal funds rate. The effective federal funds rate is essentially determined by the market but is influenced by the Federal Reserve through open market operations to reach the federal funds rate target. The Federal Open Market Committee (FOMC) meets eight times a year to determine the federal funds target rate. As previously stated, this rate influences the effective federal funds rate through open market operations or by buying and selling government bonds (government debt). More specifically, the Federal Reserve decreases liquidity by selling government bonds, thereby raising the federal funds rate because banks have less liquidity to trade with other banks. Similarly, the Federal Reserve can increase liquidity by buying government bonds, decreasing the federal funds rate because banks have excess liquidity for trade. Whether the Federal Reserve wants to buy or sell bonds depends on the state of the economy. If the FOMC believes the economy is growing too fast and inflation pressures are inconsistent with the dual mandate of the Federal Reserve, the Committee may set a higher federal funds rate target to temper economic activity. In the opposing scenario, the FOMC may set a lower federal funds rate target to spur greater economic activity. Therefore, the FOMC must observe the current state of the economy to determine the best course of monetary policy that will maximize economic growth while adhering to the dual mandate set forth by Congress. In making its monetary policy decisions, the FOMC considers a wealth of economic data, such as trends in prices and wages, employment, consumer spending and income, business investments, and foreign exchange markets</w:t>
      </w:r>
      <w:r w:rsidR="00006152">
        <w:rPr>
          <w:sz w:val="16"/>
          <w:szCs w:val="16"/>
        </w:rPr>
        <w:t xml:space="preserve">. </w:t>
      </w:r>
      <w:hyperlink r:id="rId5" w:history="1">
        <w:r w:rsidR="00006152" w:rsidRPr="00631098">
          <w:rPr>
            <w:rStyle w:val="Hyperlink"/>
            <w:sz w:val="16"/>
            <w:szCs w:val="16"/>
          </w:rPr>
          <w:t>https://fred.stlouisfed.org/series/FEDFUNDS</w:t>
        </w:r>
      </w:hyperlink>
      <w:r w:rsidR="00006152">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0C02"/>
    <w:multiLevelType w:val="hybridMultilevel"/>
    <w:tmpl w:val="678A6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544A6"/>
    <w:multiLevelType w:val="hybridMultilevel"/>
    <w:tmpl w:val="8BA6E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1E608E"/>
    <w:multiLevelType w:val="hybridMultilevel"/>
    <w:tmpl w:val="C4A6D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868806">
    <w:abstractNumId w:val="2"/>
  </w:num>
  <w:num w:numId="2" w16cid:durableId="955982868">
    <w:abstractNumId w:val="1"/>
  </w:num>
  <w:num w:numId="3" w16cid:durableId="130666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99"/>
    <w:rsid w:val="00006152"/>
    <w:rsid w:val="00021339"/>
    <w:rsid w:val="00054316"/>
    <w:rsid w:val="000A7400"/>
    <w:rsid w:val="001037CE"/>
    <w:rsid w:val="00166B7B"/>
    <w:rsid w:val="001B5517"/>
    <w:rsid w:val="001F39DD"/>
    <w:rsid w:val="00251AF7"/>
    <w:rsid w:val="00280D1F"/>
    <w:rsid w:val="00292374"/>
    <w:rsid w:val="002A06F6"/>
    <w:rsid w:val="00305AE4"/>
    <w:rsid w:val="003354B1"/>
    <w:rsid w:val="00354560"/>
    <w:rsid w:val="00356926"/>
    <w:rsid w:val="0036344D"/>
    <w:rsid w:val="003A2B69"/>
    <w:rsid w:val="003C6F5B"/>
    <w:rsid w:val="003D7D02"/>
    <w:rsid w:val="003E2078"/>
    <w:rsid w:val="003F11F6"/>
    <w:rsid w:val="0042451A"/>
    <w:rsid w:val="004361F9"/>
    <w:rsid w:val="00450F8F"/>
    <w:rsid w:val="00470B46"/>
    <w:rsid w:val="004D0DAF"/>
    <w:rsid w:val="004E0094"/>
    <w:rsid w:val="00501ADD"/>
    <w:rsid w:val="00567A23"/>
    <w:rsid w:val="005F2D96"/>
    <w:rsid w:val="005F5A14"/>
    <w:rsid w:val="006053B3"/>
    <w:rsid w:val="006540F7"/>
    <w:rsid w:val="006648BC"/>
    <w:rsid w:val="00680559"/>
    <w:rsid w:val="0068391F"/>
    <w:rsid w:val="006C08BE"/>
    <w:rsid w:val="006C64BE"/>
    <w:rsid w:val="006D1EE3"/>
    <w:rsid w:val="006D3AA4"/>
    <w:rsid w:val="007153EF"/>
    <w:rsid w:val="00733881"/>
    <w:rsid w:val="00736B32"/>
    <w:rsid w:val="00750252"/>
    <w:rsid w:val="007E161C"/>
    <w:rsid w:val="008269F4"/>
    <w:rsid w:val="00836EAA"/>
    <w:rsid w:val="008745D6"/>
    <w:rsid w:val="008976A9"/>
    <w:rsid w:val="009272D5"/>
    <w:rsid w:val="00994FA0"/>
    <w:rsid w:val="009C0F3A"/>
    <w:rsid w:val="00A04407"/>
    <w:rsid w:val="00A26A04"/>
    <w:rsid w:val="00A34384"/>
    <w:rsid w:val="00A66349"/>
    <w:rsid w:val="00A84AB3"/>
    <w:rsid w:val="00A920DB"/>
    <w:rsid w:val="00AA209F"/>
    <w:rsid w:val="00AB50B0"/>
    <w:rsid w:val="00B23099"/>
    <w:rsid w:val="00B61DF5"/>
    <w:rsid w:val="00B9652D"/>
    <w:rsid w:val="00BA4E58"/>
    <w:rsid w:val="00BB6991"/>
    <w:rsid w:val="00BD1E64"/>
    <w:rsid w:val="00BE5E9B"/>
    <w:rsid w:val="00BF0A04"/>
    <w:rsid w:val="00C26F01"/>
    <w:rsid w:val="00CD1470"/>
    <w:rsid w:val="00D11590"/>
    <w:rsid w:val="00D90320"/>
    <w:rsid w:val="00D975BB"/>
    <w:rsid w:val="00DA10A5"/>
    <w:rsid w:val="00DB0EF2"/>
    <w:rsid w:val="00DD7975"/>
    <w:rsid w:val="00E24ED8"/>
    <w:rsid w:val="00E67534"/>
    <w:rsid w:val="00E71F20"/>
    <w:rsid w:val="00E77DBF"/>
    <w:rsid w:val="00E87D20"/>
    <w:rsid w:val="00E9247B"/>
    <w:rsid w:val="00EB1DCC"/>
    <w:rsid w:val="00EC6C85"/>
    <w:rsid w:val="00F14238"/>
    <w:rsid w:val="00F201A0"/>
    <w:rsid w:val="00F249BD"/>
    <w:rsid w:val="00F62A8A"/>
    <w:rsid w:val="00FA72B0"/>
    <w:rsid w:val="00FB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1E99D"/>
  <w15:chartTrackingRefBased/>
  <w15:docId w15:val="{8FF97DB4-DB82-4390-ABAC-D9B40C72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F5B"/>
    <w:pPr>
      <w:ind w:left="720"/>
      <w:contextualSpacing/>
    </w:pPr>
  </w:style>
  <w:style w:type="paragraph" w:styleId="FootnoteText">
    <w:name w:val="footnote text"/>
    <w:basedOn w:val="Normal"/>
    <w:link w:val="FootnoteTextChar"/>
    <w:uiPriority w:val="99"/>
    <w:semiHidden/>
    <w:unhideWhenUsed/>
    <w:rsid w:val="00F62A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2A8A"/>
    <w:rPr>
      <w:sz w:val="20"/>
      <w:szCs w:val="20"/>
    </w:rPr>
  </w:style>
  <w:style w:type="character" w:styleId="FootnoteReference">
    <w:name w:val="footnote reference"/>
    <w:basedOn w:val="DefaultParagraphFont"/>
    <w:uiPriority w:val="99"/>
    <w:semiHidden/>
    <w:unhideWhenUsed/>
    <w:rsid w:val="00F62A8A"/>
    <w:rPr>
      <w:vertAlign w:val="superscript"/>
    </w:rPr>
  </w:style>
  <w:style w:type="character" w:styleId="Hyperlink">
    <w:name w:val="Hyperlink"/>
    <w:basedOn w:val="DefaultParagraphFont"/>
    <w:uiPriority w:val="99"/>
    <w:unhideWhenUsed/>
    <w:rsid w:val="00470B46"/>
    <w:rPr>
      <w:color w:val="0563C1" w:themeColor="hyperlink"/>
      <w:u w:val="single"/>
    </w:rPr>
  </w:style>
  <w:style w:type="character" w:styleId="UnresolvedMention">
    <w:name w:val="Unresolved Mention"/>
    <w:basedOn w:val="DefaultParagraphFont"/>
    <w:uiPriority w:val="99"/>
    <w:semiHidden/>
    <w:unhideWhenUsed/>
    <w:rsid w:val="00470B46"/>
    <w:rPr>
      <w:color w:val="605E5C"/>
      <w:shd w:val="clear" w:color="auto" w:fill="E1DFDD"/>
    </w:rPr>
  </w:style>
  <w:style w:type="character" w:styleId="FollowedHyperlink">
    <w:name w:val="FollowedHyperlink"/>
    <w:basedOn w:val="DefaultParagraphFont"/>
    <w:uiPriority w:val="99"/>
    <w:semiHidden/>
    <w:unhideWhenUsed/>
    <w:rsid w:val="003F11F6"/>
    <w:rPr>
      <w:color w:val="954F72" w:themeColor="followedHyperlink"/>
      <w:u w:val="single"/>
    </w:rPr>
  </w:style>
  <w:style w:type="table" w:styleId="TableGrid">
    <w:name w:val="Table Grid"/>
    <w:basedOn w:val="TableNormal"/>
    <w:uiPriority w:val="39"/>
    <w:rsid w:val="001B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71545">
      <w:bodyDiv w:val="1"/>
      <w:marLeft w:val="0"/>
      <w:marRight w:val="0"/>
      <w:marTop w:val="0"/>
      <w:marBottom w:val="0"/>
      <w:divBdr>
        <w:top w:val="none" w:sz="0" w:space="0" w:color="auto"/>
        <w:left w:val="none" w:sz="0" w:space="0" w:color="auto"/>
        <w:bottom w:val="none" w:sz="0" w:space="0" w:color="auto"/>
        <w:right w:val="none" w:sz="0" w:space="0" w:color="auto"/>
      </w:divBdr>
    </w:div>
    <w:div w:id="1274434739">
      <w:bodyDiv w:val="1"/>
      <w:marLeft w:val="0"/>
      <w:marRight w:val="0"/>
      <w:marTop w:val="0"/>
      <w:marBottom w:val="0"/>
      <w:divBdr>
        <w:top w:val="none" w:sz="0" w:space="0" w:color="auto"/>
        <w:left w:val="none" w:sz="0" w:space="0" w:color="auto"/>
        <w:bottom w:val="none" w:sz="0" w:space="0" w:color="auto"/>
        <w:right w:val="none" w:sz="0" w:space="0" w:color="auto"/>
      </w:divBdr>
      <w:divsChild>
        <w:div w:id="2028480403">
          <w:marLeft w:val="0"/>
          <w:marRight w:val="0"/>
          <w:marTop w:val="0"/>
          <w:marBottom w:val="0"/>
          <w:divBdr>
            <w:top w:val="none" w:sz="0" w:space="0" w:color="auto"/>
            <w:left w:val="none" w:sz="0" w:space="0" w:color="auto"/>
            <w:bottom w:val="none" w:sz="0" w:space="0" w:color="auto"/>
            <w:right w:val="none" w:sz="0" w:space="0" w:color="auto"/>
          </w:divBdr>
          <w:divsChild>
            <w:div w:id="19911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756">
      <w:bodyDiv w:val="1"/>
      <w:marLeft w:val="0"/>
      <w:marRight w:val="0"/>
      <w:marTop w:val="0"/>
      <w:marBottom w:val="0"/>
      <w:divBdr>
        <w:top w:val="none" w:sz="0" w:space="0" w:color="auto"/>
        <w:left w:val="none" w:sz="0" w:space="0" w:color="auto"/>
        <w:bottom w:val="none" w:sz="0" w:space="0" w:color="auto"/>
        <w:right w:val="none" w:sz="0" w:space="0" w:color="auto"/>
      </w:divBdr>
      <w:divsChild>
        <w:div w:id="1473791553">
          <w:marLeft w:val="0"/>
          <w:marRight w:val="0"/>
          <w:marTop w:val="0"/>
          <w:marBottom w:val="0"/>
          <w:divBdr>
            <w:top w:val="none" w:sz="0" w:space="0" w:color="auto"/>
            <w:left w:val="none" w:sz="0" w:space="0" w:color="auto"/>
            <w:bottom w:val="none" w:sz="0" w:space="0" w:color="auto"/>
            <w:right w:val="none" w:sz="0" w:space="0" w:color="auto"/>
          </w:divBdr>
          <w:divsChild>
            <w:div w:id="7273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4625">
      <w:bodyDiv w:val="1"/>
      <w:marLeft w:val="0"/>
      <w:marRight w:val="0"/>
      <w:marTop w:val="0"/>
      <w:marBottom w:val="0"/>
      <w:divBdr>
        <w:top w:val="none" w:sz="0" w:space="0" w:color="auto"/>
        <w:left w:val="none" w:sz="0" w:space="0" w:color="auto"/>
        <w:bottom w:val="none" w:sz="0" w:space="0" w:color="auto"/>
        <w:right w:val="none" w:sz="0" w:space="0" w:color="auto"/>
      </w:divBdr>
    </w:div>
    <w:div w:id="1757093009">
      <w:bodyDiv w:val="1"/>
      <w:marLeft w:val="0"/>
      <w:marRight w:val="0"/>
      <w:marTop w:val="0"/>
      <w:marBottom w:val="0"/>
      <w:divBdr>
        <w:top w:val="none" w:sz="0" w:space="0" w:color="auto"/>
        <w:left w:val="none" w:sz="0" w:space="0" w:color="auto"/>
        <w:bottom w:val="none" w:sz="0" w:space="0" w:color="auto"/>
        <w:right w:val="none" w:sz="0" w:space="0" w:color="auto"/>
      </w:divBdr>
      <w:divsChild>
        <w:div w:id="581720476">
          <w:marLeft w:val="0"/>
          <w:marRight w:val="0"/>
          <w:marTop w:val="0"/>
          <w:marBottom w:val="0"/>
          <w:divBdr>
            <w:top w:val="none" w:sz="0" w:space="0" w:color="auto"/>
            <w:left w:val="none" w:sz="0" w:space="0" w:color="auto"/>
            <w:bottom w:val="none" w:sz="0" w:space="0" w:color="auto"/>
            <w:right w:val="none" w:sz="0" w:space="0" w:color="auto"/>
          </w:divBdr>
          <w:divsChild>
            <w:div w:id="285241087">
              <w:marLeft w:val="0"/>
              <w:marRight w:val="0"/>
              <w:marTop w:val="0"/>
              <w:marBottom w:val="0"/>
              <w:divBdr>
                <w:top w:val="none" w:sz="0" w:space="0" w:color="auto"/>
                <w:left w:val="none" w:sz="0" w:space="0" w:color="auto"/>
                <w:bottom w:val="none" w:sz="0" w:space="0" w:color="auto"/>
                <w:right w:val="none" w:sz="0" w:space="0" w:color="auto"/>
              </w:divBdr>
            </w:div>
            <w:div w:id="1564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3181">
      <w:bodyDiv w:val="1"/>
      <w:marLeft w:val="0"/>
      <w:marRight w:val="0"/>
      <w:marTop w:val="0"/>
      <w:marBottom w:val="0"/>
      <w:divBdr>
        <w:top w:val="none" w:sz="0" w:space="0" w:color="auto"/>
        <w:left w:val="none" w:sz="0" w:space="0" w:color="auto"/>
        <w:bottom w:val="none" w:sz="0" w:space="0" w:color="auto"/>
        <w:right w:val="none" w:sz="0" w:space="0" w:color="auto"/>
      </w:divBdr>
      <w:divsChild>
        <w:div w:id="2118131714">
          <w:marLeft w:val="0"/>
          <w:marRight w:val="0"/>
          <w:marTop w:val="0"/>
          <w:marBottom w:val="0"/>
          <w:divBdr>
            <w:top w:val="none" w:sz="0" w:space="0" w:color="auto"/>
            <w:left w:val="none" w:sz="0" w:space="0" w:color="auto"/>
            <w:bottom w:val="none" w:sz="0" w:space="0" w:color="auto"/>
            <w:right w:val="none" w:sz="0" w:space="0" w:color="auto"/>
          </w:divBdr>
          <w:divsChild>
            <w:div w:id="8671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7430">
      <w:bodyDiv w:val="1"/>
      <w:marLeft w:val="0"/>
      <w:marRight w:val="0"/>
      <w:marTop w:val="0"/>
      <w:marBottom w:val="0"/>
      <w:divBdr>
        <w:top w:val="none" w:sz="0" w:space="0" w:color="auto"/>
        <w:left w:val="none" w:sz="0" w:space="0" w:color="auto"/>
        <w:bottom w:val="none" w:sz="0" w:space="0" w:color="auto"/>
        <w:right w:val="none" w:sz="0" w:space="0" w:color="auto"/>
      </w:divBdr>
      <w:divsChild>
        <w:div w:id="794568696">
          <w:marLeft w:val="0"/>
          <w:marRight w:val="0"/>
          <w:marTop w:val="0"/>
          <w:marBottom w:val="0"/>
          <w:divBdr>
            <w:top w:val="none" w:sz="0" w:space="0" w:color="auto"/>
            <w:left w:val="none" w:sz="0" w:space="0" w:color="auto"/>
            <w:bottom w:val="none" w:sz="0" w:space="0" w:color="auto"/>
            <w:right w:val="none" w:sz="0" w:space="0" w:color="auto"/>
          </w:divBdr>
          <w:divsChild>
            <w:div w:id="2399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about:blank" TargetMode="External"/><Relationship Id="rId2" Type="http://schemas.openxmlformats.org/officeDocument/2006/relationships/hyperlink" Target="about:blank" TargetMode="External"/><Relationship Id="rId1"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CFEF3-474F-41AA-ACC2-820DBA73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Evariste MANIRUMVA</dc:creator>
  <cp:keywords/>
  <dc:description/>
  <cp:lastModifiedBy>arend Kouwenaar</cp:lastModifiedBy>
  <cp:revision>2</cp:revision>
  <dcterms:created xsi:type="dcterms:W3CDTF">2024-08-15T23:26:00Z</dcterms:created>
  <dcterms:modified xsi:type="dcterms:W3CDTF">2024-08-15T23:26:00Z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60102c19-e192-4125-94d7-43e5fd379e1a</vt:lpwstr>
  </property>
</Properties>
</file>